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MODULE 7 – DASHBOARD TESTING REPORT</w:t>
      </w:r>
    </w:p>
    <w:p>
      <w:pPr>
        <w:jc w:val="center"/>
      </w:pPr>
      <w:r>
        <w:rPr>
          <w:b/>
          <w:sz w:val="21"/>
        </w:rPr>
        <w:t>MedTrack_DV – Hospital Operations &amp; Patient Analytics Dashboard</w:t>
      </w:r>
    </w:p>
    <w:p>
      <w:r>
        <w:rPr>
          <w:b/>
        </w:rPr>
        <w:t>7.1 Report Purpose</w:t>
      </w:r>
    </w:p>
    <w:p>
      <w:r>
        <w:t>This Dashboard Testing Report documents functional and visual validation of the MedTrack_DV Hospital Operations &amp; Patient Analytics Dashboard. The report follows the Module 7 requirement to test dashboard interactions and validate patient-flow analytics, while also checking KPI accuracy and healthcare metrics.</w:t>
      </w:r>
    </w:p>
    <w:p>
      <w:r>
        <w:rPr>
          <w:b/>
        </w:rPr>
        <w:t>7.2 Dashboard Components Tested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Dashboard</w:t>
            </w:r>
          </w:p>
        </w:tc>
        <w:tc>
          <w:tcPr>
            <w:tcW w:type="dxa" w:w="3456"/>
            <w:shd w:fill="D9EAF7"/>
          </w:tcPr>
          <w:p>
            <w:r>
              <w:rPr>
                <w:b/>
                <w:sz w:val="17"/>
              </w:rPr>
              <w:t>Main Areas Tested</w:t>
            </w:r>
          </w:p>
        </w:tc>
        <w:tc>
          <w:tcPr>
            <w:tcW w:type="dxa" w:w="3456"/>
            <w:shd w:fill="D9EAF7"/>
          </w:tcPr>
          <w:p>
            <w:r>
              <w:rPr>
                <w:b/>
                <w:sz w:val="17"/>
              </w:rPr>
              <w:t>Result</w:t>
            </w:r>
          </w:p>
        </w:tc>
      </w:tr>
      <w:tr>
        <w:tc>
          <w:tcPr>
            <w:tcW w:type="dxa" w:w="3456"/>
            <w:vAlign w:val="center"/>
          </w:tcPr>
          <w:p>
            <w:r>
              <w:rPr>
                <w:sz w:val="16"/>
              </w:rPr>
              <w:t>Hospital Overview</w:t>
            </w:r>
          </w:p>
        </w:tc>
        <w:tc>
          <w:tcPr>
            <w:tcW w:type="dxa" w:w="3456"/>
            <w:vAlign w:val="center"/>
          </w:tcPr>
          <w:p>
            <w:r>
              <w:rPr>
                <w:sz w:val="16"/>
              </w:rPr>
              <w:t>KPIs, monthly admissions, department admissions, occupancy, readmission</w:t>
            </w:r>
          </w:p>
        </w:tc>
        <w:tc>
          <w:tcPr>
            <w:tcW w:type="dxa" w:w="3456"/>
            <w:vAlign w:val="center"/>
          </w:tcPr>
          <w:p>
            <w:r>
              <w:rPr>
                <w:sz w:val="16"/>
              </w:rPr>
              <w:t>PASS</w:t>
            </w:r>
          </w:p>
        </w:tc>
      </w:tr>
      <w:tr>
        <w:tc>
          <w:tcPr>
            <w:tcW w:type="dxa" w:w="3456"/>
            <w:vAlign w:val="center"/>
          </w:tcPr>
          <w:p>
            <w:r>
              <w:rPr>
                <w:sz w:val="16"/>
              </w:rPr>
              <w:t>Patient Flow</w:t>
            </w:r>
          </w:p>
        </w:tc>
        <w:tc>
          <w:tcPr>
            <w:tcW w:type="dxa" w:w="3456"/>
            <w:vAlign w:val="center"/>
          </w:tcPr>
          <w:p>
            <w:r>
              <w:rPr>
                <w:sz w:val="16"/>
              </w:rPr>
              <w:t>Admissions, discharges, patient movement, LOS, monthly patient load</w:t>
            </w:r>
          </w:p>
        </w:tc>
        <w:tc>
          <w:tcPr>
            <w:tcW w:type="dxa" w:w="3456"/>
            <w:vAlign w:val="center"/>
          </w:tcPr>
          <w:p>
            <w:r>
              <w:rPr>
                <w:sz w:val="16"/>
              </w:rPr>
              <w:t>PASS</w:t>
            </w:r>
          </w:p>
        </w:tc>
      </w:tr>
      <w:tr>
        <w:tc>
          <w:tcPr>
            <w:tcW w:type="dxa" w:w="3456"/>
            <w:vAlign w:val="center"/>
          </w:tcPr>
          <w:p>
            <w:r>
              <w:rPr>
                <w:sz w:val="16"/>
              </w:rPr>
              <w:t>Department Analytics</w:t>
            </w:r>
          </w:p>
        </w:tc>
        <w:tc>
          <w:tcPr>
            <w:tcW w:type="dxa" w:w="3456"/>
            <w:vAlign w:val="center"/>
          </w:tcPr>
          <w:p>
            <w:r>
              <w:rPr>
                <w:sz w:val="16"/>
              </w:rPr>
              <w:t>Patient volume, efficiency, revenue, treatment capacity</w:t>
            </w:r>
          </w:p>
        </w:tc>
        <w:tc>
          <w:tcPr>
            <w:tcW w:type="dxa" w:w="3456"/>
            <w:vAlign w:val="center"/>
          </w:tcPr>
          <w:p>
            <w:r>
              <w:rPr>
                <w:sz w:val="16"/>
              </w:rPr>
              <w:t>PASS</w:t>
            </w:r>
          </w:p>
        </w:tc>
      </w:tr>
      <w:tr>
        <w:tc>
          <w:tcPr>
            <w:tcW w:type="dxa" w:w="3456"/>
            <w:vAlign w:val="center"/>
          </w:tcPr>
          <w:p>
            <w:r>
              <w:rPr>
                <w:sz w:val="16"/>
              </w:rPr>
              <w:t>Resource Utilization</w:t>
            </w:r>
          </w:p>
        </w:tc>
        <w:tc>
          <w:tcPr>
            <w:tcW w:type="dxa" w:w="3456"/>
            <w:vAlign w:val="center"/>
          </w:tcPr>
          <w:p>
            <w:r>
              <w:rPr>
                <w:sz w:val="16"/>
              </w:rPr>
              <w:t>Beds, staff, equipment, capacity, resource availability</w:t>
            </w:r>
          </w:p>
        </w:tc>
        <w:tc>
          <w:tcPr>
            <w:tcW w:type="dxa" w:w="3456"/>
            <w:vAlign w:val="center"/>
          </w:tcPr>
          <w:p>
            <w:r>
              <w:rPr>
                <w:sz w:val="16"/>
              </w:rPr>
              <w:t>PASS</w:t>
            </w:r>
          </w:p>
        </w:tc>
      </w:tr>
    </w:tbl>
    <w:p>
      <w:r>
        <w:rPr>
          <w:b/>
        </w:rPr>
        <w:t>7.3 Baseline KPI Results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Metric</w:t>
            </w:r>
          </w:p>
        </w:tc>
        <w:tc>
          <w:tcPr>
            <w:tcW w:type="dxa" w:w="3456"/>
            <w:shd w:fill="D9EAF7"/>
          </w:tcPr>
          <w:p>
            <w:r>
              <w:rPr>
                <w:b/>
                <w:sz w:val="17"/>
              </w:rPr>
              <w:t>Dashboard Value</w:t>
            </w:r>
          </w:p>
        </w:tc>
        <w:tc>
          <w:tcPr>
            <w:tcW w:type="dxa" w:w="3456"/>
            <w:shd w:fill="D9EAF7"/>
          </w:tcPr>
          <w:p>
            <w:r>
              <w:rPr>
                <w:b/>
                <w:sz w:val="17"/>
              </w:rPr>
              <w:t>Validation</w:t>
            </w:r>
          </w:p>
        </w:tc>
      </w:tr>
      <w:tr>
        <w:tc>
          <w:tcPr>
            <w:tcW w:type="dxa" w:w="3456"/>
            <w:vAlign w:val="center"/>
          </w:tcPr>
          <w:p>
            <w:r>
              <w:rPr>
                <w:sz w:val="16"/>
              </w:rPr>
              <w:t>Total Admissions</w:t>
            </w:r>
          </w:p>
        </w:tc>
        <w:tc>
          <w:tcPr>
            <w:tcW w:type="dxa" w:w="3456"/>
            <w:vAlign w:val="center"/>
          </w:tcPr>
          <w:p>
            <w:r>
              <w:rPr>
                <w:sz w:val="16"/>
              </w:rPr>
              <w:t>1000</w:t>
            </w:r>
          </w:p>
        </w:tc>
        <w:tc>
          <w:tcPr>
            <w:tcW w:type="dxa" w:w="3456"/>
            <w:vAlign w:val="center"/>
          </w:tcPr>
          <w:p>
            <w:r>
              <w:rPr>
                <w:sz w:val="16"/>
              </w:rPr>
              <w:t>PASS</w:t>
            </w:r>
          </w:p>
        </w:tc>
      </w:tr>
      <w:tr>
        <w:tc>
          <w:tcPr>
            <w:tcW w:type="dxa" w:w="3456"/>
            <w:vAlign w:val="center"/>
          </w:tcPr>
          <w:p>
            <w:r>
              <w:rPr>
                <w:sz w:val="16"/>
              </w:rPr>
              <w:t>Average Length of Stay</w:t>
            </w:r>
          </w:p>
        </w:tc>
        <w:tc>
          <w:tcPr>
            <w:tcW w:type="dxa" w:w="3456"/>
            <w:vAlign w:val="center"/>
          </w:tcPr>
          <w:p>
            <w:r>
              <w:rPr>
                <w:sz w:val="16"/>
              </w:rPr>
              <w:t>4.00 days</w:t>
            </w:r>
          </w:p>
        </w:tc>
        <w:tc>
          <w:tcPr>
            <w:tcW w:type="dxa" w:w="3456"/>
            <w:vAlign w:val="center"/>
          </w:tcPr>
          <w:p>
            <w:r>
              <w:rPr>
                <w:sz w:val="16"/>
              </w:rPr>
              <w:t>PASS</w:t>
            </w:r>
          </w:p>
        </w:tc>
      </w:tr>
      <w:tr>
        <w:tc>
          <w:tcPr>
            <w:tcW w:type="dxa" w:w="3456"/>
            <w:vAlign w:val="center"/>
          </w:tcPr>
          <w:p>
            <w:r>
              <w:rPr>
                <w:sz w:val="16"/>
              </w:rPr>
              <w:t>Readmission Rate</w:t>
            </w:r>
          </w:p>
        </w:tc>
        <w:tc>
          <w:tcPr>
            <w:tcW w:type="dxa" w:w="3456"/>
            <w:vAlign w:val="center"/>
          </w:tcPr>
          <w:p>
            <w:r>
              <w:rPr>
                <w:sz w:val="16"/>
              </w:rPr>
              <w:t>0.00%</w:t>
            </w:r>
          </w:p>
        </w:tc>
        <w:tc>
          <w:tcPr>
            <w:tcW w:type="dxa" w:w="3456"/>
            <w:vAlign w:val="center"/>
          </w:tcPr>
          <w:p>
            <w:r>
              <w:rPr>
                <w:sz w:val="16"/>
              </w:rPr>
              <w:t>PASS</w:t>
            </w:r>
          </w:p>
        </w:tc>
      </w:tr>
      <w:tr>
        <w:tc>
          <w:tcPr>
            <w:tcW w:type="dxa" w:w="3456"/>
            <w:vAlign w:val="center"/>
          </w:tcPr>
          <w:p>
            <w:r>
              <w:rPr>
                <w:sz w:val="16"/>
              </w:rPr>
              <w:t>Occupancy Rate</w:t>
            </w:r>
          </w:p>
        </w:tc>
        <w:tc>
          <w:tcPr>
            <w:tcW w:type="dxa" w:w="3456"/>
            <w:vAlign w:val="center"/>
          </w:tcPr>
          <w:p>
            <w:r>
              <w:rPr>
                <w:sz w:val="16"/>
              </w:rPr>
              <w:t>15.99%</w:t>
            </w:r>
          </w:p>
        </w:tc>
        <w:tc>
          <w:tcPr>
            <w:tcW w:type="dxa" w:w="3456"/>
            <w:vAlign w:val="center"/>
          </w:tcPr>
          <w:p>
            <w:r>
              <w:rPr>
                <w:sz w:val="16"/>
              </w:rPr>
              <w:t>PASS</w:t>
            </w:r>
          </w:p>
        </w:tc>
      </w:tr>
      <w:tr>
        <w:tc>
          <w:tcPr>
            <w:tcW w:type="dxa" w:w="3456"/>
            <w:vAlign w:val="center"/>
          </w:tcPr>
          <w:p>
            <w:r>
              <w:rPr>
                <w:sz w:val="16"/>
              </w:rPr>
              <w:t>Bed Utilization Rate</w:t>
            </w:r>
          </w:p>
        </w:tc>
        <w:tc>
          <w:tcPr>
            <w:tcW w:type="dxa" w:w="3456"/>
            <w:vAlign w:val="center"/>
          </w:tcPr>
          <w:p>
            <w:r>
              <w:rPr>
                <w:sz w:val="16"/>
              </w:rPr>
              <w:t>79.94%</w:t>
            </w:r>
          </w:p>
        </w:tc>
        <w:tc>
          <w:tcPr>
            <w:tcW w:type="dxa" w:w="3456"/>
            <w:vAlign w:val="center"/>
          </w:tcPr>
          <w:p>
            <w:r>
              <w:rPr>
                <w:sz w:val="16"/>
              </w:rPr>
              <w:t>PASS</w:t>
            </w:r>
          </w:p>
        </w:tc>
      </w:tr>
      <w:tr>
        <w:tc>
          <w:tcPr>
            <w:tcW w:type="dxa" w:w="3456"/>
            <w:vAlign w:val="center"/>
          </w:tcPr>
          <w:p>
            <w:r>
              <w:rPr>
                <w:sz w:val="16"/>
              </w:rPr>
              <w:t>Department Efficiency Score</w:t>
            </w:r>
          </w:p>
        </w:tc>
        <w:tc>
          <w:tcPr>
            <w:tcW w:type="dxa" w:w="3456"/>
            <w:vAlign w:val="center"/>
          </w:tcPr>
          <w:p>
            <w:r>
              <w:rPr>
                <w:sz w:val="16"/>
              </w:rPr>
              <w:t>96.53%</w:t>
            </w:r>
          </w:p>
        </w:tc>
        <w:tc>
          <w:tcPr>
            <w:tcW w:type="dxa" w:w="3456"/>
            <w:vAlign w:val="center"/>
          </w:tcPr>
          <w:p>
            <w:r>
              <w:rPr>
                <w:sz w:val="16"/>
              </w:rPr>
              <w:t>PASS</w:t>
            </w:r>
          </w:p>
        </w:tc>
      </w:tr>
    </w:tbl>
    <w:p>
      <w:r>
        <w:br w:type="page"/>
      </w:r>
    </w:p>
    <w:p>
      <w:r>
        <w:rPr>
          <w:b/>
        </w:rPr>
        <w:t>7.4 Functional Testing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tcPr>
          <w:p>
            <w:r>
              <w:rPr>
                <w:b/>
                <w:sz w:val="17"/>
              </w:rPr>
              <w:t>Test ID</w:t>
            </w:r>
          </w:p>
        </w:tc>
        <w:tc>
          <w:tcPr>
            <w:tcW w:type="dxa" w:w="2074"/>
            <w:shd w:fill="D9EAF7"/>
          </w:tcPr>
          <w:p>
            <w:r>
              <w:rPr>
                <w:b/>
                <w:sz w:val="17"/>
              </w:rPr>
              <w:t>Page</w:t>
            </w:r>
          </w:p>
        </w:tc>
        <w:tc>
          <w:tcPr>
            <w:tcW w:type="dxa" w:w="2074"/>
            <w:shd w:fill="D9EAF7"/>
          </w:tcPr>
          <w:p>
            <w:r>
              <w:rPr>
                <w:b/>
                <w:sz w:val="17"/>
              </w:rPr>
              <w:t>Component</w:t>
            </w:r>
          </w:p>
        </w:tc>
        <w:tc>
          <w:tcPr>
            <w:tcW w:type="dxa" w:w="2074"/>
            <w:shd w:fill="D9EAF7"/>
          </w:tcPr>
          <w:p>
            <w:r>
              <w:rPr>
                <w:b/>
                <w:sz w:val="17"/>
              </w:rPr>
              <w:t>Expected Behavior</w:t>
            </w:r>
          </w:p>
        </w:tc>
        <w:tc>
          <w:tcPr>
            <w:tcW w:type="dxa" w:w="2074"/>
            <w:shd w:fill="D9EAF7"/>
          </w:tcPr>
          <w:p>
            <w:r>
              <w:rPr>
                <w:b/>
                <w:sz w:val="17"/>
              </w:rPr>
              <w:t>Result</w:t>
            </w:r>
          </w:p>
        </w:tc>
      </w:tr>
      <w:tr>
        <w:tc>
          <w:tcPr>
            <w:tcW w:type="dxa" w:w="2074"/>
            <w:vAlign w:val="center"/>
          </w:tcPr>
          <w:p>
            <w:r>
              <w:rPr>
                <w:sz w:val="16"/>
              </w:rPr>
              <w:t>FT-01</w:t>
            </w:r>
          </w:p>
        </w:tc>
        <w:tc>
          <w:tcPr>
            <w:tcW w:type="dxa" w:w="2074"/>
            <w:vAlign w:val="center"/>
          </w:tcPr>
          <w:p>
            <w:r>
              <w:rPr>
                <w:sz w:val="16"/>
              </w:rPr>
              <w:t>Hospital Overview</w:t>
            </w:r>
          </w:p>
        </w:tc>
        <w:tc>
          <w:tcPr>
            <w:tcW w:type="dxa" w:w="2074"/>
            <w:vAlign w:val="center"/>
          </w:tcPr>
          <w:p>
            <w:r>
              <w:rPr>
                <w:sz w:val="16"/>
              </w:rPr>
              <w:t>KPI cards</w:t>
            </w:r>
          </w:p>
        </w:tc>
        <w:tc>
          <w:tcPr>
            <w:tcW w:type="dxa" w:w="2074"/>
            <w:vAlign w:val="center"/>
          </w:tcPr>
          <w:p>
            <w:r>
              <w:rPr>
                <w:sz w:val="16"/>
              </w:rPr>
              <w:t>Confirm core KPI cards load</w:t>
            </w:r>
          </w:p>
        </w:tc>
        <w:tc>
          <w:tcPr>
            <w:tcW w:type="dxa" w:w="2074"/>
            <w:vAlign w:val="center"/>
          </w:tcPr>
          <w:p>
            <w:r>
              <w:rPr>
                <w:sz w:val="16"/>
              </w:rPr>
              <w:t>PASS</w:t>
            </w:r>
          </w:p>
        </w:tc>
      </w:tr>
      <w:tr>
        <w:tc>
          <w:tcPr>
            <w:tcW w:type="dxa" w:w="2074"/>
            <w:vAlign w:val="center"/>
          </w:tcPr>
          <w:p>
            <w:r>
              <w:rPr>
                <w:sz w:val="16"/>
              </w:rPr>
              <w:t>FT-02</w:t>
            </w:r>
          </w:p>
        </w:tc>
        <w:tc>
          <w:tcPr>
            <w:tcW w:type="dxa" w:w="2074"/>
            <w:vAlign w:val="center"/>
          </w:tcPr>
          <w:p>
            <w:r>
              <w:rPr>
                <w:sz w:val="16"/>
              </w:rPr>
              <w:t>Hospital Overview</w:t>
            </w:r>
          </w:p>
        </w:tc>
        <w:tc>
          <w:tcPr>
            <w:tcW w:type="dxa" w:w="2074"/>
            <w:vAlign w:val="center"/>
          </w:tcPr>
          <w:p>
            <w:r>
              <w:rPr>
                <w:sz w:val="16"/>
              </w:rPr>
              <w:t>Admission trend</w:t>
            </w:r>
          </w:p>
        </w:tc>
        <w:tc>
          <w:tcPr>
            <w:tcW w:type="dxa" w:w="2074"/>
            <w:vAlign w:val="center"/>
          </w:tcPr>
          <w:p>
            <w:r>
              <w:rPr>
                <w:sz w:val="16"/>
              </w:rPr>
              <w:t>Confirm monthly trend renders</w:t>
            </w:r>
          </w:p>
        </w:tc>
        <w:tc>
          <w:tcPr>
            <w:tcW w:type="dxa" w:w="2074"/>
            <w:vAlign w:val="center"/>
          </w:tcPr>
          <w:p>
            <w:r>
              <w:rPr>
                <w:sz w:val="16"/>
              </w:rPr>
              <w:t>PASS</w:t>
            </w:r>
          </w:p>
        </w:tc>
      </w:tr>
      <w:tr>
        <w:tc>
          <w:tcPr>
            <w:tcW w:type="dxa" w:w="2074"/>
            <w:vAlign w:val="center"/>
          </w:tcPr>
          <w:p>
            <w:r>
              <w:rPr>
                <w:sz w:val="16"/>
              </w:rPr>
              <w:t>FT-03</w:t>
            </w:r>
          </w:p>
        </w:tc>
        <w:tc>
          <w:tcPr>
            <w:tcW w:type="dxa" w:w="2074"/>
            <w:vAlign w:val="center"/>
          </w:tcPr>
          <w:p>
            <w:r>
              <w:rPr>
                <w:sz w:val="16"/>
              </w:rPr>
              <w:t>Hospital Overview</w:t>
            </w:r>
          </w:p>
        </w:tc>
        <w:tc>
          <w:tcPr>
            <w:tcW w:type="dxa" w:w="2074"/>
            <w:vAlign w:val="center"/>
          </w:tcPr>
          <w:p>
            <w:r>
              <w:rPr>
                <w:sz w:val="16"/>
              </w:rPr>
              <w:t>Department comparison</w:t>
            </w:r>
          </w:p>
        </w:tc>
        <w:tc>
          <w:tcPr>
            <w:tcW w:type="dxa" w:w="2074"/>
            <w:vAlign w:val="center"/>
          </w:tcPr>
          <w:p>
            <w:r>
              <w:rPr>
                <w:sz w:val="16"/>
              </w:rPr>
              <w:t>Confirm department admissions/occupancy views</w:t>
            </w:r>
          </w:p>
        </w:tc>
        <w:tc>
          <w:tcPr>
            <w:tcW w:type="dxa" w:w="2074"/>
            <w:vAlign w:val="center"/>
          </w:tcPr>
          <w:p>
            <w:r>
              <w:rPr>
                <w:sz w:val="16"/>
              </w:rPr>
              <w:t>PASS</w:t>
            </w:r>
          </w:p>
        </w:tc>
      </w:tr>
      <w:tr>
        <w:tc>
          <w:tcPr>
            <w:tcW w:type="dxa" w:w="2074"/>
            <w:vAlign w:val="center"/>
          </w:tcPr>
          <w:p>
            <w:r>
              <w:rPr>
                <w:sz w:val="16"/>
              </w:rPr>
              <w:t>FT-04</w:t>
            </w:r>
          </w:p>
        </w:tc>
        <w:tc>
          <w:tcPr>
            <w:tcW w:type="dxa" w:w="2074"/>
            <w:vAlign w:val="center"/>
          </w:tcPr>
          <w:p>
            <w:r>
              <w:rPr>
                <w:sz w:val="16"/>
              </w:rPr>
              <w:t>Hospital Overview</w:t>
            </w:r>
          </w:p>
        </w:tc>
        <w:tc>
          <w:tcPr>
            <w:tcW w:type="dxa" w:w="2074"/>
            <w:vAlign w:val="center"/>
          </w:tcPr>
          <w:p>
            <w:r>
              <w:rPr>
                <w:sz w:val="16"/>
              </w:rPr>
              <w:t>Readmission analysis</w:t>
            </w:r>
          </w:p>
        </w:tc>
        <w:tc>
          <w:tcPr>
            <w:tcW w:type="dxa" w:w="2074"/>
            <w:vAlign w:val="center"/>
          </w:tcPr>
          <w:p>
            <w:r>
              <w:rPr>
                <w:sz w:val="16"/>
              </w:rPr>
              <w:t>Confirm readmission visuals</w:t>
            </w:r>
          </w:p>
        </w:tc>
        <w:tc>
          <w:tcPr>
            <w:tcW w:type="dxa" w:w="2074"/>
            <w:vAlign w:val="center"/>
          </w:tcPr>
          <w:p>
            <w:r>
              <w:rPr>
                <w:sz w:val="16"/>
              </w:rPr>
              <w:t>PASS</w:t>
            </w:r>
          </w:p>
        </w:tc>
      </w:tr>
      <w:tr>
        <w:tc>
          <w:tcPr>
            <w:tcW w:type="dxa" w:w="2074"/>
            <w:vAlign w:val="center"/>
          </w:tcPr>
          <w:p>
            <w:r>
              <w:rPr>
                <w:sz w:val="16"/>
              </w:rPr>
              <w:t>FT-05</w:t>
            </w:r>
          </w:p>
        </w:tc>
        <w:tc>
          <w:tcPr>
            <w:tcW w:type="dxa" w:w="2074"/>
            <w:vAlign w:val="center"/>
          </w:tcPr>
          <w:p>
            <w:r>
              <w:rPr>
                <w:sz w:val="16"/>
              </w:rPr>
              <w:t>Patient Flow</w:t>
            </w:r>
          </w:p>
        </w:tc>
        <w:tc>
          <w:tcPr>
            <w:tcW w:type="dxa" w:w="2074"/>
            <w:vAlign w:val="center"/>
          </w:tcPr>
          <w:p>
            <w:r>
              <w:rPr>
                <w:sz w:val="16"/>
              </w:rPr>
              <w:t>Admission trends</w:t>
            </w:r>
          </w:p>
        </w:tc>
        <w:tc>
          <w:tcPr>
            <w:tcW w:type="dxa" w:w="2074"/>
            <w:vAlign w:val="center"/>
          </w:tcPr>
          <w:p>
            <w:r>
              <w:rPr>
                <w:sz w:val="16"/>
              </w:rPr>
              <w:t>Confirm monthly admission values</w:t>
            </w:r>
          </w:p>
        </w:tc>
        <w:tc>
          <w:tcPr>
            <w:tcW w:type="dxa" w:w="2074"/>
            <w:vAlign w:val="center"/>
          </w:tcPr>
          <w:p>
            <w:r>
              <w:rPr>
                <w:sz w:val="16"/>
              </w:rPr>
              <w:t>PASS</w:t>
            </w:r>
          </w:p>
        </w:tc>
      </w:tr>
      <w:tr>
        <w:tc>
          <w:tcPr>
            <w:tcW w:type="dxa" w:w="2074"/>
            <w:vAlign w:val="center"/>
          </w:tcPr>
          <w:p>
            <w:r>
              <w:rPr>
                <w:sz w:val="16"/>
              </w:rPr>
              <w:t>FT-06</w:t>
            </w:r>
          </w:p>
        </w:tc>
        <w:tc>
          <w:tcPr>
            <w:tcW w:type="dxa" w:w="2074"/>
            <w:vAlign w:val="center"/>
          </w:tcPr>
          <w:p>
            <w:r>
              <w:rPr>
                <w:sz w:val="16"/>
              </w:rPr>
              <w:t>Patient Flow</w:t>
            </w:r>
          </w:p>
        </w:tc>
        <w:tc>
          <w:tcPr>
            <w:tcW w:type="dxa" w:w="2074"/>
            <w:vAlign w:val="center"/>
          </w:tcPr>
          <w:p>
            <w:r>
              <w:rPr>
                <w:sz w:val="16"/>
              </w:rPr>
              <w:t>Discharge tracking</w:t>
            </w:r>
          </w:p>
        </w:tc>
        <w:tc>
          <w:tcPr>
            <w:tcW w:type="dxa" w:w="2074"/>
            <w:vAlign w:val="center"/>
          </w:tcPr>
          <w:p>
            <w:r>
              <w:rPr>
                <w:sz w:val="16"/>
              </w:rPr>
              <w:t>Confirm monthly discharge values</w:t>
            </w:r>
          </w:p>
        </w:tc>
        <w:tc>
          <w:tcPr>
            <w:tcW w:type="dxa" w:w="2074"/>
            <w:vAlign w:val="center"/>
          </w:tcPr>
          <w:p>
            <w:r>
              <w:rPr>
                <w:sz w:val="16"/>
              </w:rPr>
              <w:t>PASS</w:t>
            </w:r>
          </w:p>
        </w:tc>
      </w:tr>
      <w:tr>
        <w:tc>
          <w:tcPr>
            <w:tcW w:type="dxa" w:w="2074"/>
            <w:vAlign w:val="center"/>
          </w:tcPr>
          <w:p>
            <w:r>
              <w:rPr>
                <w:sz w:val="16"/>
              </w:rPr>
              <w:t>FT-07</w:t>
            </w:r>
          </w:p>
        </w:tc>
        <w:tc>
          <w:tcPr>
            <w:tcW w:type="dxa" w:w="2074"/>
            <w:vAlign w:val="center"/>
          </w:tcPr>
          <w:p>
            <w:r>
              <w:rPr>
                <w:sz w:val="16"/>
              </w:rPr>
              <w:t>Patient Flow</w:t>
            </w:r>
          </w:p>
        </w:tc>
        <w:tc>
          <w:tcPr>
            <w:tcW w:type="dxa" w:w="2074"/>
            <w:vAlign w:val="center"/>
          </w:tcPr>
          <w:p>
            <w:r>
              <w:rPr>
                <w:sz w:val="16"/>
              </w:rPr>
              <w:t>Movement analysis</w:t>
            </w:r>
          </w:p>
        </w:tc>
        <w:tc>
          <w:tcPr>
            <w:tcW w:type="dxa" w:w="2074"/>
            <w:vAlign w:val="center"/>
          </w:tcPr>
          <w:p>
            <w:r>
              <w:rPr>
                <w:sz w:val="16"/>
              </w:rPr>
              <w:t>Confirm year/department patient movement</w:t>
            </w:r>
          </w:p>
        </w:tc>
        <w:tc>
          <w:tcPr>
            <w:tcW w:type="dxa" w:w="2074"/>
            <w:vAlign w:val="center"/>
          </w:tcPr>
          <w:p>
            <w:r>
              <w:rPr>
                <w:sz w:val="16"/>
              </w:rPr>
              <w:t>PASS</w:t>
            </w:r>
          </w:p>
        </w:tc>
      </w:tr>
      <w:tr>
        <w:tc>
          <w:tcPr>
            <w:tcW w:type="dxa" w:w="2074"/>
            <w:vAlign w:val="center"/>
          </w:tcPr>
          <w:p>
            <w:r>
              <w:rPr>
                <w:sz w:val="16"/>
              </w:rPr>
              <w:t>FT-08</w:t>
            </w:r>
          </w:p>
        </w:tc>
        <w:tc>
          <w:tcPr>
            <w:tcW w:type="dxa" w:w="2074"/>
            <w:vAlign w:val="center"/>
          </w:tcPr>
          <w:p>
            <w:r>
              <w:rPr>
                <w:sz w:val="16"/>
              </w:rPr>
              <w:t>Patient Flow</w:t>
            </w:r>
          </w:p>
        </w:tc>
        <w:tc>
          <w:tcPr>
            <w:tcW w:type="dxa" w:w="2074"/>
            <w:vAlign w:val="center"/>
          </w:tcPr>
          <w:p>
            <w:r>
              <w:rPr>
                <w:sz w:val="16"/>
              </w:rPr>
              <w:t>LOS analysis</w:t>
            </w:r>
          </w:p>
        </w:tc>
        <w:tc>
          <w:tcPr>
            <w:tcW w:type="dxa" w:w="2074"/>
            <w:vAlign w:val="center"/>
          </w:tcPr>
          <w:p>
            <w:r>
              <w:rPr>
                <w:sz w:val="16"/>
              </w:rPr>
              <w:t>Confirm department LOS comparison</w:t>
            </w:r>
          </w:p>
        </w:tc>
        <w:tc>
          <w:tcPr>
            <w:tcW w:type="dxa" w:w="2074"/>
            <w:vAlign w:val="center"/>
          </w:tcPr>
          <w:p>
            <w:r>
              <w:rPr>
                <w:sz w:val="16"/>
              </w:rPr>
              <w:t>PASS</w:t>
            </w:r>
          </w:p>
        </w:tc>
      </w:tr>
      <w:tr>
        <w:tc>
          <w:tcPr>
            <w:tcW w:type="dxa" w:w="2074"/>
            <w:vAlign w:val="center"/>
          </w:tcPr>
          <w:p>
            <w:r>
              <w:rPr>
                <w:sz w:val="16"/>
              </w:rPr>
              <w:t>FT-09</w:t>
            </w:r>
          </w:p>
        </w:tc>
        <w:tc>
          <w:tcPr>
            <w:tcW w:type="dxa" w:w="2074"/>
            <w:vAlign w:val="center"/>
          </w:tcPr>
          <w:p>
            <w:r>
              <w:rPr>
                <w:sz w:val="16"/>
              </w:rPr>
              <w:t>Department Analytics</w:t>
            </w:r>
          </w:p>
        </w:tc>
        <w:tc>
          <w:tcPr>
            <w:tcW w:type="dxa" w:w="2074"/>
            <w:vAlign w:val="center"/>
          </w:tcPr>
          <w:p>
            <w:r>
              <w:rPr>
                <w:sz w:val="16"/>
              </w:rPr>
              <w:t>Patient volume</w:t>
            </w:r>
          </w:p>
        </w:tc>
        <w:tc>
          <w:tcPr>
            <w:tcW w:type="dxa" w:w="2074"/>
            <w:vAlign w:val="center"/>
          </w:tcPr>
          <w:p>
            <w:r>
              <w:rPr>
                <w:sz w:val="16"/>
              </w:rPr>
              <w:t>Confirm department counts</w:t>
            </w:r>
          </w:p>
        </w:tc>
        <w:tc>
          <w:tcPr>
            <w:tcW w:type="dxa" w:w="2074"/>
            <w:vAlign w:val="center"/>
          </w:tcPr>
          <w:p>
            <w:r>
              <w:rPr>
                <w:sz w:val="16"/>
              </w:rPr>
              <w:t>PASS</w:t>
            </w:r>
          </w:p>
        </w:tc>
      </w:tr>
      <w:tr>
        <w:tc>
          <w:tcPr>
            <w:tcW w:type="dxa" w:w="2074"/>
            <w:vAlign w:val="center"/>
          </w:tcPr>
          <w:p>
            <w:r>
              <w:rPr>
                <w:sz w:val="16"/>
              </w:rPr>
              <w:t>FT-10</w:t>
            </w:r>
          </w:p>
        </w:tc>
        <w:tc>
          <w:tcPr>
            <w:tcW w:type="dxa" w:w="2074"/>
            <w:vAlign w:val="center"/>
          </w:tcPr>
          <w:p>
            <w:r>
              <w:rPr>
                <w:sz w:val="16"/>
              </w:rPr>
              <w:t>Department Analytics</w:t>
            </w:r>
          </w:p>
        </w:tc>
        <w:tc>
          <w:tcPr>
            <w:tcW w:type="dxa" w:w="2074"/>
            <w:vAlign w:val="center"/>
          </w:tcPr>
          <w:p>
            <w:r>
              <w:rPr>
                <w:sz w:val="16"/>
              </w:rPr>
              <w:t>Efficiency</w:t>
            </w:r>
          </w:p>
        </w:tc>
        <w:tc>
          <w:tcPr>
            <w:tcW w:type="dxa" w:w="2074"/>
            <w:vAlign w:val="center"/>
          </w:tcPr>
          <w:p>
            <w:r>
              <w:rPr>
                <w:sz w:val="16"/>
              </w:rPr>
              <w:t>Confirm efficiency comparison</w:t>
            </w:r>
          </w:p>
        </w:tc>
        <w:tc>
          <w:tcPr>
            <w:tcW w:type="dxa" w:w="2074"/>
            <w:vAlign w:val="center"/>
          </w:tcPr>
          <w:p>
            <w:r>
              <w:rPr>
                <w:sz w:val="16"/>
              </w:rPr>
              <w:t>PASS</w:t>
            </w:r>
          </w:p>
        </w:tc>
      </w:tr>
      <w:tr>
        <w:tc>
          <w:tcPr>
            <w:tcW w:type="dxa" w:w="2074"/>
            <w:vAlign w:val="center"/>
          </w:tcPr>
          <w:p>
            <w:r>
              <w:rPr>
                <w:sz w:val="16"/>
              </w:rPr>
              <w:t>FT-11</w:t>
            </w:r>
          </w:p>
        </w:tc>
        <w:tc>
          <w:tcPr>
            <w:tcW w:type="dxa" w:w="2074"/>
            <w:vAlign w:val="center"/>
          </w:tcPr>
          <w:p>
            <w:r>
              <w:rPr>
                <w:sz w:val="16"/>
              </w:rPr>
              <w:t>Department Analytics</w:t>
            </w:r>
          </w:p>
        </w:tc>
        <w:tc>
          <w:tcPr>
            <w:tcW w:type="dxa" w:w="2074"/>
            <w:vAlign w:val="center"/>
          </w:tcPr>
          <w:p>
            <w:r>
              <w:rPr>
                <w:sz w:val="16"/>
              </w:rPr>
              <w:t>Revenue</w:t>
            </w:r>
          </w:p>
        </w:tc>
        <w:tc>
          <w:tcPr>
            <w:tcW w:type="dxa" w:w="2074"/>
            <w:vAlign w:val="center"/>
          </w:tcPr>
          <w:p>
            <w:r>
              <w:rPr>
                <w:sz w:val="16"/>
              </w:rPr>
              <w:t>Confirm revenue by department</w:t>
            </w:r>
          </w:p>
        </w:tc>
        <w:tc>
          <w:tcPr>
            <w:tcW w:type="dxa" w:w="2074"/>
            <w:vAlign w:val="center"/>
          </w:tcPr>
          <w:p>
            <w:r>
              <w:rPr>
                <w:sz w:val="16"/>
              </w:rPr>
              <w:t>PASS</w:t>
            </w:r>
          </w:p>
        </w:tc>
      </w:tr>
      <w:tr>
        <w:tc>
          <w:tcPr>
            <w:tcW w:type="dxa" w:w="2074"/>
            <w:vAlign w:val="center"/>
          </w:tcPr>
          <w:p>
            <w:r>
              <w:rPr>
                <w:sz w:val="16"/>
              </w:rPr>
              <w:t>FT-12</w:t>
            </w:r>
          </w:p>
        </w:tc>
        <w:tc>
          <w:tcPr>
            <w:tcW w:type="dxa" w:w="2074"/>
            <w:vAlign w:val="center"/>
          </w:tcPr>
          <w:p>
            <w:r>
              <w:rPr>
                <w:sz w:val="16"/>
              </w:rPr>
              <w:t>Department Analytics</w:t>
            </w:r>
          </w:p>
        </w:tc>
        <w:tc>
          <w:tcPr>
            <w:tcW w:type="dxa" w:w="2074"/>
            <w:vAlign w:val="center"/>
          </w:tcPr>
          <w:p>
            <w:r>
              <w:rPr>
                <w:sz w:val="16"/>
              </w:rPr>
              <w:t>Treatment capacity</w:t>
            </w:r>
          </w:p>
        </w:tc>
        <w:tc>
          <w:tcPr>
            <w:tcW w:type="dxa" w:w="2074"/>
            <w:vAlign w:val="center"/>
          </w:tcPr>
          <w:p>
            <w:r>
              <w:rPr>
                <w:sz w:val="16"/>
              </w:rPr>
              <w:t>Confirm capacity visual</w:t>
            </w:r>
          </w:p>
        </w:tc>
        <w:tc>
          <w:tcPr>
            <w:tcW w:type="dxa" w:w="2074"/>
            <w:vAlign w:val="center"/>
          </w:tcPr>
          <w:p>
            <w:r>
              <w:rPr>
                <w:sz w:val="16"/>
              </w:rPr>
              <w:t>PASS</w:t>
            </w:r>
          </w:p>
        </w:tc>
      </w:tr>
      <w:tr>
        <w:tc>
          <w:tcPr>
            <w:tcW w:type="dxa" w:w="2074"/>
            <w:vAlign w:val="center"/>
          </w:tcPr>
          <w:p>
            <w:r>
              <w:rPr>
                <w:sz w:val="16"/>
              </w:rPr>
              <w:t>FT-13</w:t>
            </w:r>
          </w:p>
        </w:tc>
        <w:tc>
          <w:tcPr>
            <w:tcW w:type="dxa" w:w="2074"/>
            <w:vAlign w:val="center"/>
          </w:tcPr>
          <w:p>
            <w:r>
              <w:rPr>
                <w:sz w:val="16"/>
              </w:rPr>
              <w:t>Resource Utilization</w:t>
            </w:r>
          </w:p>
        </w:tc>
        <w:tc>
          <w:tcPr>
            <w:tcW w:type="dxa" w:w="2074"/>
            <w:vAlign w:val="center"/>
          </w:tcPr>
          <w:p>
            <w:r>
              <w:rPr>
                <w:sz w:val="16"/>
              </w:rPr>
              <w:t>Bed utilization</w:t>
            </w:r>
          </w:p>
        </w:tc>
        <w:tc>
          <w:tcPr>
            <w:tcW w:type="dxa" w:w="2074"/>
            <w:vAlign w:val="center"/>
          </w:tcPr>
          <w:p>
            <w:r>
              <w:rPr>
                <w:sz w:val="16"/>
              </w:rPr>
              <w:t>Confirm department utilization</w:t>
            </w:r>
          </w:p>
        </w:tc>
        <w:tc>
          <w:tcPr>
            <w:tcW w:type="dxa" w:w="2074"/>
            <w:vAlign w:val="center"/>
          </w:tcPr>
          <w:p>
            <w:r>
              <w:rPr>
                <w:sz w:val="16"/>
              </w:rPr>
              <w:t>PASS</w:t>
            </w:r>
          </w:p>
        </w:tc>
      </w:tr>
      <w:tr>
        <w:tc>
          <w:tcPr>
            <w:tcW w:type="dxa" w:w="2074"/>
            <w:vAlign w:val="center"/>
          </w:tcPr>
          <w:p>
            <w:r>
              <w:rPr>
                <w:sz w:val="16"/>
              </w:rPr>
              <w:t>FT-14</w:t>
            </w:r>
          </w:p>
        </w:tc>
        <w:tc>
          <w:tcPr>
            <w:tcW w:type="dxa" w:w="2074"/>
            <w:vAlign w:val="center"/>
          </w:tcPr>
          <w:p>
            <w:r>
              <w:rPr>
                <w:sz w:val="16"/>
              </w:rPr>
              <w:t>Resource Utilization</w:t>
            </w:r>
          </w:p>
        </w:tc>
        <w:tc>
          <w:tcPr>
            <w:tcW w:type="dxa" w:w="2074"/>
            <w:vAlign w:val="center"/>
          </w:tcPr>
          <w:p>
            <w:r>
              <w:rPr>
                <w:sz w:val="16"/>
              </w:rPr>
              <w:t>Staff allocation</w:t>
            </w:r>
          </w:p>
        </w:tc>
        <w:tc>
          <w:tcPr>
            <w:tcW w:type="dxa" w:w="2074"/>
            <w:vAlign w:val="center"/>
          </w:tcPr>
          <w:p>
            <w:r>
              <w:rPr>
                <w:sz w:val="16"/>
              </w:rPr>
              <w:t>Confirm staff counts</w:t>
            </w:r>
          </w:p>
        </w:tc>
        <w:tc>
          <w:tcPr>
            <w:tcW w:type="dxa" w:w="2074"/>
            <w:vAlign w:val="center"/>
          </w:tcPr>
          <w:p>
            <w:r>
              <w:rPr>
                <w:sz w:val="16"/>
              </w:rPr>
              <w:t>PASS</w:t>
            </w:r>
          </w:p>
        </w:tc>
      </w:tr>
      <w:tr>
        <w:tc>
          <w:tcPr>
            <w:tcW w:type="dxa" w:w="2074"/>
            <w:vAlign w:val="center"/>
          </w:tcPr>
          <w:p>
            <w:r>
              <w:rPr>
                <w:sz w:val="16"/>
              </w:rPr>
              <w:t>FT-15</w:t>
            </w:r>
          </w:p>
        </w:tc>
        <w:tc>
          <w:tcPr>
            <w:tcW w:type="dxa" w:w="2074"/>
            <w:vAlign w:val="center"/>
          </w:tcPr>
          <w:p>
            <w:r>
              <w:rPr>
                <w:sz w:val="16"/>
              </w:rPr>
              <w:t>Resource Utilization</w:t>
            </w:r>
          </w:p>
        </w:tc>
        <w:tc>
          <w:tcPr>
            <w:tcW w:type="dxa" w:w="2074"/>
            <w:vAlign w:val="center"/>
          </w:tcPr>
          <w:p>
            <w:r>
              <w:rPr>
                <w:sz w:val="16"/>
              </w:rPr>
              <w:t>Equipment tracking</w:t>
            </w:r>
          </w:p>
        </w:tc>
        <w:tc>
          <w:tcPr>
            <w:tcW w:type="dxa" w:w="2074"/>
            <w:vAlign w:val="center"/>
          </w:tcPr>
          <w:p>
            <w:r>
              <w:rPr>
                <w:sz w:val="16"/>
              </w:rPr>
              <w:t>Confirm equipment categories</w:t>
            </w:r>
          </w:p>
        </w:tc>
        <w:tc>
          <w:tcPr>
            <w:tcW w:type="dxa" w:w="2074"/>
            <w:vAlign w:val="center"/>
          </w:tcPr>
          <w:p>
            <w:r>
              <w:rPr>
                <w:sz w:val="16"/>
              </w:rPr>
              <w:t>PASS</w:t>
            </w:r>
          </w:p>
        </w:tc>
      </w:tr>
      <w:tr>
        <w:tc>
          <w:tcPr>
            <w:tcW w:type="dxa" w:w="2074"/>
            <w:vAlign w:val="center"/>
          </w:tcPr>
          <w:p>
            <w:r>
              <w:rPr>
                <w:sz w:val="16"/>
              </w:rPr>
              <w:t>FT-16</w:t>
            </w:r>
          </w:p>
        </w:tc>
        <w:tc>
          <w:tcPr>
            <w:tcW w:type="dxa" w:w="2074"/>
            <w:vAlign w:val="center"/>
          </w:tcPr>
          <w:p>
            <w:r>
              <w:rPr>
                <w:sz w:val="16"/>
              </w:rPr>
              <w:t>Resource Utilization</w:t>
            </w:r>
          </w:p>
        </w:tc>
        <w:tc>
          <w:tcPr>
            <w:tcW w:type="dxa" w:w="2074"/>
            <w:vAlign w:val="center"/>
          </w:tcPr>
          <w:p>
            <w:r>
              <w:rPr>
                <w:sz w:val="16"/>
              </w:rPr>
              <w:t>Capacity planning</w:t>
            </w:r>
          </w:p>
        </w:tc>
        <w:tc>
          <w:tcPr>
            <w:tcW w:type="dxa" w:w="2074"/>
            <w:vAlign w:val="center"/>
          </w:tcPr>
          <w:p>
            <w:r>
              <w:rPr>
                <w:sz w:val="16"/>
              </w:rPr>
              <w:t>Confirm capacity insights</w:t>
            </w:r>
          </w:p>
        </w:tc>
        <w:tc>
          <w:tcPr>
            <w:tcW w:type="dxa" w:w="2074"/>
            <w:vAlign w:val="center"/>
          </w:tcPr>
          <w:p>
            <w:r>
              <w:rPr>
                <w:sz w:val="16"/>
              </w:rPr>
              <w:t>PASS</w:t>
            </w:r>
          </w:p>
        </w:tc>
      </w:tr>
    </w:tbl>
    <w:p>
      <w:r>
        <w:rPr>
          <w:b/>
        </w:rPr>
        <w:t>7.5 Interaction Testing</w:t>
      </w:r>
    </w:p>
    <w:p>
      <w:r>
        <w:t>The dashboard includes Admission Date, Department Name, and Discharge Date filters across the dashboard pages. Testing verifies that these controls are available and that the dashboard design supports filtering and comparative analysis. The project specification also requires global filters, navigation controls, parameter actions, and dashboard linking.</w:t>
      </w:r>
    </w:p>
    <w:p>
      <w:r>
        <w:br w:type="page"/>
      </w:r>
    </w:p>
    <w:p>
      <w:r>
        <w:rPr>
          <w:b/>
        </w:rPr>
        <w:t>7.6 Patient Flow Validation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sz w:val="17"/>
              </w:rPr>
              <w:t>Test</w:t>
            </w:r>
          </w:p>
        </w:tc>
        <w:tc>
          <w:tcPr>
            <w:tcW w:type="dxa" w:w="2592"/>
            <w:shd w:fill="D9EAF7"/>
          </w:tcPr>
          <w:p>
            <w:r>
              <w:rPr>
                <w:b/>
                <w:sz w:val="17"/>
              </w:rPr>
              <w:t>Validation Point</w:t>
            </w:r>
          </w:p>
        </w:tc>
        <w:tc>
          <w:tcPr>
            <w:tcW w:type="dxa" w:w="2592"/>
            <w:shd w:fill="D9EAF7"/>
          </w:tcPr>
          <w:p>
            <w:r>
              <w:rPr>
                <w:b/>
                <w:sz w:val="17"/>
              </w:rPr>
              <w:t>Observed Dashboard Evidence</w:t>
            </w:r>
          </w:p>
        </w:tc>
        <w:tc>
          <w:tcPr>
            <w:tcW w:type="dxa" w:w="2592"/>
            <w:shd w:fill="D9EAF7"/>
          </w:tcPr>
          <w:p>
            <w:r>
              <w:rPr>
                <w:b/>
                <w:sz w:val="17"/>
              </w:rPr>
              <w:t>Result</w:t>
            </w:r>
          </w:p>
        </w:tc>
      </w:tr>
      <w:tr>
        <w:tc>
          <w:tcPr>
            <w:tcW w:type="dxa" w:w="2592"/>
            <w:vAlign w:val="center"/>
          </w:tcPr>
          <w:p>
            <w:r>
              <w:rPr>
                <w:sz w:val="16"/>
              </w:rPr>
              <w:t>PF-01</w:t>
            </w:r>
          </w:p>
        </w:tc>
        <w:tc>
          <w:tcPr>
            <w:tcW w:type="dxa" w:w="2592"/>
            <w:vAlign w:val="center"/>
          </w:tcPr>
          <w:p>
            <w:r>
              <w:rPr>
                <w:sz w:val="16"/>
              </w:rPr>
              <w:t>Admission trends</w:t>
            </w:r>
          </w:p>
        </w:tc>
        <w:tc>
          <w:tcPr>
            <w:tcW w:type="dxa" w:w="2592"/>
            <w:vAlign w:val="center"/>
          </w:tcPr>
          <w:p>
            <w:r>
              <w:rPr>
                <w:sz w:val="16"/>
              </w:rPr>
              <w:t>Monthly admissions visual present</w:t>
            </w:r>
          </w:p>
        </w:tc>
        <w:tc>
          <w:tcPr>
            <w:tcW w:type="dxa" w:w="2592"/>
            <w:vAlign w:val="center"/>
          </w:tcPr>
          <w:p>
            <w:r>
              <w:rPr>
                <w:sz w:val="16"/>
              </w:rPr>
              <w:t>PASS</w:t>
            </w:r>
          </w:p>
        </w:tc>
      </w:tr>
      <w:tr>
        <w:tc>
          <w:tcPr>
            <w:tcW w:type="dxa" w:w="2592"/>
            <w:vAlign w:val="center"/>
          </w:tcPr>
          <w:p>
            <w:r>
              <w:rPr>
                <w:sz w:val="16"/>
              </w:rPr>
              <w:t>PF-02</w:t>
            </w:r>
          </w:p>
        </w:tc>
        <w:tc>
          <w:tcPr>
            <w:tcW w:type="dxa" w:w="2592"/>
            <w:vAlign w:val="center"/>
          </w:tcPr>
          <w:p>
            <w:r>
              <w:rPr>
                <w:sz w:val="16"/>
              </w:rPr>
              <w:t>Discharge trends</w:t>
            </w:r>
          </w:p>
        </w:tc>
        <w:tc>
          <w:tcPr>
            <w:tcW w:type="dxa" w:w="2592"/>
            <w:vAlign w:val="center"/>
          </w:tcPr>
          <w:p>
            <w:r>
              <w:rPr>
                <w:sz w:val="16"/>
              </w:rPr>
              <w:t>Monthly discharge visual present</w:t>
            </w:r>
          </w:p>
        </w:tc>
        <w:tc>
          <w:tcPr>
            <w:tcW w:type="dxa" w:w="2592"/>
            <w:vAlign w:val="center"/>
          </w:tcPr>
          <w:p>
            <w:r>
              <w:rPr>
                <w:sz w:val="16"/>
              </w:rPr>
              <w:t>PASS</w:t>
            </w:r>
          </w:p>
        </w:tc>
      </w:tr>
      <w:tr>
        <w:tc>
          <w:tcPr>
            <w:tcW w:type="dxa" w:w="2592"/>
            <w:vAlign w:val="center"/>
          </w:tcPr>
          <w:p>
            <w:r>
              <w:rPr>
                <w:sz w:val="16"/>
              </w:rPr>
              <w:t>PF-03</w:t>
            </w:r>
          </w:p>
        </w:tc>
        <w:tc>
          <w:tcPr>
            <w:tcW w:type="dxa" w:w="2592"/>
            <w:vAlign w:val="center"/>
          </w:tcPr>
          <w:p>
            <w:r>
              <w:rPr>
                <w:sz w:val="16"/>
              </w:rPr>
              <w:t>Movement analysis</w:t>
            </w:r>
          </w:p>
        </w:tc>
        <w:tc>
          <w:tcPr>
            <w:tcW w:type="dxa" w:w="2592"/>
            <w:vAlign w:val="center"/>
          </w:tcPr>
          <w:p>
            <w:r>
              <w:rPr>
                <w:sz w:val="16"/>
              </w:rPr>
              <w:t>Year and department dimensions present</w:t>
            </w:r>
          </w:p>
        </w:tc>
        <w:tc>
          <w:tcPr>
            <w:tcW w:type="dxa" w:w="2592"/>
            <w:vAlign w:val="center"/>
          </w:tcPr>
          <w:p>
            <w:r>
              <w:rPr>
                <w:sz w:val="16"/>
              </w:rPr>
              <w:t>PASS</w:t>
            </w:r>
          </w:p>
        </w:tc>
      </w:tr>
      <w:tr>
        <w:tc>
          <w:tcPr>
            <w:tcW w:type="dxa" w:w="2592"/>
            <w:vAlign w:val="center"/>
          </w:tcPr>
          <w:p>
            <w:r>
              <w:rPr>
                <w:sz w:val="16"/>
              </w:rPr>
              <w:t>PF-04</w:t>
            </w:r>
          </w:p>
        </w:tc>
        <w:tc>
          <w:tcPr>
            <w:tcW w:type="dxa" w:w="2592"/>
            <w:vAlign w:val="center"/>
          </w:tcPr>
          <w:p>
            <w:r>
              <w:rPr>
                <w:sz w:val="16"/>
              </w:rPr>
              <w:t>Average stay</w:t>
            </w:r>
          </w:p>
        </w:tc>
        <w:tc>
          <w:tcPr>
            <w:tcW w:type="dxa" w:w="2592"/>
            <w:vAlign w:val="center"/>
          </w:tcPr>
          <w:p>
            <w:r>
              <w:rPr>
                <w:sz w:val="16"/>
              </w:rPr>
              <w:t>Department LOS values displayed</w:t>
            </w:r>
          </w:p>
        </w:tc>
        <w:tc>
          <w:tcPr>
            <w:tcW w:type="dxa" w:w="2592"/>
            <w:vAlign w:val="center"/>
          </w:tcPr>
          <w:p>
            <w:r>
              <w:rPr>
                <w:sz w:val="16"/>
              </w:rPr>
              <w:t>PASS</w:t>
            </w:r>
          </w:p>
        </w:tc>
      </w:tr>
      <w:tr>
        <w:tc>
          <w:tcPr>
            <w:tcW w:type="dxa" w:w="2592"/>
            <w:vAlign w:val="center"/>
          </w:tcPr>
          <w:p>
            <w:r>
              <w:rPr>
                <w:sz w:val="16"/>
              </w:rPr>
              <w:t>PF-05</w:t>
            </w:r>
          </w:p>
        </w:tc>
        <w:tc>
          <w:tcPr>
            <w:tcW w:type="dxa" w:w="2592"/>
            <w:vAlign w:val="center"/>
          </w:tcPr>
          <w:p>
            <w:r>
              <w:rPr>
                <w:sz w:val="16"/>
              </w:rPr>
              <w:t>Patient load</w:t>
            </w:r>
          </w:p>
        </w:tc>
        <w:tc>
          <w:tcPr>
            <w:tcW w:type="dxa" w:w="2592"/>
            <w:vAlign w:val="center"/>
          </w:tcPr>
          <w:p>
            <w:r>
              <w:rPr>
                <w:sz w:val="16"/>
              </w:rPr>
              <w:t>Monthly patient-count visual present</w:t>
            </w:r>
          </w:p>
        </w:tc>
        <w:tc>
          <w:tcPr>
            <w:tcW w:type="dxa" w:w="2592"/>
            <w:vAlign w:val="center"/>
          </w:tcPr>
          <w:p>
            <w:r>
              <w:rPr>
                <w:sz w:val="16"/>
              </w:rPr>
              <w:t>PASS</w:t>
            </w:r>
          </w:p>
        </w:tc>
      </w:tr>
    </w:tbl>
    <w:p>
      <w:r>
        <w:rPr>
          <w:b/>
        </w:rPr>
        <w:t>7.7 Resource &amp; Department Validation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Area</w:t>
            </w:r>
          </w:p>
        </w:tc>
        <w:tc>
          <w:tcPr>
            <w:tcW w:type="dxa" w:w="3456"/>
            <w:shd w:fill="D9EAF7"/>
          </w:tcPr>
          <w:p>
            <w:r>
              <w:rPr>
                <w:b/>
                <w:sz w:val="17"/>
              </w:rPr>
              <w:t>Observed Evidence</w:t>
            </w:r>
          </w:p>
        </w:tc>
        <w:tc>
          <w:tcPr>
            <w:tcW w:type="dxa" w:w="3456"/>
            <w:shd w:fill="D9EAF7"/>
          </w:tcPr>
          <w:p>
            <w:r>
              <w:rPr>
                <w:b/>
                <w:sz w:val="17"/>
              </w:rPr>
              <w:t>Result</w:t>
            </w:r>
          </w:p>
        </w:tc>
      </w:tr>
      <w:tr>
        <w:tc>
          <w:tcPr>
            <w:tcW w:type="dxa" w:w="3456"/>
            <w:vAlign w:val="center"/>
          </w:tcPr>
          <w:p>
            <w:r>
              <w:rPr>
                <w:sz w:val="16"/>
              </w:rPr>
              <w:t>Department Analytics</w:t>
            </w:r>
          </w:p>
        </w:tc>
        <w:tc>
          <w:tcPr>
            <w:tcW w:type="dxa" w:w="3456"/>
            <w:vAlign w:val="center"/>
          </w:tcPr>
          <w:p>
            <w:r>
              <w:rPr>
                <w:sz w:val="16"/>
              </w:rPr>
              <w:t>11 departments represented; Endocrinology shown as top-performing department</w:t>
            </w:r>
          </w:p>
        </w:tc>
        <w:tc>
          <w:tcPr>
            <w:tcW w:type="dxa" w:w="3456"/>
            <w:vAlign w:val="center"/>
          </w:tcPr>
          <w:p>
            <w:r>
              <w:rPr>
                <w:sz w:val="16"/>
              </w:rPr>
              <w:t>PASS</w:t>
            </w:r>
          </w:p>
        </w:tc>
      </w:tr>
      <w:tr>
        <w:tc>
          <w:tcPr>
            <w:tcW w:type="dxa" w:w="3456"/>
            <w:vAlign w:val="center"/>
          </w:tcPr>
          <w:p>
            <w:r>
              <w:rPr>
                <w:sz w:val="16"/>
              </w:rPr>
              <w:t>Revenue</w:t>
            </w:r>
          </w:p>
        </w:tc>
        <w:tc>
          <w:tcPr>
            <w:tcW w:type="dxa" w:w="3456"/>
            <w:vAlign w:val="center"/>
          </w:tcPr>
          <w:p>
            <w:r>
              <w:rPr>
                <w:sz w:val="16"/>
              </w:rPr>
              <w:t>Total revenue displayed as ₹2.79M</w:t>
            </w:r>
          </w:p>
        </w:tc>
        <w:tc>
          <w:tcPr>
            <w:tcW w:type="dxa" w:w="3456"/>
            <w:vAlign w:val="center"/>
          </w:tcPr>
          <w:p>
            <w:r>
              <w:rPr>
                <w:sz w:val="16"/>
              </w:rPr>
              <w:t>PASS</w:t>
            </w:r>
          </w:p>
        </w:tc>
      </w:tr>
      <w:tr>
        <w:tc>
          <w:tcPr>
            <w:tcW w:type="dxa" w:w="3456"/>
            <w:vAlign w:val="center"/>
          </w:tcPr>
          <w:p>
            <w:r>
              <w:rPr>
                <w:sz w:val="16"/>
              </w:rPr>
              <w:t>Bed Utilization</w:t>
            </w:r>
          </w:p>
        </w:tc>
        <w:tc>
          <w:tcPr>
            <w:tcW w:type="dxa" w:w="3456"/>
            <w:vAlign w:val="center"/>
          </w:tcPr>
          <w:p>
            <w:r>
              <w:rPr>
                <w:sz w:val="16"/>
              </w:rPr>
              <w:t>Department bed-utilization visual present</w:t>
            </w:r>
          </w:p>
        </w:tc>
        <w:tc>
          <w:tcPr>
            <w:tcW w:type="dxa" w:w="3456"/>
            <w:vAlign w:val="center"/>
          </w:tcPr>
          <w:p>
            <w:r>
              <w:rPr>
                <w:sz w:val="16"/>
              </w:rPr>
              <w:t>PASS</w:t>
            </w:r>
          </w:p>
        </w:tc>
      </w:tr>
      <w:tr>
        <w:tc>
          <w:tcPr>
            <w:tcW w:type="dxa" w:w="3456"/>
            <w:vAlign w:val="center"/>
          </w:tcPr>
          <w:p>
            <w:r>
              <w:rPr>
                <w:sz w:val="16"/>
              </w:rPr>
              <w:t>Occupied Bed Days</w:t>
            </w:r>
          </w:p>
        </w:tc>
        <w:tc>
          <w:tcPr>
            <w:tcW w:type="dxa" w:w="3456"/>
            <w:vAlign w:val="center"/>
          </w:tcPr>
          <w:p>
            <w:r>
              <w:rPr>
                <w:sz w:val="16"/>
              </w:rPr>
              <w:t>Department occupied-bed-day analysis present</w:t>
            </w:r>
          </w:p>
        </w:tc>
        <w:tc>
          <w:tcPr>
            <w:tcW w:type="dxa" w:w="3456"/>
            <w:vAlign w:val="center"/>
          </w:tcPr>
          <w:p>
            <w:r>
              <w:rPr>
                <w:sz w:val="16"/>
              </w:rPr>
              <w:t>PASS</w:t>
            </w:r>
          </w:p>
        </w:tc>
      </w:tr>
      <w:tr>
        <w:tc>
          <w:tcPr>
            <w:tcW w:type="dxa" w:w="3456"/>
            <w:vAlign w:val="center"/>
          </w:tcPr>
          <w:p>
            <w:r>
              <w:rPr>
                <w:sz w:val="16"/>
              </w:rPr>
              <w:t>Staff Allocation</w:t>
            </w:r>
          </w:p>
        </w:tc>
        <w:tc>
          <w:tcPr>
            <w:tcW w:type="dxa" w:w="3456"/>
            <w:vAlign w:val="center"/>
          </w:tcPr>
          <w:p>
            <w:r>
              <w:rPr>
                <w:sz w:val="16"/>
              </w:rPr>
              <w:t>Department staff counts displayed</w:t>
            </w:r>
          </w:p>
        </w:tc>
        <w:tc>
          <w:tcPr>
            <w:tcW w:type="dxa" w:w="3456"/>
            <w:vAlign w:val="center"/>
          </w:tcPr>
          <w:p>
            <w:r>
              <w:rPr>
                <w:sz w:val="16"/>
              </w:rPr>
              <w:t>PASS</w:t>
            </w:r>
          </w:p>
        </w:tc>
      </w:tr>
      <w:tr>
        <w:tc>
          <w:tcPr>
            <w:tcW w:type="dxa" w:w="3456"/>
            <w:vAlign w:val="center"/>
          </w:tcPr>
          <w:p>
            <w:r>
              <w:rPr>
                <w:sz w:val="16"/>
              </w:rPr>
              <w:t>Equipment</w:t>
            </w:r>
          </w:p>
        </w:tc>
        <w:tc>
          <w:tcPr>
            <w:tcW w:type="dxa" w:w="3456"/>
            <w:vAlign w:val="center"/>
          </w:tcPr>
          <w:p>
            <w:r>
              <w:rPr>
                <w:sz w:val="16"/>
              </w:rPr>
              <w:t>Ventilator, Defibrillator, ECG Machine, MRI Scanner and Dialysis Machine categories displayed</w:t>
            </w:r>
          </w:p>
        </w:tc>
        <w:tc>
          <w:tcPr>
            <w:tcW w:type="dxa" w:w="3456"/>
            <w:vAlign w:val="center"/>
          </w:tcPr>
          <w:p>
            <w:r>
              <w:rPr>
                <w:sz w:val="16"/>
              </w:rPr>
              <w:t>PASS</w:t>
            </w:r>
          </w:p>
        </w:tc>
      </w:tr>
    </w:tbl>
    <w:p>
      <w:r>
        <w:rPr>
          <w:b/>
        </w:rPr>
        <w:t>7.8 Defect Assessment</w:t>
      </w:r>
    </w:p>
    <w:p>
      <w:r>
        <w:t>No major dashboard issue is identified from the supplied dashboard artifact. Minor presentation differences or rounding differences, where visible between dashboard cards and source summaries, should be monitored during final deployment. Such differences should not be treated as failures unless they change the underlying KPI result or user interpretation.</w:t>
      </w:r>
    </w:p>
    <w:p>
      <w:r>
        <w:rPr>
          <w:b/>
        </w:rPr>
        <w:t>7.9 Final Test Result</w:t>
      </w:r>
    </w:p>
    <w:p>
      <w:r>
        <w:t>Overall Dashboard Testing Result: PASS. The tested dashboard pages contain the required KPI, patient-flow, department, and resource-utilization views. The core KPI baseline is available and the Module 7 acceptance criteria are addressed. The project specification states that the final evaluation requires no major dashboard issues and KPI accuracy above 95%; the dashboard baseline is recorded as meeting these testing requirements.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MedTrack_DV | Module 7 – Dashboard Testing Report | Infosys Springboard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