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2430"/>
          <w:sz w:val="64"/>
          <w:szCs w:val="64"/>
        </w:rPr>
        <w:t xml:space="preserve">PolicyGPT</w:t>
      </w:r>
    </w:p>
    <w:p>
      <w:pPr>
        <w:spacing w:after="300"/>
        <w:jc w:val="center"/>
      </w:pPr>
      <w:r>
        <w:rPr>
          <w:b/>
          <w:bCs/>
          <w:color w:val="3B63E0"/>
          <w:sz w:val="30"/>
          <w:szCs w:val="30"/>
        </w:rPr>
        <w:t xml:space="preserve">Government Policy &amp; Public Scheme Intelligence Platform</w:t>
      </w:r>
    </w:p>
    <w:p>
      <w:pPr>
        <w:spacing w:after="60"/>
        <w:jc w:val="center"/>
      </w:pPr>
      <w:r>
        <w:rPr>
          <w:color w:val="444444"/>
          <w:sz w:val="26"/>
          <w:szCs w:val="26"/>
        </w:rPr>
        <w:t xml:space="preserve">UI Wireframes — Milestone 1</w:t>
      </w:r>
    </w:p>
    <w:p>
      <w:pPr>
        <w:jc w:val="center"/>
      </w:pPr>
      <w:r>
        <w:rPr>
          <w:i/>
          <w:iCs/>
          <w:color w:val="8A8F98"/>
          <w:sz w:val="22"/>
          <w:szCs w:val="22"/>
        </w:rPr>
        <w:t xml:space="preserve">Low-fidelity screen layouts for review before implementation</w:t>
      </w:r>
    </w:p>
    <w:p>
      <w:pPr>
        <w:spacing w:before="600"/>
        <w:jc w:val="center"/>
      </w:pPr>
      <w:r>
        <w:rPr>
          <w:b/>
          <w:bCs/>
          <w:sz w:val="22"/>
          <w:szCs w:val="22"/>
        </w:rPr>
        <w:t xml:space="preserve">Screens included:</w:t>
      </w:r>
    </w:p>
    <w:p>
      <w:pPr>
        <w:spacing w:after="40"/>
        <w:jc w:val="center"/>
      </w:pPr>
      <w:r>
        <w:rPr>
          <w:color w:val="333333"/>
          <w:sz w:val="21"/>
          <w:szCs w:val="21"/>
        </w:rPr>
        <w:t xml:space="preserve">1. Login Page</w:t>
      </w:r>
    </w:p>
    <w:p>
      <w:pPr>
        <w:spacing w:after="40"/>
        <w:jc w:val="center"/>
      </w:pPr>
      <w:r>
        <w:rPr>
          <w:color w:val="333333"/>
          <w:sz w:val="21"/>
          <w:szCs w:val="21"/>
        </w:rPr>
        <w:t xml:space="preserve">2. Registration Page</w:t>
      </w:r>
    </w:p>
    <w:p>
      <w:pPr>
        <w:spacing w:after="40"/>
        <w:jc w:val="center"/>
      </w:pPr>
      <w:r>
        <w:rPr>
          <w:color w:val="333333"/>
          <w:sz w:val="21"/>
          <w:szCs w:val="21"/>
        </w:rPr>
        <w:t xml:space="preserve">3. Citizen Dashboard</w:t>
      </w:r>
    </w:p>
    <w:p>
      <w:pPr>
        <w:spacing w:after="40"/>
        <w:jc w:val="center"/>
      </w:pPr>
      <w:r>
        <w:rPr>
          <w:color w:val="333333"/>
          <w:sz w:val="21"/>
          <w:szCs w:val="21"/>
        </w:rPr>
        <w:t xml:space="preserve">4. Government Dashboard</w:t>
      </w:r>
    </w:p>
    <w:p>
      <w:pPr>
        <w:spacing w:after="40"/>
        <w:jc w:val="center"/>
      </w:pPr>
      <w:r>
        <w:rPr>
          <w:color w:val="333333"/>
          <w:sz w:val="21"/>
          <w:szCs w:val="21"/>
        </w:rPr>
        <w:t xml:space="preserve">5. Policy Search Page</w:t>
      </w:r>
    </w:p>
    <w:p>
      <w:pPr>
        <w:spacing w:after="40"/>
        <w:jc w:val="center"/>
      </w:pPr>
      <w:r>
        <w:rPr>
          <w:color w:val="333333"/>
          <w:sz w:val="21"/>
          <w:szCs w:val="21"/>
        </w:rPr>
        <w:t xml:space="preserve">6. Policy Details Page</w:t>
      </w:r>
    </w:p>
    <w:p>
      <w:pPr>
        <w:spacing w:after="40"/>
        <w:jc w:val="center"/>
      </w:pPr>
      <w:r>
        <w:rPr>
          <w:color w:val="333333"/>
          <w:sz w:val="21"/>
          <w:szCs w:val="21"/>
        </w:rPr>
        <w:t xml:space="preserve">7. Scheme Details Page</w:t>
      </w:r>
    </w:p>
    <w:p>
      <w:pPr>
        <w:spacing w:after="40"/>
        <w:jc w:val="center"/>
      </w:pPr>
      <w:r>
        <w:rPr>
          <w:color w:val="333333"/>
          <w:sz w:val="21"/>
          <w:szCs w:val="21"/>
        </w:rPr>
        <w:t xml:space="preserve">8. Eligibility Checker</w:t>
      </w:r>
    </w:p>
    <w:p>
      <w:pPr>
        <w:spacing w:after="40"/>
        <w:jc w:val="center"/>
      </w:pPr>
      <w:r>
        <w:rPr>
          <w:color w:val="333333"/>
          <w:sz w:val="21"/>
          <w:szCs w:val="21"/>
        </w:rPr>
        <w:t xml:space="preserve">9. Reports Dashboard</w:t>
      </w:r>
    </w:p>
    <w:p>
      <w:pPr>
        <w:spacing w:after="40"/>
        <w:jc w:val="center"/>
      </w:pPr>
      <w:r>
        <w:rPr>
          <w:color w:val="333333"/>
          <w:sz w:val="21"/>
          <w:szCs w:val="21"/>
        </w:rPr>
        <w:t xml:space="preserve">10. Notification Screen</w:t>
      </w:r>
    </w:p>
    <w:p>
      <w:r>
        <w:br w:type="page"/>
      </w:r>
    </w:p>
    <w:p>
      <w:pPr>
        <w:pStyle w:val="Heading1"/>
        <w:spacing w:after="80" w:before="100"/>
      </w:pPr>
      <w:r>
        <w:rPr>
          <w:b/>
          <w:bCs/>
          <w:color w:val="1F2430"/>
          <w:sz w:val="30"/>
          <w:szCs w:val="30"/>
        </w:rPr>
        <w:t xml:space="preserve">1. Login Page</w:t>
      </w:r>
    </w:p>
    <w:p>
      <w:pPr>
        <w:spacing w:after="160"/>
      </w:pPr>
      <w:r>
        <w:rPr>
          <w:i/>
          <w:iCs/>
          <w:color w:val="555555"/>
          <w:sz w:val="21"/>
          <w:szCs w:val="21"/>
        </w:rPr>
        <w:t xml:space="preserve">Secure entry point for all user roles (Citizen, Government Official, Researcher, Organization, Guest). Supports email/mobile login, password recovery, and SSO/OAuth2 sign-in.</w:t>
      </w:r>
    </w:p>
    <w:p>
      <w:pPr>
        <w:spacing w:after="200"/>
        <w:jc w:val="center"/>
      </w:pPr>
      <w:r>
        <w:drawing>
          <wp:inline distT="0" distB="0" distL="0" distR="0">
            <wp:extent cx="7800975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09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 w:before="100"/>
      </w:pPr>
      <w:r>
        <w:rPr>
          <w:b/>
          <w:bCs/>
          <w:color w:val="1F2430"/>
          <w:sz w:val="30"/>
          <w:szCs w:val="30"/>
        </w:rPr>
        <w:t xml:space="preserve">2. Registration Page</w:t>
      </w:r>
    </w:p>
    <w:p>
      <w:pPr>
        <w:spacing w:after="160"/>
      </w:pPr>
      <w:r>
        <w:rPr>
          <w:i/>
          <w:iCs/>
          <w:color w:val="555555"/>
          <w:sz w:val="21"/>
          <w:szCs w:val="21"/>
        </w:rPr>
        <w:t xml:space="preserve">New account creation with role selection, personal details, location, and terms acceptance — feeds directly into Role-Based Access Control.</w:t>
      </w:r>
    </w:p>
    <w:p>
      <w:pPr>
        <w:spacing w:after="200"/>
        <w:jc w:val="center"/>
      </w:pPr>
      <w:r>
        <w:drawing>
          <wp:inline distT="0" distB="0" distL="0" distR="0">
            <wp:extent cx="7800975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09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 w:before="100"/>
      </w:pPr>
      <w:r>
        <w:rPr>
          <w:b/>
          <w:bCs/>
          <w:color w:val="1F2430"/>
          <w:sz w:val="30"/>
          <w:szCs w:val="30"/>
        </w:rPr>
        <w:t xml:space="preserve">3. Citizen Dashboard</w:t>
      </w:r>
    </w:p>
    <w:p>
      <w:pPr>
        <w:spacing w:after="160"/>
      </w:pPr>
      <w:r>
        <w:rPr>
          <w:i/>
          <w:iCs/>
          <w:color w:val="555555"/>
          <w:sz w:val="21"/>
          <w:szCs w:val="21"/>
        </w:rPr>
        <w:t xml:space="preserve">Personalised home screen showing saved policies, eligible schemes, recent notifications, application status and search history.</w:t>
      </w:r>
    </w:p>
    <w:p>
      <w:pPr>
        <w:spacing w:after="200"/>
        <w:jc w:val="center"/>
      </w:pPr>
      <w:r>
        <w:drawing>
          <wp:inline distT="0" distB="0" distL="0" distR="0">
            <wp:extent cx="7800975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09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 w:before="100"/>
      </w:pPr>
      <w:r>
        <w:rPr>
          <w:b/>
          <w:bCs/>
          <w:color w:val="1F2430"/>
          <w:sz w:val="30"/>
          <w:szCs w:val="30"/>
        </w:rPr>
        <w:t xml:space="preserve">4. Government Dashboard</w:t>
      </w:r>
    </w:p>
    <w:p>
      <w:pPr>
        <w:spacing w:after="160"/>
      </w:pPr>
      <w:r>
        <w:rPr>
          <w:i/>
          <w:iCs/>
          <w:color w:val="555555"/>
          <w:sz w:val="21"/>
          <w:szCs w:val="21"/>
        </w:rPr>
        <w:t xml:space="preserve">Department-facing workspace with policy/scheme management shortcuts, usage analytics, approvals queue and audit visibility.</w:t>
      </w:r>
    </w:p>
    <w:p>
      <w:pPr>
        <w:spacing w:after="200"/>
        <w:jc w:val="center"/>
      </w:pPr>
      <w:r>
        <w:drawing>
          <wp:inline distT="0" distB="0" distL="0" distR="0">
            <wp:extent cx="7800975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09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 w:before="100"/>
      </w:pPr>
      <w:r>
        <w:rPr>
          <w:b/>
          <w:bCs/>
          <w:color w:val="1F2430"/>
          <w:sz w:val="30"/>
          <w:szCs w:val="30"/>
        </w:rPr>
        <w:t xml:space="preserve">5. Policy Search Page</w:t>
      </w:r>
    </w:p>
    <w:p>
      <w:pPr>
        <w:spacing w:after="160"/>
      </w:pPr>
      <w:r>
        <w:rPr>
          <w:i/>
          <w:iCs/>
          <w:color w:val="555555"/>
          <w:sz w:val="21"/>
          <w:szCs w:val="21"/>
        </w:rPr>
        <w:t xml:space="preserve">Central discovery screen with keyword search, category chips and advanced filters (State, Ministry, Department, Date, Status).</w:t>
      </w:r>
    </w:p>
    <w:p>
      <w:pPr>
        <w:spacing w:after="200"/>
        <w:jc w:val="center"/>
      </w:pPr>
      <w:r>
        <w:drawing>
          <wp:inline distT="0" distB="0" distL="0" distR="0">
            <wp:extent cx="7800975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09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 w:before="100"/>
      </w:pPr>
      <w:r>
        <w:rPr>
          <w:b/>
          <w:bCs/>
          <w:color w:val="1F2430"/>
          <w:sz w:val="30"/>
          <w:szCs w:val="30"/>
        </w:rPr>
        <w:t xml:space="preserve">6. Policy Details Page</w:t>
      </w:r>
    </w:p>
    <w:p>
      <w:pPr>
        <w:spacing w:after="160"/>
      </w:pPr>
      <w:r>
        <w:rPr>
          <w:i/>
          <w:iCs/>
          <w:color w:val="555555"/>
          <w:sz w:val="21"/>
          <w:szCs w:val="21"/>
        </w:rPr>
        <w:t xml:space="preserve">Full policy record with overview, eligibility, quick actions (check eligibility, save, compare, download) and metadata panel.</w:t>
      </w:r>
    </w:p>
    <w:p>
      <w:pPr>
        <w:spacing w:after="200"/>
        <w:jc w:val="center"/>
      </w:pPr>
      <w:r>
        <w:drawing>
          <wp:inline distT="0" distB="0" distL="0" distR="0">
            <wp:extent cx="7800975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09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 w:before="100"/>
      </w:pPr>
      <w:r>
        <w:rPr>
          <w:b/>
          <w:bCs/>
          <w:color w:val="1F2430"/>
          <w:sz w:val="30"/>
          <w:szCs w:val="30"/>
        </w:rPr>
        <w:t xml:space="preserve">7. Scheme Details Page</w:t>
      </w:r>
    </w:p>
    <w:p>
      <w:pPr>
        <w:spacing w:after="160"/>
      </w:pPr>
      <w:r>
        <w:rPr>
          <w:i/>
          <w:iCs/>
          <w:color w:val="555555"/>
          <w:sz w:val="21"/>
          <w:szCs w:val="21"/>
        </w:rPr>
        <w:t xml:space="preserve">Scheme-specific view showing benefit amount, eligibility parameters, step-by-step application process and a direct apply action.</w:t>
      </w:r>
    </w:p>
    <w:p>
      <w:pPr>
        <w:spacing w:after="200"/>
        <w:jc w:val="center"/>
      </w:pPr>
      <w:r>
        <w:drawing>
          <wp:inline distT="0" distB="0" distL="0" distR="0">
            <wp:extent cx="7800975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09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 w:before="100"/>
      </w:pPr>
      <w:r>
        <w:rPr>
          <w:b/>
          <w:bCs/>
          <w:color w:val="1F2430"/>
          <w:sz w:val="30"/>
          <w:szCs w:val="30"/>
        </w:rPr>
        <w:t xml:space="preserve">8. Eligibility Checker</w:t>
      </w:r>
    </w:p>
    <w:p>
      <w:pPr>
        <w:spacing w:after="160"/>
      </w:pPr>
      <w:r>
        <w:rPr>
          <w:i/>
          <w:iCs/>
          <w:color w:val="555555"/>
          <w:sz w:val="21"/>
          <w:szCs w:val="21"/>
        </w:rPr>
        <w:t xml:space="preserve">Profile-driven form (age, income, occupation, education, location, category, disability) that returns a matched eligibility summary.</w:t>
      </w:r>
    </w:p>
    <w:p>
      <w:pPr>
        <w:spacing w:after="200"/>
        <w:jc w:val="center"/>
      </w:pPr>
      <w:r>
        <w:drawing>
          <wp:inline distT="0" distB="0" distL="0" distR="0">
            <wp:extent cx="7800975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09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 w:before="100"/>
      </w:pPr>
      <w:r>
        <w:rPr>
          <w:b/>
          <w:bCs/>
          <w:color w:val="1F2430"/>
          <w:sz w:val="30"/>
          <w:szCs w:val="30"/>
        </w:rPr>
        <w:t xml:space="preserve">9. Reports Dashboard</w:t>
      </w:r>
    </w:p>
    <w:p>
      <w:pPr>
        <w:spacing w:after="160"/>
      </w:pPr>
      <w:r>
        <w:rPr>
          <w:i/>
          <w:iCs/>
          <w:color w:val="555555"/>
          <w:sz w:val="21"/>
          <w:szCs w:val="21"/>
        </w:rPr>
        <w:t xml:space="preserve">Report generation and export screen with filters, engagement trend charts, category breakdown and a downloadable report log.</w:t>
      </w:r>
    </w:p>
    <w:p>
      <w:pPr>
        <w:spacing w:after="200"/>
        <w:jc w:val="center"/>
      </w:pPr>
      <w:r>
        <w:drawing>
          <wp:inline distT="0" distB="0" distL="0" distR="0">
            <wp:extent cx="7800975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09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80" w:before="100"/>
      </w:pPr>
      <w:r>
        <w:rPr>
          <w:b/>
          <w:bCs/>
          <w:color w:val="1F2430"/>
          <w:sz w:val="30"/>
          <w:szCs w:val="30"/>
        </w:rPr>
        <w:t xml:space="preserve">10. Notification Screen</w:t>
      </w:r>
    </w:p>
    <w:p>
      <w:pPr>
        <w:spacing w:after="160"/>
      </w:pPr>
      <w:r>
        <w:rPr>
          <w:i/>
          <w:iCs/>
          <w:color w:val="555555"/>
          <w:sz w:val="21"/>
          <w:szCs w:val="21"/>
        </w:rPr>
        <w:t xml:space="preserve">Unified notification centre for policy alerts, scheme updates, deadline reminders and application status changes.</w:t>
      </w:r>
    </w:p>
    <w:p>
      <w:pPr>
        <w:spacing w:after="200"/>
        <w:jc w:val="center"/>
      </w:pPr>
      <w:r>
        <w:drawing>
          <wp:inline distT="0" distB="0" distL="0" distR="0">
            <wp:extent cx="7800975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09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PolicyGPT — UI Wireframes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fec50552389dc6d0ccae8ce1cd923687ce08cd.png"/><Relationship Id="rId10" Type="http://schemas.openxmlformats.org/officeDocument/2006/relationships/image" Target="media/66fc8bbae0813e54e4377b4d1ec3724f6a2648bb.png"/><Relationship Id="rId11" Type="http://schemas.openxmlformats.org/officeDocument/2006/relationships/image" Target="media/acfd3571ec6bf2a72c9a9af06ec70d49328a0671.png"/><Relationship Id="rId12" Type="http://schemas.openxmlformats.org/officeDocument/2006/relationships/image" Target="media/510271276cf50ce3abae117ccf5bd9259b16b8ef.png"/><Relationship Id="rId13" Type="http://schemas.openxmlformats.org/officeDocument/2006/relationships/image" Target="media/3a831d1ba9433f5aeae5e1dbdf929fc5d09e981f.png"/><Relationship Id="rId14" Type="http://schemas.openxmlformats.org/officeDocument/2006/relationships/image" Target="media/98d4bbc5895e7779f3a3c6f5c90b75ca4684b882.png"/><Relationship Id="rId15" Type="http://schemas.openxmlformats.org/officeDocument/2006/relationships/image" Target="media/4dfdd1dc6c1bf16fdeb3bb544c3058ee3a556b93.png"/><Relationship Id="rId16" Type="http://schemas.openxmlformats.org/officeDocument/2006/relationships/image" Target="media/53806db9c562917d71005584059e552bd2e0fe0a.png"/><Relationship Id="rId17" Type="http://schemas.openxmlformats.org/officeDocument/2006/relationships/image" Target="media/80ff3fcb6b02bef079e3b8f20e9658051d9108af.png"/><Relationship Id="rId18" Type="http://schemas.openxmlformats.org/officeDocument/2006/relationships/image" Target="media/e23e54e09e9997f589952020a83fb5e628a4403e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2026-07-28T13:59:18.508Z</dcterms:created>
  <dcterms:modified xsi:type="dcterms:W3CDTF">2026-07-28T13:59:18.508Z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