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Research Draft</w:t>
      </w:r>
    </w:p>
    <w:p>
      <w:pPr>
        <w:pStyle w:val="Heading1"/>
      </w:pPr>
      <w:r>
        <w:t>Abstract</w:t>
      </w:r>
    </w:p>
    <w:p>
      <w:r>
        <w:t>Okay, I will construct a formal academic abstract section that incorporates the concepts of 'performance,' 'efficiency,' 'robustness,' and 'limitations.' Since no specific domain is provided, I will use a generic example related to a novel algorithm or system evaluation, which allows for the natural inclusion of these terms.</w:t>
        <w:br/>
        <w:br/>
        <w:t>---</w:t>
        <w:br/>
        <w:br/>
        <w:t>## Abstract</w:t>
        <w:br/>
        <w:br/>
        <w:t>This paper introduces and rigorously evaluates a novel **[Algorithm/System Name]** framework for **[specific problem domain, e.g., real-time data analysis, predictive modeling, control systems]**. Addressing existing challenges in **[briefly state a gap or problem in current approaches]**, our proposed methodology integrates **[mention 1-2 key conceptual innovations]** to enhance system capabilities.</w:t>
        <w:br/>
        <w:br/>
        <w:t>Through extensive experimental validation against state-of-the-art benchmarks on diverse datasets, the **performance** of our framework is demonstrated to be significantly superior, achieving a **[quantifiable improvement, e.g., 15% increase in F1-score, 20% reduction in error rates]** compared to conventional methods. Crucially, its computational **efficiency** was meticulously assessed, exhibiting **[e.g., O(n log n) complexity, an average processing time reduction of 30%]** which facilitates its application in resource-constrained or real-time environments. Furthermore, the system exhibited remarkable **robustness** to varying noise levels, incomplete data, and adversarial perturbations, maintaining high efficacy under challenging operating conditions.</w:t>
        <w:br/>
        <w:br/>
        <w:t>Despite these significant advancements, the study also identifies **limitations** related to **[specific limitations, e.g., its sensitivity to initial hyperparameter tuning for highly sparse datasets, scalability challenges with extremely high-dimensional inputs beyond a certain threshold]**, which suggest avenues for future research and optimization. This work underscores the potential of **[Algorithm/System Name]** as a highly effective and practical solution for **[reiterate problem domain]**, paving the way for more reliable and efficient systems.</w:t>
        <w:br/>
        <w:br/>
        <w:t>**Keywords:** [Algorithm/System Name], Performance Evaluation, Computational Efficiency, System Robustness, Limitations Analysis, [Specific Domain Keywords]</w:t>
        <w:br/>
        <w:br/>
        <w:t>---</w:t>
      </w:r>
    </w:p>
    <w:p>
      <w:pPr>
        <w:pStyle w:val="Heading1"/>
      </w:pPr>
      <w:r>
        <w:t>Methods</w:t>
      </w:r>
    </w:p>
    <w:p>
      <w:r>
        <w:t>## 2. Methods</w:t>
        <w:br/>
        <w:br/>
        <w:t>This section delineates the various methodologies and techniques pertinent to Explainable Artificial Intelligence (XAI) that were reviewed and categorized in this study. The approaches are presented based on their operational principles, including their mechanisms for generating explanations, their inherent advantages, and their identified limitations.</w:t>
        <w:br/>
        <w:br/>
        <w:t>### 2.1 Model-Agnostic Interpretability Techniques</w:t>
        <w:br/>
        <w:br/>
        <w:t>A range of model-agnostic interpretability techniques, designed to elucidate predictions from any black-box model without necessitating access to its internal architecture, were investigated. These techniques primarily focus on understanding the input-output relationships of a model.</w:t>
        <w:br/>
        <w:br/>
        <w:t>*   **Partial Dependence Plots (PDP)**: PDPs illustrate the marginal effect of one or two features on the predicted outcome of a machine learning model.</w:t>
        <w:br/>
        <w:t xml:space="preserve">    *   **Advantages**: 1. Intuitive interpretation. 2. Easy to implement. 3. Interpretation is clear and causal.</w:t>
        <w:br/>
        <w:t xml:space="preserve">    *   **Disadvantages**: 1. Valid for a maximum of three features. 2. Assumes absence of correlation between features. 3. Heterogeneous effects may be hidden.</w:t>
        <w:br/>
        <w:br/>
        <w:t>*   **Individual Conditional Expectation (ICE) Plots**: ICE plots visualize the prediction for each instance as a function of a feature of interest, allowing for the observation of instance-specific behavior.</w:t>
        <w:br/>
        <w:t xml:space="preserve">    *   **Advantages**: 1. Intuitive understanding. 2. Provides specific insights. 3. Reveals heterogeneous relationships.</w:t>
        <w:br/>
        <w:t xml:space="preserve">    *   **Disadvantages**: 1. Overcrowding can lead to unreadability. 2. Requires PDP to observe the average effect.</w:t>
        <w:br/>
        <w:br/>
        <w:t>*   **Accumulated Local Effects (ALE) Plots**: ALE plots offer an unbiased alternative to PDPs by computing the average change in prediction when a feature changes, conditioned on the feature's actual distribution.</w:t>
        <w:br/>
        <w:t xml:space="preserve">    *   **Advantages**: 1. Unbiased towards correlated features. 2. Faster computation.</w:t>
        <w:br/>
        <w:t xml:space="preserve">    *   **Disadvantages**: 1. Unsteady with a high number of intervals. 2. Comparatively much more complex. 3. Not inherently accompanied by ICE plots.</w:t>
        <w:br/>
        <w:br/>
        <w:t>*   **Local Interpretable Model-agnostic Explanations (LIME)**: LIME aims to explain the predictions of any classifier or regressor by approximating it locally with an interpretable model around the prediction of interest.</w:t>
        <w:br/>
        <w:t xml:space="preserve">    *   **Advantages**: 1. Inherently interpretable. 2. Widely acceptable, especially in Deep Neural Networks (DNNs). 3. Provides human-friendly explanations.</w:t>
        <w:br/>
        <w:t xml:space="preserve">    *   **Disadvantages**: 1. Unsatisfactory global approximation. 2. Easily manipulated to hide biases.</w:t>
        <w:br/>
        <w:br/>
        <w:t>### 2.2 Example-Based Explanations</w:t>
        <w:br/>
        <w:br/>
        <w:t>Example-based interpretability methods leverage specific instances from the model’s training dataset to clarify predictions. These methods infer that if instance A is equivalent to instance B, and B generated prediction C, then A will also generate C.</w:t>
        <w:br/>
        <w:br/>
        <w:t>*   **Prototypes and Criticisms**: Prototypes are chosen examples that accurately represent the data distribution [citation provided], while criticisms identify instances poorly represented by prototypes, indicating areas where the model's output might alter [citation provided]. The MMD-critic framework provides an optimal number of prototypes and criticisms for dataset description [citation provided]. This approach highlights the importance of criticisms, as demonstrated by the Google image classifier example [citation provided].</w:t>
        <w:br/>
        <w:br/>
        <w:t>*   **Counterfactual Explanations**: Suggested by Wachter et al. [citation provided], counterfactual explanations describe the minimal adjustments to input feature values that would alter a model's prediction to a desired outcome. These explanations are advantageous as they do not require access to the model or dataset itself. A notable drawback is the "Rashomon Effect," where users are overwhelmed by too many options, leading to suboptimal selections; mitigation strategies, such as game-theory perspectives, have been proposed to address this [citation provided].</w:t>
        <w:br/>
        <w:br/>
        <w:t>*   **Adversarial Examples**: Adversarial examples are instances intentionally perturbed with minor alterations to deceive a machine learning model [citation provided]. These instances provide insights into algorithmic vulnerabilities and internal structures, aiding in interpretability. Techniques for generating adversarial examples include gradient-based methods for DNNs [citation provided], the rapid gradient sign method [citation provided], single-pixel alterations [citation provided], and 3D-printed physical objects [citation provided]. The utility of adversarial examples in interpretability lies in their contribution to developing "robust" models that resist such perturbations and offer higher-quality explanations [citation provided]. Robust models have been shown to yield more plausible explanations by classifying features based on their robustness [citation provided].</w:t>
        <w:br/>
        <w:br/>
        <w:t>*   **Influential Instances**: An influential training instance is one that significantly impacts a model's parameter determination and decisions. Identifying these instances is crucial for debugging and understanding model behavior. A common approach is deletion diagnostics, where an instance is removed, and the resulting change in model predictions is analyzed [citation provided].</w:t>
        <w:br/>
        <w:br/>
        <w:t>### 2.3 Methods for Visualisation and Interpretation</w:t>
        <w:br/>
        <w:br/>
        <w:t>Data visualization techniques transform complex data into images for human comprehension, serving as a vital component in AI development and interpretation.</w:t>
        <w:br/>
        <w:br/>
        <w:t>*   **Interactive Visualizations**: Dynamic and interactive visual representations allow users to explore data and model behavior in real-time.</w:t>
        <w:br/>
        <w:t>*   **Augmented Reality (AR) and Virtual Reality (VR) Visualizations**: Immersive AR and VR technologies create environments for better understanding and interaction with data.</w:t>
        <w:br/>
        <w:t>*   **3D and 4D Visualizations**: These methods represent data in novel, informative ways to reveal complex relationships and patterns.</w:t>
        <w:br/>
        <w:t>*   **Automated Visualization Generation**: Machine learning algorithms are employed to automatically generate visualizations based on data and desired outputs.</w:t>
        <w:br/>
        <w:t>*   **Real-time Streaming Visualizations**: Visualizations are updated in real-time as new data arrives, enabling continuous monitoring of data and model performance.</w:t>
        <w:br/>
        <w:t>*   **Multi-view Visualizations**: Multiple perspectives are used to represent data, facilitating exploration from different angles.</w:t>
        <w:br/>
        <w:br/>
        <w:t>Tools such as TensorFlow library and Microsoft Azure ML Studio are utilized for exploratory data analysis [citation provided]. Specialized tools like DGMTracker and GANViz aid in understanding training dynamics of complex deep learning models. Programming languages commonly used for data visualization include Python and R.</w:t>
        <w:br/>
        <w:br/>
        <w:t>*   **Big Data Analysis**: This involves processing large volumes of data that traditional software cannot handle [citation provided]. Big data analysis addresses real-time problems like fraud detection, financial risk analysis, and price optimization [citation provided]. Examples include optimizing customer experience in service industries by monitoring customer flow [citation provided]. However, challenges exist, including maintenance, risk of data piracy and cyber-attacks, and a general lack of awareness and skilled personnel [citation provided].</w:t>
        <w:br/>
        <w:br/>
        <w:t>### 2.4 Evaluation Methodologies for Explanation Quality</w:t>
        <w:br/>
        <w:br/>
        <w:t>Evaluating the quality of XAI explanations is a strenuous challenge due to the subjective nature of interpretability. A foundational principle for benchmarking involves demonstrating the claimed contribution of the explanation, considering factors such as resource utilization, time consumption, and the degree of explanation provided.</w:t>
        <w:br/>
        <w:br/>
        <w:t>*   **Taxonomy of Evaluation Techniques**: Doshi-Velez and Kim [citation provided] categorized evaluation techniques into three paradigms:</w:t>
        <w:br/>
        <w:t xml:space="preserve">    *   **Application-grounded Evaluation**: This methodology involves domain experts experimenting in real-life situations to validate the utility of explanations for end-tasks, including discovering new facts, debugging errors, and eliminating biases. An example is a doctor performing a diagnosis to validate an AI system's explanation [citation provided].</w:t>
        <w:br/>
        <w:t xml:space="preserve">    *   **Human-grounded Evaluation**: This approach involves lay humans conducting general experiments to address a wider range of evaluation concepts, providing a cost-effective method for maintaining the core of the target application. An example involves humans choosing between two theories based on accuracy [citation provided].</w:t>
        <w:br/>
        <w:t xml:space="preserve">    *   **Functionally-grounded Evaluation**: This methodology employs proxy measures for interpretability, requiring no human interaction and incurring minimal cost, though additional research is often needed for validation. Decision trees are frequently considered interpretable under this framework [citation provided].</w:t>
        <w:br/>
        <w:br/>
        <w:t>*   **System Causability Scale (SCS)**: Developed by Holzinger et al. [citation provided], SCS measures the extent to which an explanation for an AI model's decision achieves causal understanding with the user, combining a notion of causability with a widely accepted usability scale. SCS has been demonstrated with tools like the Framingham Risk Tool (FRT) in medical contexts [citation provided].</w:t>
        <w:br/>
        <w:br/>
        <w:t>*   **Error Mitigation and Saliency Maps**: Error mitigation techniques, particularly in Deep Learning, aim to reduce specific errors. Saliency maps, which highlight salient regions in an image [citation provided], are a common XAI output. Despite their utility, saliency maps suffer from limitations, including their black-box nature, susceptibility to data poisoning, and potential for noise, particularly if the model is insufficiently trained or relies on features incoherent to humans. Saliency-guided training has been proposed to produce less noisy and clearer outputs without degrading model performance [citation provided]. This highlights the inherent trade-off between model performance and interpretability [citation provided]. Error analysis is crucial for investigating and diagnosing error patterns to ensure quality data from AI models [citation provided].</w:t>
      </w:r>
    </w:p>
    <w:p>
      <w:pPr>
        <w:pStyle w:val="Heading1"/>
      </w:pPr>
      <w:r>
        <w:t>Results</w:t>
      </w:r>
    </w:p>
    <w:p>
      <w:r>
        <w:t>A formal academic results section clearly and objectively presents the findings of a study without interpretation or discussion. It should be precise, data-driven, and refer to all figures and tables.</w:t>
        <w:br/>
        <w:br/>
        <w:t>Here's an example of a results section for a hypothetical study investigating the effects of a novel therapeutic compound (Compound X) on inflammation in a cellular model:</w:t>
        <w:br/>
        <w:br/>
        <w:t>---</w:t>
        <w:br/>
        <w:br/>
        <w:t>## Results</w:t>
        <w:br/>
        <w:br/>
        <w:t>This section presents the findings from experiments investigating the anti-inflammatory effects of Compound X on activated cellular models. Cellular viability, key inflammatory gene expression, and cytokine secretion were assessed.</w:t>
        <w:br/>
        <w:br/>
        <w:t>### 3.1. Compound X Does Not Affect Cell Viability</w:t>
        <w:br/>
        <w:br/>
        <w:t>To assess potential cytotoxicity, cell viability was measured using an MTT assay after 24 hours of exposure to varying concentrations of Compound X (0.1, 1, 10 μM). No significant reduction in cell viability was observed across all tested concentrations of Compound X compared to the vehicle control group (F(3,20) = 0.87, *p* = 0.47) (Figure 1). This indicates that Compound X is not cytotoxic within the concentrations used in this study.</w:t>
        <w:br/>
        <w:br/>
        <w:t>**Figure 1: Effect of Compound X on cell viability.**</w:t>
        <w:br/>
        <w:t>*A549 cells were treated with vehicle or varying concentrations of Compound X (0.1, 1, 10 μM) for 24 hours. Cell viability was assessed by MTT assay. Data are presented as mean ± SEM (n=6 replicates per group). One-way ANOVA revealed no significant differences between groups.*</w:t>
        <w:br/>
        <w:br/>
        <w:t>### 3.2. Compound X Reduces Inflammatory Gene Expression</w:t>
        <w:br/>
        <w:br/>
        <w:t>The effect of Compound X on inflammatory gene expression was evaluated. Quantitative real-time PCR revealed that stimulation with lipopolysaccharide (LPS, 1 μg/mL) significantly increased mRNA levels of both Interleukin-6 (IL-6) and Tumor Necrosis Factor-alpha (TNF-α) compared to unstimulated control cells (*p* &lt; 0.001 for both). Treatment with 10 μM Compound X significantly attenuated the LPS-induced upregulation of IL-6 mRNA by 65% (F(2,15) = 18.23, *p* &lt; 0.01) and TNF-α mRNA by 58% (F(2,15) = 14.56, *p* &lt; 0.05), compared to LPS-stimulated cells without Compound X (Figure 2A and 2B). No significant effect was observed at lower concentrations of Compound X (0.1 and 1 μM) on either gene (data not shown).</w:t>
        <w:br/>
        <w:br/>
        <w:t>**Figure 2: Compound X suppresses LPS-induced inflammatory gene expression.**</w:t>
        <w:br/>
        <w:t>*A549 cells were pre-treated with vehicle or 10 μM Compound X for 1 hour, followed by stimulation with 1 μg/mL LPS for 6 hours. mRNA levels of (A) IL-6 and (B) TNF-α were quantified by qRT-PCR and normalized to GAPDH. Data are expressed as fold change relative to unstimulated control and presented as mean ± SEM (n=6 replicates per group). **p &lt; 0.01 vs. LPS; ***p &lt; 0.001 vs. Control. One-way ANOVA with Tukey's post-hoc test.*</w:t>
        <w:br/>
        <w:br/>
        <w:t>### 3.3. Compound X Decreases Inflammatory Cytokine Secretion</w:t>
        <w:br/>
        <w:br/>
        <w:t>Consistent with the gene expression data, Compound X also reduced the secretion of inflammatory cytokines. ELISA results showed that LPS stimulation (1 μg/mL, 24 hours) significantly increased the secretion of IL-6 (325 ± 15 pg/mL) and TNF-α (187 ± 10 pg/mL) compared to unstimulated controls (*p* &lt; 0.001 for both). Co-treatment with 10 μM Compound X significantly reduced LPS-induced IL-6 secretion to 110 ± 8 pg/mL (F(2,15) = 25.12, *p* &lt; 0.001) and TNF-α secretion to 75 ± 5 pg/mL (F(2,15) = 19.88, *p* &lt; 0.01) (Table 1). Similar to gene expression, lower concentrations of Compound X did not significantly affect cytokine secretion (data not shown).</w:t>
        <w:br/>
        <w:br/>
        <w:t>**Table 1: Effect of Compound X on LPS-induced cytokine secretion.**</w:t>
        <w:br/>
        <w:t>*A549 cells were pre-treated with vehicle or 10 μM Compound X for 1 hour, followed by stimulation with 1 μg/mL LPS for 24 hours. Supernatants were collected, and cytokine levels were measured by ELISA. Data are presented as mean ± SEM (pg/mL, n=6 replicates per group). One-way ANOVA with Tukey's post-hoc test.*</w:t>
        <w:br/>
        <w:br/>
        <w:t>| Treatment Group | IL-6 (pg/mL)         | TNF-α (pg/mL)        |</w:t>
        <w:br/>
        <w:t>| :-------------- | :------------------- | :------------------- |</w:t>
        <w:br/>
        <w:t>| Unstimulated    | 12 ± 2               | 5 ± 1                |</w:t>
        <w:br/>
        <w:t>| LPS             | 325 ± 15&lt;sup&gt;***&lt;/sup&gt; | 187 ± 10&lt;sup&gt;***&lt;/sup&gt; |</w:t>
        <w:br/>
        <w:t>| LPS + Compound X | 110 ± 8&lt;sup&gt;###&lt;/sup&gt;  | 75 ± 5&lt;sup&gt;##&lt;/sup&gt;    |</w:t>
        <w:br/>
        <w:br/>
        <w:t>&lt;sup&gt;***&lt;/sup&gt;*p* &lt; 0.001 vs. Unstimulated; &lt;sup&gt;##&lt;/sup&gt;*p* &lt; 0.01 vs. LPS; &lt;sup&gt;###&lt;/sup&gt;*p* &lt; 0.001 vs. LPS.</w:t>
        <w:br/>
        <w:br/>
        <w:t>---</w:t>
        <w:br/>
        <w:br/>
        <w:t>**Key Characteristics of this Results Section:**</w:t>
        <w:br/>
        <w:br/>
        <w:t>1.  **Clear Headings:** Uses numerical headings (e.g., 3.1, 3.2) for each major finding, making it easy to navigate.</w:t>
        <w:br/>
        <w:t>2.  **Objective Language:** Avoids subjective terms (e.g., "interesting," "surprisingly"). Focuses on "what was observed."</w:t>
        <w:br/>
        <w:t>3.  **Data-Driven:** Every statement about a finding is immediately followed by specific data (means, percentages, statistical values).</w:t>
        <w:br/>
        <w:t>4.  **Statistical Reporting:** Includes the specific statistical test used (e.g., ANOVA, Tukey's post-hoc test), degrees of freedom, F-statistic, and exact *p*-values or ranges (e.g., *p* &lt; 0.01).</w:t>
        <w:br/>
        <w:t>5.  **References to Figures/Tables:** Each finding is linked to a specific visual aid (Figure 1, Figure 2, Table 1), which would contain the full graphical or tabular data. The text describes the *key takeaways* from these visuals.</w:t>
        <w:br/>
        <w:t>6.  **No Interpretation:** There is no discussion of *why* Compound X might have these effects, what mechanisms might be involved, or how these findings relate to other studies. That is reserved for the Discussion section.</w:t>
        <w:br/>
        <w:t>7.  **Conciseness:** Presents information directly without unnecessary preamble or narrative.</w:t>
        <w:br/>
        <w:t>8.  **Units and Precision:** All numerical values have appropriate units (μM, pg/mL, %).</w:t>
        <w:br/>
        <w:t>9.  **Figure and Table Captions:** Detailed captions accompany the placeholder figures/tables, explaining what they depict and how the data were analyzed.</w:t>
      </w:r>
    </w:p>
    <w:p>
      <w:pPr>
        <w:pStyle w:val="Heading1"/>
      </w:pPr>
      <w:r>
        <w:t>References</w:t>
      </w:r>
    </w:p>
    <w:p>
      <w:pPr>
        <w:pStyle w:val="ListNumber"/>
      </w:pPr>
      <w:r>
        <w:t xml:space="preserve"> (n.d.). .</w:t>
      </w:r>
    </w:p>
    <w:p>
      <w:pPr>
        <w:pStyle w:val="ListNumber"/>
      </w:pPr>
      <w:r>
        <w:t xml:space="preserve"> (n.d.). .</w:t>
      </w:r>
    </w:p>
    <w:p>
      <w:pPr>
        <w:pStyle w:val="ListNumber"/>
      </w:pPr>
      <w:r>
        <w:t xml:space="preserve"> (n.d.). .</w:t>
      </w:r>
    </w:p>
    <w:p>
      <w:pPr>
        <w:pStyle w:val="ListNumber"/>
      </w:pPr>
      <w:r>
        <w:t xml:space="preserve"> (n.d.). .</w:t>
      </w:r>
    </w:p>
    <w:p>
      <w:pPr>
        <w:pStyle w:val="ListNumber"/>
      </w:pPr>
      <w:r>
        <w:t xml:space="preserve"> (n.d.).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