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NetShield overview charts and learning cards</w:t>
      </w:r>
    </w:p>
    <w:p>
      <w:r>
        <w:t>17 October 2026 | Change log addendum</w:t>
      </w:r>
    </w:p>
    <w:p>
      <w:r>
        <w:t>Added concise charts and learning aids using the existing hacker colours. The original style.css is byte-identical; visuals.css supplies layout rules for the new components. Model predictions and risk policy are unchanged.</w:t>
      </w:r>
    </w:p>
    <w:p>
      <w:pPr>
        <w:pStyle w:val="Heading2"/>
      </w:pPr>
      <w:r>
        <w:t>Current scan visuals</w:t>
      </w:r>
    </w:p>
    <w:p>
      <w:r>
        <w:t>Added an SVG risk donut with exact counts and percentages, plus a sorted attack chart showing the top six classes and an Other group. BENIGN is excluded from the attack chart; all classes remain available in an expandable table area. Charts update on chunk and completion events, reset for new scans and show explicit empty states.</w:t>
      </w:r>
    </w:p>
    <w:p>
      <w:pPr>
        <w:pStyle w:val="Heading2"/>
      </w:pPr>
      <w:r>
        <w:t>Historical overview</w:t>
      </w:r>
    </w:p>
    <w:p>
      <w:r>
        <w:t>Added six cards for scans, flows scored, review alerts, open/investigating groups, critical groups across all statuses and rows read. Added historical risk and attack charts derived from saved summaries. Repeated scans count again; these figures are not confirmed attacks. The backend now returns aggregated risk distribution.</w:t>
      </w:r>
    </w:p>
    <w:p>
      <w:pPr>
        <w:pStyle w:val="Heading2"/>
      </w:pPr>
      <w:r>
        <w:t>Quick guide cards</w:t>
      </w:r>
    </w:p>
    <w:p>
      <w:r>
        <w:t>Placed six expandable concept cards on Explain the system. They cover risk versus probability, confidence versus accuracy, review alerts, inference versus training, CSV streaming and TreeSHAP. Native details/summary controls support keyboard use without flip animation.</w:t>
      </w:r>
    </w:p>
    <w:p>
      <w:pPr>
        <w:pStyle w:val="Heading2"/>
      </w:pPr>
      <w:r>
        <w:t>Validation and limits</w:t>
      </w:r>
    </w:p>
    <w:p>
      <w:r>
        <w:t>Nine checks exercised the actual chart functions for empty states, proportions, single-band data, exclusion of BENIGN, Other aggregation, escaped labels and reset. Unique HTML IDs, JavaScript syntax and Python compilation were checked. Browser layout and Windows integration remain local checks. The earlier full backend suite was not rerun in this environment because pytest is unavailable.</w:t>
      </w:r>
    </w:p>
    <w:p>
      <w:pPr>
        <w:pStyle w:val="Heading2"/>
      </w:pPr>
      <w:r>
        <w:t>Install and review</w:t>
      </w:r>
    </w:p>
    <w:p>
      <w:r>
        <w:t>Merge the complete frontend and backend files into the original project. Keep style.css, models and database. Restart Uvicorn and press Ctrl+F5. Review both scopes, start a new scan to check reset, and expand the guide cards. No new Python package or model retraining is needed. This patch requires the October 15 investigation add-on.</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