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000000"/>
        </w:rPr>
        <w:t>TraceVigil Security Events Change Log</w:t>
      </w:r>
    </w:p>
    <w:p>
      <w:r>
        <w:t>18 October 2026</w:t>
      </w:r>
    </w:p>
    <w:p>
      <w:r>
        <w:t>This update adds a dedicated security event trail and an IP investigation workspace to Mansi Gaikwad's internship project. The previous audit data existed, but analysts could not use it as a searchable security console. The new view turns recorded actions and saved flow evidence into a practical investigation workflow.</w:t>
      </w:r>
    </w:p>
    <w:p>
      <w:r>
        <w:t>Baseline branch mansi-gaikwad at commit 26f7d89. The update preserves the finalized hacker stylesheet, trained models, risk formula, existing users and verification setup. It adds no runtime dependency.</w:t>
      </w:r>
    </w:p>
    <w:p>
      <w:pPr>
        <w:pStyle w:val="Heading1"/>
      </w:pPr>
      <w:r>
        <w:rPr>
          <w:color w:val="000000"/>
        </w:rPr>
        <w:t>What changed on screen</w:t>
      </w:r>
    </w:p>
    <w:p>
      <w:pPr>
        <w:pStyle w:val="ListBullet"/>
      </w:pPr>
      <w:r>
        <w:t>A new Security events and IP investigation navigation item is available to authenticated users. Team administration now focuses on roles.</w:t>
      </w:r>
    </w:p>
    <w:p>
      <w:pPr>
        <w:pStyle w:val="ListBullet"/>
      </w:pPr>
      <w:r>
        <w:t>The event table shows recorded UTC, actor, action, category, resource, request peer IP, outcome and detail. Search, action/outcome/severity/time filters, cursor pages and visible refresh controls replace raw JSON.</w:t>
      </w:r>
    </w:p>
    <w:p>
      <w:pPr>
        <w:pStyle w:val="ListBullet"/>
      </w:pPr>
      <w:r>
        <w:t>Automatic refresh can run every ten seconds while the section and browser tab are visible. Older pages pause automatic refresh. Filtered events can be downloaded as NDJSON.</w:t>
      </w:r>
    </w:p>
    <w:p>
      <w:pPr>
        <w:pStyle w:val="ListBullet"/>
      </w:pPr>
      <w:r>
        <w:t>An IP search connects saved traffic evidence, related incident groups, model uncertainty and analyst notes. Source IP buttons in traffic rows and incidents open it directly.</w:t>
      </w:r>
    </w:p>
    <w:p>
      <w:pPr>
        <w:pStyle w:val="Heading1"/>
      </w:pPr>
      <w:r>
        <w:rPr>
          <w:color w:val="000000"/>
        </w:rPr>
        <w:t>Who can see what</w:t>
      </w:r>
    </w:p>
    <w:tbl>
      <w:tblPr>
        <w:tblW w:type="auto" w:w="0"/>
        <w:jc w:val="center"/>
        <w:tblLayout w:type="fixed"/>
        <w:tblLook w:firstColumn="1" w:firstRow="1" w:lastColumn="0" w:lastRow="0" w:noHBand="0" w:noVBand="1" w:val="04A0"/>
      </w:tblPr>
      <w:tblGrid>
        <w:gridCol w:w="1224"/>
        <w:gridCol w:w="5112"/>
        <w:gridCol w:w="3528"/>
      </w:tblGrid>
      <w:tr>
        <w:trPr>
          <w:tblHeader/>
        </w:trPr>
        <w:tc>
          <w:tcPr>
            <w:tcW w:type="dxa" w:w="1224"/>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left w:w="95" w:type="dxa"/>
              <w:bottom w:w="95" w:type="dxa"/>
              <w:right w:w="95" w:type="dxa"/>
            </w:tcMar>
            <w:shd w:fill="E8EEF2"/>
          </w:tcPr>
          <w:p>
            <w:pPr>
              <w:spacing w:after="40" w:before="40"/>
            </w:pPr>
            <w:r>
              <w:rPr>
                <w:b/>
                <w:sz w:val="18"/>
              </w:rPr>
              <w:t>Role</w:t>
            </w:r>
          </w:p>
        </w:tc>
        <w:tc>
          <w:tcPr>
            <w:tcW w:type="dxa" w:w="5112"/>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left w:w="95" w:type="dxa"/>
              <w:bottom w:w="95" w:type="dxa"/>
              <w:right w:w="95" w:type="dxa"/>
            </w:tcMar>
            <w:shd w:fill="E8EEF2"/>
          </w:tcPr>
          <w:p>
            <w:pPr>
              <w:spacing w:after="40" w:before="40"/>
            </w:pPr>
            <w:r>
              <w:rPr>
                <w:b/>
                <w:sz w:val="18"/>
              </w:rPr>
              <w:t>Visible evidence</w:t>
            </w:r>
          </w:p>
        </w:tc>
        <w:tc>
          <w:tcPr>
            <w:tcW w:type="dxa" w:w="3528"/>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left w:w="95" w:type="dxa"/>
              <w:bottom w:w="95" w:type="dxa"/>
              <w:right w:w="95" w:type="dxa"/>
            </w:tcMar>
            <w:shd w:fill="E8EEF2"/>
          </w:tcPr>
          <w:p>
            <w:pPr>
              <w:spacing w:after="40" w:before="40"/>
            </w:pPr>
            <w:r>
              <w:rPr>
                <w:b/>
                <w:sz w:val="18"/>
              </w:rPr>
              <w:t>Changes allowed</w:t>
            </w:r>
          </w:p>
        </w:tc>
      </w:tr>
      <w:tr>
        <w:tc>
          <w:tcPr>
            <w:tcW w:type="dxa" w:w="1224"/>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left w:w="95" w:type="dxa"/>
              <w:bottom w:w="95" w:type="dxa"/>
              <w:right w:w="95" w:type="dxa"/>
            </w:tcMar>
          </w:tcPr>
          <w:p>
            <w:pPr>
              <w:spacing w:after="40" w:before="40"/>
            </w:pPr>
            <w:r>
              <w:rPr>
                <w:b w:val="0"/>
                <w:sz w:val="18"/>
              </w:rPr>
              <w:t>Admin</w:t>
            </w:r>
          </w:p>
        </w:tc>
        <w:tc>
          <w:tcPr>
            <w:tcW w:type="dxa" w:w="5112"/>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left w:w="95" w:type="dxa"/>
              <w:bottom w:w="95" w:type="dxa"/>
              <w:right w:w="95" w:type="dxa"/>
            </w:tcMar>
          </w:tcPr>
          <w:p>
            <w:pPr>
              <w:spacing w:after="40" w:before="40"/>
            </w:pPr>
            <w:r>
              <w:rPr>
                <w:b w:val="0"/>
                <w:sz w:val="18"/>
              </w:rPr>
              <w:t>Workspace events including anonymous failures and all saved scans</w:t>
            </w:r>
          </w:p>
        </w:tc>
        <w:tc>
          <w:tcPr>
            <w:tcW w:type="dxa" w:w="3528"/>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left w:w="95" w:type="dxa"/>
              <w:bottom w:w="95" w:type="dxa"/>
              <w:right w:w="95" w:type="dxa"/>
            </w:tcMar>
          </w:tcPr>
          <w:p>
            <w:pPr>
              <w:spacing w:after="40" w:before="40"/>
            </w:pPr>
            <w:r>
              <w:rPr>
                <w:b w:val="0"/>
                <w:sz w:val="18"/>
              </w:rPr>
              <w:t>Own IP notes and existing team controls</w:t>
            </w:r>
          </w:p>
        </w:tc>
      </w:tr>
      <w:tr>
        <w:tc>
          <w:tcPr>
            <w:tcW w:type="dxa" w:w="1224"/>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left w:w="95" w:type="dxa"/>
              <w:bottom w:w="95" w:type="dxa"/>
              <w:right w:w="95" w:type="dxa"/>
            </w:tcMar>
          </w:tcPr>
          <w:p>
            <w:pPr>
              <w:spacing w:after="40" w:before="40"/>
            </w:pPr>
            <w:r>
              <w:rPr>
                <w:b w:val="0"/>
                <w:sz w:val="18"/>
              </w:rPr>
              <w:t>Analyst</w:t>
            </w:r>
          </w:p>
        </w:tc>
        <w:tc>
          <w:tcPr>
            <w:tcW w:type="dxa" w:w="5112"/>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left w:w="95" w:type="dxa"/>
              <w:bottom w:w="95" w:type="dxa"/>
              <w:right w:w="95" w:type="dxa"/>
            </w:tcMar>
          </w:tcPr>
          <w:p>
            <w:pPr>
              <w:spacing w:after="40" w:before="40"/>
            </w:pPr>
            <w:r>
              <w:rPr>
                <w:b w:val="0"/>
                <w:sz w:val="18"/>
              </w:rPr>
              <w:t>Events attributed to their account and their own scans</w:t>
            </w:r>
          </w:p>
        </w:tc>
        <w:tc>
          <w:tcPr>
            <w:tcW w:type="dxa" w:w="3528"/>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left w:w="95" w:type="dxa"/>
              <w:bottom w:w="95" w:type="dxa"/>
              <w:right w:w="95" w:type="dxa"/>
            </w:tcMar>
          </w:tcPr>
          <w:p>
            <w:pPr>
              <w:spacing w:after="40" w:before="40"/>
            </w:pPr>
            <w:r>
              <w:rPr>
                <w:b w:val="0"/>
                <w:sz w:val="18"/>
              </w:rPr>
              <w:t>Own IP notes and existing incident changes</w:t>
            </w:r>
          </w:p>
        </w:tc>
      </w:tr>
      <w:tr>
        <w:tc>
          <w:tcPr>
            <w:tcW w:type="dxa" w:w="1224"/>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left w:w="95" w:type="dxa"/>
              <w:bottom w:w="95" w:type="dxa"/>
              <w:right w:w="95" w:type="dxa"/>
            </w:tcMar>
          </w:tcPr>
          <w:p>
            <w:pPr>
              <w:spacing w:after="40" w:before="40"/>
            </w:pPr>
            <w:r>
              <w:rPr>
                <w:b w:val="0"/>
                <w:sz w:val="18"/>
              </w:rPr>
              <w:t>Viewer</w:t>
            </w:r>
          </w:p>
        </w:tc>
        <w:tc>
          <w:tcPr>
            <w:tcW w:type="dxa" w:w="5112"/>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left w:w="95" w:type="dxa"/>
              <w:bottom w:w="95" w:type="dxa"/>
              <w:right w:w="95" w:type="dxa"/>
            </w:tcMar>
          </w:tcPr>
          <w:p>
            <w:pPr>
              <w:spacing w:after="40" w:before="40"/>
            </w:pPr>
            <w:r>
              <w:rPr>
                <w:b w:val="0"/>
                <w:sz w:val="18"/>
              </w:rPr>
              <w:t>Own permitted event and scan evidence</w:t>
            </w:r>
          </w:p>
        </w:tc>
        <w:tc>
          <w:tcPr>
            <w:tcW w:type="dxa" w:w="3528"/>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left w:w="95" w:type="dxa"/>
              <w:bottom w:w="95" w:type="dxa"/>
              <w:right w:w="95" w:type="dxa"/>
            </w:tcMar>
          </w:tcPr>
          <w:p>
            <w:pPr>
              <w:spacing w:after="40" w:before="40"/>
            </w:pPr>
            <w:r>
              <w:rPr>
                <w:b w:val="0"/>
                <w:sz w:val="18"/>
              </w:rPr>
              <w:t>Read and export only</w:t>
            </w:r>
          </w:p>
        </w:tc>
      </w:tr>
    </w:tbl>
    <w:p>
      <w:pPr>
        <w:spacing w:before="160"/>
      </w:pPr>
      <w:r>
        <w:t>Real activity appears when it occurs. Examples include signing in, uploading a CSV, starting or stopping a scan, generating model review flags, changing an incident, exporting evidence and signing out. Historical gaps are not filled with invented events.</w:t>
      </w:r>
    </w:p>
    <w:p>
      <w:r>
        <w:br w:type="page"/>
      </w:r>
    </w:p>
    <w:p>
      <w:pPr>
        <w:pStyle w:val="Heading1"/>
      </w:pPr>
      <w:r>
        <w:rPr>
          <w:color w:val="000000"/>
        </w:rPr>
        <w:t>How IP investigation works</w:t>
      </w:r>
    </w:p>
    <w:p>
      <w:r>
        <w:t>An analyst enters an IPv4 or IPv6 address, or follows a source IP from a saved flow. TraceVigil validates and normalizes the address, then uses its indexed source and destination columns to find evidence within that user's permissions. A scan selector can narrow the evidence window.</w:t>
      </w:r>
    </w:p>
    <w:p>
      <w:pPr>
        <w:pStyle w:val="ListBullet"/>
      </w:pPr>
      <w:r>
        <w:t>Address context explains loopback, private or special use, link local, shared address space, multicast and global scope. These properties are not a reputation verdict.</w:t>
      </w:r>
    </w:p>
    <w:p>
      <w:pPr>
        <w:pStyle w:val="ListBullet"/>
      </w:pPr>
      <w:r>
        <w:t>Summary cards show scored flows, predicted attack flows, review flags, maximum priority, distinct peers and scans represented in the window. Risk remains a policy score out of 100, not an attack probability.</w:t>
      </w:r>
    </w:p>
    <w:p>
      <w:pPr>
        <w:pStyle w:val="ListBullet"/>
      </w:pPr>
      <w:r>
        <w:t>The detail view shows source and destination roles, predicted classes, risk distribution, peers, remote ports, protocols, disagreement and anomaly flags, and capture-hour counts.</w:t>
      </w:r>
    </w:p>
    <w:p>
      <w:pPr>
        <w:pStyle w:val="ListBullet"/>
      </w:pPr>
      <w:r>
        <w:t>Related incident groups open the existing investigation console, XGBoost TreeSHAP and case PDF. Matching application request IPs appear separately from CSV addresses.</w:t>
      </w:r>
    </w:p>
    <w:p>
      <w:pPr>
        <w:pStyle w:val="ListBullet"/>
      </w:pPr>
      <w:r>
        <w:t>Each analyst can save a disposition and evidence-based note. Version checks reject stale saves with HTTP 409 instead of silently overwriting a newer note.</w:t>
      </w:r>
    </w:p>
    <w:p>
      <w:pPr>
        <w:pStyle w:val="ListBullet"/>
      </w:pPr>
      <w:r>
        <w:t>Authenticated JSON export captures a fresh IP evidence report. Browser Print and Save PDF prints the displayed investigation. SHA-256 verifies downloaded bytes but does not sign the report.</w:t>
      </w:r>
    </w:p>
    <w:p>
      <w:pPr>
        <w:pStyle w:val="Heading1"/>
      </w:pPr>
      <w:r>
        <w:rPr>
          <w:color w:val="000000"/>
        </w:rPr>
        <w:t>Coverage and interpretation</w:t>
      </w:r>
    </w:p>
    <w:p>
      <w:r>
        <w:t>The query counts all matching saved flows, then inspects at most the latest 50,000 matches by storage ID. Aggregates describe this disclosed window. The view samples up to 100 flows, 200 incident groups, 20 peers and remote ports, 256 capture hours, and 50 matching application events. Repeated scans count again.</w:t>
      </w:r>
    </w:p>
    <w:p>
      <w:r>
        <w:t>Port and peer fan-out observations are descriptive prompts to review authorised discovery or expected service dependencies. They are not proof of scanning or compromise. A no-match result means no evidence in the permitted saved scope; it does not mean safe.</w:t>
      </w:r>
    </w:p>
    <w:p>
      <w:pPr>
        <w:pStyle w:val="Heading1"/>
      </w:pPr>
      <w:r>
        <w:rPr>
          <w:color w:val="000000"/>
        </w:rPr>
        <w:t>Two different clocks</w:t>
      </w:r>
    </w:p>
    <w:p>
      <w:r>
        <w:t>Application audit timestamps and new flow recorded_at values use server UTC. CSV capture time comes from the source data, commonly CICIDS 2017. A naive capture timestamp has no established timezone. Legacy ingestion time and peer IP stay unknown when they were never recorded.</w:t>
      </w:r>
    </w:p>
    <w:p>
      <w:r>
        <w:t>The request peer is normally 127.0.0.1 during local use. A proxy or NAT affects its meaning. It must not be presented as the source IP of a network flow or the identity of a person.</w:t>
      </w:r>
    </w:p>
    <w:p>
      <w:r>
        <w:br w:type="page"/>
      </w:r>
    </w:p>
    <w:p>
      <w:pPr>
        <w:pStyle w:val="Heading1"/>
      </w:pPr>
      <w:r>
        <w:rPr>
          <w:color w:val="000000"/>
        </w:rPr>
        <w:t>Complete changed files</w:t>
      </w:r>
    </w:p>
    <w:tbl>
      <w:tblPr>
        <w:tblW w:type="auto" w:w="0"/>
        <w:jc w:val="center"/>
        <w:tblLayout w:type="fixed"/>
        <w:tblLook w:firstColumn="1" w:firstRow="1" w:lastColumn="0" w:lastRow="0" w:noHBand="0" w:noVBand="1" w:val="04A0"/>
      </w:tblPr>
      <w:tblGrid>
        <w:gridCol w:w="3528"/>
        <w:gridCol w:w="6336"/>
      </w:tblGrid>
      <w:tr>
        <w:trPr>
          <w:tblHeader/>
        </w:trPr>
        <w:tc>
          <w:tcPr>
            <w:tcW w:type="dxa" w:w="3528"/>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left w:w="95" w:type="dxa"/>
              <w:bottom w:w="95" w:type="dxa"/>
              <w:right w:w="95" w:type="dxa"/>
            </w:tcMar>
            <w:shd w:fill="E8EEF2"/>
          </w:tcPr>
          <w:p>
            <w:pPr>
              <w:spacing w:after="40" w:before="40"/>
            </w:pPr>
            <w:r>
              <w:rPr>
                <w:b/>
                <w:sz w:val="18"/>
              </w:rPr>
              <w:t>File or group</w:t>
            </w:r>
          </w:p>
        </w:tc>
        <w:tc>
          <w:tcPr>
            <w:tcW w:type="dxa" w:w="6336"/>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left w:w="95" w:type="dxa"/>
              <w:bottom w:w="95" w:type="dxa"/>
              <w:right w:w="95" w:type="dxa"/>
            </w:tcMar>
            <w:shd w:fill="E8EEF2"/>
          </w:tcPr>
          <w:p>
            <w:pPr>
              <w:spacing w:after="40" w:before="40"/>
            </w:pPr>
            <w:r>
              <w:rPr>
                <w:b/>
                <w:sz w:val="18"/>
              </w:rPr>
              <w:t>Purpose</w:t>
            </w:r>
          </w:p>
        </w:tc>
      </w:tr>
      <w:tr>
        <w:tc>
          <w:tcPr>
            <w:tcW w:type="dxa" w:w="3528"/>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left w:w="95" w:type="dxa"/>
              <w:bottom w:w="95" w:type="dxa"/>
              <w:right w:w="95" w:type="dxa"/>
            </w:tcMar>
          </w:tcPr>
          <w:p>
            <w:pPr>
              <w:spacing w:after="40" w:before="40"/>
            </w:pPr>
            <w:r>
              <w:rPr>
                <w:b w:val="0"/>
                <w:sz w:val="18"/>
              </w:rPr>
              <w:t>backend/main.py</w:t>
            </w:r>
          </w:p>
        </w:tc>
        <w:tc>
          <w:tcPr>
            <w:tcW w:type="dxa" w:w="6336"/>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left w:w="95" w:type="dxa"/>
              <w:bottom w:w="95" w:type="dxa"/>
              <w:right w:w="95" w:type="dxa"/>
            </w:tcMar>
          </w:tcPr>
          <w:p>
            <w:pPr>
              <w:spacing w:after="40" w:before="40"/>
            </w:pPr>
            <w:r>
              <w:rPr>
                <w:b w:val="0"/>
                <w:sz w:val="18"/>
              </w:rPr>
              <w:t>Attribute verified requests; store indexed flow IPs and ingestion time; record review batches; install security module.</w:t>
            </w:r>
          </w:p>
        </w:tc>
      </w:tr>
      <w:tr>
        <w:tc>
          <w:tcPr>
            <w:tcW w:type="dxa" w:w="3528"/>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left w:w="95" w:type="dxa"/>
              <w:bottom w:w="95" w:type="dxa"/>
              <w:right w:w="95" w:type="dxa"/>
            </w:tcMar>
          </w:tcPr>
          <w:p>
            <w:pPr>
              <w:spacing w:after="40" w:before="40"/>
            </w:pPr>
            <w:r>
              <w:rPr>
                <w:b w:val="0"/>
                <w:sz w:val="18"/>
              </w:rPr>
              <w:t>backend/secure_auth.py</w:t>
            </w:r>
          </w:p>
        </w:tc>
        <w:tc>
          <w:tcPr>
            <w:tcW w:type="dxa" w:w="6336"/>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left w:w="95" w:type="dxa"/>
              <w:bottom w:w="95" w:type="dxa"/>
              <w:right w:w="95" w:type="dxa"/>
            </w:tcMar>
          </w:tcPr>
          <w:p>
            <w:pPr>
              <w:spacing w:after="40" w:before="40"/>
            </w:pPr>
            <w:r>
              <w:rPr>
                <w:b w:val="0"/>
                <w:sz w:val="18"/>
              </w:rPr>
              <w:t>Give each new login a unique token identifier.</w:t>
            </w:r>
          </w:p>
        </w:tc>
      </w:tr>
      <w:tr>
        <w:tc>
          <w:tcPr>
            <w:tcW w:type="dxa" w:w="3528"/>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left w:w="95" w:type="dxa"/>
              <w:bottom w:w="95" w:type="dxa"/>
              <w:right w:w="95" w:type="dxa"/>
            </w:tcMar>
          </w:tcPr>
          <w:p>
            <w:pPr>
              <w:spacing w:after="40" w:before="40"/>
            </w:pPr>
            <w:r>
              <w:rPr>
                <w:b w:val="0"/>
                <w:sz w:val="18"/>
              </w:rPr>
              <w:t>backend/security_ops.py</w:t>
            </w:r>
          </w:p>
        </w:tc>
        <w:tc>
          <w:tcPr>
            <w:tcW w:type="dxa" w:w="6336"/>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left w:w="95" w:type="dxa"/>
              <w:bottom w:w="95" w:type="dxa"/>
              <w:right w:w="95" w:type="dxa"/>
            </w:tcMar>
          </w:tcPr>
          <w:p>
            <w:pPr>
              <w:spacing w:after="40" w:before="40"/>
            </w:pPr>
            <w:r>
              <w:rPr>
                <w:b w:val="0"/>
                <w:sz w:val="18"/>
              </w:rPr>
              <w:t>Migrations, structured events, permissions, filters, exports, IP evidence, notes and token revocation.</w:t>
            </w:r>
          </w:p>
        </w:tc>
      </w:tr>
      <w:tr>
        <w:tc>
          <w:tcPr>
            <w:tcW w:type="dxa" w:w="3528"/>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left w:w="95" w:type="dxa"/>
              <w:bottom w:w="95" w:type="dxa"/>
              <w:right w:w="95" w:type="dxa"/>
            </w:tcMar>
          </w:tcPr>
          <w:p>
            <w:pPr>
              <w:spacing w:after="40" w:before="40"/>
            </w:pPr>
            <w:r>
              <w:rPr>
                <w:b w:val="0"/>
                <w:sz w:val="18"/>
              </w:rPr>
              <w:t>frontend/index.html</w:t>
            </w:r>
          </w:p>
        </w:tc>
        <w:tc>
          <w:tcPr>
            <w:tcW w:type="dxa" w:w="6336"/>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left w:w="95" w:type="dxa"/>
              <w:bottom w:w="95" w:type="dxa"/>
              <w:right w:w="95" w:type="dxa"/>
            </w:tcMar>
          </w:tcPr>
          <w:p>
            <w:pPr>
              <w:spacing w:after="40" w:before="40"/>
            </w:pPr>
            <w:r>
              <w:rPr>
                <w:b w:val="0"/>
                <w:sz w:val="18"/>
              </w:rPr>
              <w:t>Add the dedicated section and its controls.</w:t>
            </w:r>
          </w:p>
        </w:tc>
      </w:tr>
      <w:tr>
        <w:tc>
          <w:tcPr>
            <w:tcW w:type="dxa" w:w="3528"/>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left w:w="95" w:type="dxa"/>
              <w:bottom w:w="95" w:type="dxa"/>
              <w:right w:w="95" w:type="dxa"/>
            </w:tcMar>
          </w:tcPr>
          <w:p>
            <w:pPr>
              <w:spacing w:after="40" w:before="40"/>
            </w:pPr>
            <w:r>
              <w:rPr>
                <w:b w:val="0"/>
                <w:sz w:val="18"/>
              </w:rPr>
              <w:t>frontend/app.js</w:t>
            </w:r>
          </w:p>
        </w:tc>
        <w:tc>
          <w:tcPr>
            <w:tcW w:type="dxa" w:w="6336"/>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left w:w="95" w:type="dxa"/>
              <w:bottom w:w="95" w:type="dxa"/>
              <w:right w:w="95" w:type="dxa"/>
            </w:tcMar>
          </w:tcPr>
          <w:p>
            <w:pPr>
              <w:spacing w:after="40" w:before="40"/>
            </w:pPr>
            <w:r>
              <w:rPr>
                <w:b w:val="0"/>
                <w:sz w:val="18"/>
              </w:rPr>
              <w:t>Add source IP pivots and server-confirmed sign out; remove the raw audit display.</w:t>
            </w:r>
          </w:p>
        </w:tc>
      </w:tr>
      <w:tr>
        <w:tc>
          <w:tcPr>
            <w:tcW w:type="dxa" w:w="3528"/>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left w:w="95" w:type="dxa"/>
              <w:bottom w:w="95" w:type="dxa"/>
              <w:right w:w="95" w:type="dxa"/>
            </w:tcMar>
          </w:tcPr>
          <w:p>
            <w:pPr>
              <w:spacing w:after="40" w:before="40"/>
            </w:pPr>
            <w:r>
              <w:rPr>
                <w:b w:val="0"/>
                <w:sz w:val="18"/>
              </w:rPr>
              <w:t>frontend/security.js</w:t>
            </w:r>
          </w:p>
        </w:tc>
        <w:tc>
          <w:tcPr>
            <w:tcW w:type="dxa" w:w="6336"/>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left w:w="95" w:type="dxa"/>
              <w:bottom w:w="95" w:type="dxa"/>
              <w:right w:w="95" w:type="dxa"/>
            </w:tcMar>
          </w:tcPr>
          <w:p>
            <w:pPr>
              <w:spacing w:after="40" w:before="40"/>
            </w:pPr>
            <w:r>
              <w:rPr>
                <w:b w:val="0"/>
                <w:sz w:val="18"/>
              </w:rPr>
              <w:t>Wire filters, queued refresh, pagination, IP investigation, note saves, downloads and print.</w:t>
            </w:r>
          </w:p>
        </w:tc>
      </w:tr>
      <w:tr>
        <w:tc>
          <w:tcPr>
            <w:tcW w:type="dxa" w:w="3528"/>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left w:w="95" w:type="dxa"/>
              <w:bottom w:w="95" w:type="dxa"/>
              <w:right w:w="95" w:type="dxa"/>
            </w:tcMar>
          </w:tcPr>
          <w:p>
            <w:pPr>
              <w:spacing w:after="40" w:before="40"/>
            </w:pPr>
            <w:r>
              <w:rPr>
                <w:b w:val="0"/>
                <w:sz w:val="18"/>
              </w:rPr>
              <w:t>frontend/security.css</w:t>
            </w:r>
          </w:p>
        </w:tc>
        <w:tc>
          <w:tcPr>
            <w:tcW w:type="dxa" w:w="6336"/>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left w:w="95" w:type="dxa"/>
              <w:bottom w:w="95" w:type="dxa"/>
              <w:right w:w="95" w:type="dxa"/>
            </w:tcMar>
          </w:tcPr>
          <w:p>
            <w:pPr>
              <w:spacing w:after="40" w:before="40"/>
            </w:pPr>
            <w:r>
              <w:rPr>
                <w:b w:val="0"/>
                <w:sz w:val="18"/>
              </w:rPr>
              <w:t>Add section-specific layout and print rules using the existing theme variables.</w:t>
            </w:r>
          </w:p>
        </w:tc>
      </w:tr>
      <w:tr>
        <w:tc>
          <w:tcPr>
            <w:tcW w:type="dxa" w:w="3528"/>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left w:w="95" w:type="dxa"/>
              <w:bottom w:w="95" w:type="dxa"/>
              <w:right w:w="95" w:type="dxa"/>
            </w:tcMar>
          </w:tcPr>
          <w:p>
            <w:pPr>
              <w:spacing w:after="40" w:before="40"/>
            </w:pPr>
            <w:r>
              <w:rPr>
                <w:b w:val="0"/>
                <w:sz w:val="18"/>
              </w:rPr>
              <w:t>tests/test_system.py</w:t>
            </w:r>
          </w:p>
        </w:tc>
        <w:tc>
          <w:tcPr>
            <w:tcW w:type="dxa" w:w="6336"/>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left w:w="95" w:type="dxa"/>
              <w:bottom w:w="95" w:type="dxa"/>
              <w:right w:w="95" w:type="dxa"/>
            </w:tcMar>
          </w:tcPr>
          <w:p>
            <w:pPr>
              <w:spacing w:after="40" w:before="40"/>
            </w:pPr>
            <w:r>
              <w:rPr>
                <w:b w:val="0"/>
                <w:sz w:val="18"/>
              </w:rPr>
              <w:t>Preserve the original tests and add audit, migration, IP, privacy, note and logout regressions.</w:t>
            </w:r>
          </w:p>
        </w:tc>
      </w:tr>
      <w:tr>
        <w:tc>
          <w:tcPr>
            <w:tcW w:type="dxa" w:w="3528"/>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left w:w="95" w:type="dxa"/>
              <w:bottom w:w="95" w:type="dxa"/>
              <w:right w:w="95" w:type="dxa"/>
            </w:tcMar>
          </w:tcPr>
          <w:p>
            <w:pPr>
              <w:spacing w:after="40" w:before="40"/>
            </w:pPr>
            <w:r>
              <w:rPr>
                <w:b w:val="0"/>
                <w:sz w:val="18"/>
              </w:rPr>
              <w:t>docs/NetShield.postman_collection.json</w:t>
            </w:r>
          </w:p>
        </w:tc>
        <w:tc>
          <w:tcPr>
            <w:tcW w:type="dxa" w:w="6336"/>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left w:w="95" w:type="dxa"/>
              <w:bottom w:w="95" w:type="dxa"/>
              <w:right w:w="95" w:type="dxa"/>
            </w:tcMar>
          </w:tcPr>
          <w:p>
            <w:pPr>
              <w:spacing w:after="40" w:before="40"/>
            </w:pPr>
            <w:r>
              <w:rPr>
                <w:b w:val="0"/>
                <w:sz w:val="18"/>
              </w:rPr>
              <w:t>Add six security endpoints and examples; remove a duplicate incident variable.</w:t>
            </w:r>
          </w:p>
        </w:tc>
      </w:tr>
      <w:tr>
        <w:tc>
          <w:tcPr>
            <w:tcW w:type="dxa" w:w="3528"/>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left w:w="95" w:type="dxa"/>
              <w:bottom w:w="95" w:type="dxa"/>
              <w:right w:w="95" w:type="dxa"/>
            </w:tcMar>
          </w:tcPr>
          <w:p>
            <w:pPr>
              <w:spacing w:after="40" w:before="40"/>
            </w:pPr>
            <w:r>
              <w:rPr>
                <w:b w:val="0"/>
                <w:sz w:val="18"/>
              </w:rPr>
              <w:t>docs/POSTMAN.md and CHANGELOG.md</w:t>
            </w:r>
          </w:p>
        </w:tc>
        <w:tc>
          <w:tcPr>
            <w:tcW w:type="dxa" w:w="6336"/>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left w:w="95" w:type="dxa"/>
              <w:bottom w:w="95" w:type="dxa"/>
              <w:right w:w="95" w:type="dxa"/>
            </w:tcMar>
          </w:tcPr>
          <w:p>
            <w:pPr>
              <w:spacing w:after="40" w:before="40"/>
            </w:pPr>
            <w:r>
              <w:rPr>
                <w:b w:val="0"/>
                <w:sz w:val="18"/>
              </w:rPr>
              <w:t>Document API usage and dated changes.</w:t>
            </w:r>
          </w:p>
        </w:tc>
      </w:tr>
      <w:tr>
        <w:tc>
          <w:tcPr>
            <w:tcW w:type="dxa" w:w="3528"/>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left w:w="95" w:type="dxa"/>
              <w:bottom w:w="95" w:type="dxa"/>
              <w:right w:w="95" w:type="dxa"/>
            </w:tcMar>
          </w:tcPr>
          <w:p>
            <w:pPr>
              <w:spacing w:after="40" w:before="40"/>
            </w:pPr>
            <w:r>
              <w:rPr>
                <w:b w:val="0"/>
                <w:sz w:val="18"/>
              </w:rPr>
              <w:t>docs/SECURITY_EVENTS.md</w:t>
            </w:r>
          </w:p>
        </w:tc>
        <w:tc>
          <w:tcPr>
            <w:tcW w:type="dxa" w:w="6336"/>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left w:w="95" w:type="dxa"/>
              <w:bottom w:w="95" w:type="dxa"/>
              <w:right w:w="95" w:type="dxa"/>
            </w:tcMar>
          </w:tcPr>
          <w:p>
            <w:pPr>
              <w:spacing w:after="40" w:before="40"/>
            </w:pPr>
            <w:r>
              <w:rPr>
                <w:b w:val="0"/>
                <w:sz w:val="18"/>
              </w:rPr>
              <w:t>Explain architecture, interpretation, limits and investigation workflow.</w:t>
            </w:r>
          </w:p>
        </w:tc>
      </w:tr>
      <w:tr>
        <w:tc>
          <w:tcPr>
            <w:tcW w:type="dxa" w:w="3528"/>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left w:w="95" w:type="dxa"/>
              <w:bottom w:w="95" w:type="dxa"/>
              <w:right w:w="95" w:type="dxa"/>
            </w:tcMar>
          </w:tcPr>
          <w:p>
            <w:pPr>
              <w:spacing w:after="40" w:before="40"/>
            </w:pPr>
            <w:r>
              <w:rPr>
                <w:b w:val="0"/>
                <w:sz w:val="18"/>
              </w:rPr>
              <w:t>Validation JSON and this Word log</w:t>
            </w:r>
          </w:p>
        </w:tc>
        <w:tc>
          <w:tcPr>
            <w:tcW w:type="dxa" w:w="6336"/>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left w:w="95" w:type="dxa"/>
              <w:bottom w:w="95" w:type="dxa"/>
              <w:right w:w="95" w:type="dxa"/>
            </w:tcMar>
          </w:tcPr>
          <w:p>
            <w:pPr>
              <w:spacing w:after="40" w:before="40"/>
            </w:pPr>
            <w:r>
              <w:rPr>
                <w:b w:val="0"/>
                <w:sz w:val="18"/>
              </w:rPr>
              <w:t>Record measured checks and explain the work.</w:t>
            </w:r>
          </w:p>
        </w:tc>
      </w:tr>
      <w:tr>
        <w:tc>
          <w:tcPr>
            <w:tcW w:type="dxa" w:w="3528"/>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left w:w="95" w:type="dxa"/>
              <w:bottom w:w="95" w:type="dxa"/>
              <w:right w:w="95" w:type="dxa"/>
            </w:tcMar>
          </w:tcPr>
          <w:p>
            <w:pPr>
              <w:spacing w:after="40" w:before="40"/>
            </w:pPr>
            <w:r>
              <w:rPr>
                <w:b w:val="0"/>
                <w:sz w:val="18"/>
              </w:rPr>
              <w:t>INSTALL_SECURITY_EVENTS.md</w:t>
            </w:r>
          </w:p>
        </w:tc>
        <w:tc>
          <w:tcPr>
            <w:tcW w:type="dxa" w:w="6336"/>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left w:w="95" w:type="dxa"/>
              <w:bottom w:w="95" w:type="dxa"/>
              <w:right w:w="95" w:type="dxa"/>
            </w:tcMar>
          </w:tcPr>
          <w:p>
            <w:pPr>
              <w:spacing w:after="40" w:before="40"/>
            </w:pPr>
            <w:r>
              <w:rPr>
                <w:b w:val="0"/>
                <w:sz w:val="18"/>
              </w:rPr>
              <w:t>Provide copy, migration, test and demonstration steps.</w:t>
            </w:r>
          </w:p>
        </w:tc>
      </w:tr>
    </w:tbl>
    <w:p>
      <w:pPr>
        <w:pStyle w:val="Heading1"/>
      </w:pPr>
      <w:r>
        <w:rPr>
          <w:color w:val="000000"/>
        </w:rPr>
        <w:t>Migration and integrity</w:t>
      </w:r>
    </w:p>
    <w:p>
      <w:r>
        <w:t>The application adds security_events, ip_cases, revoked_tokens and migration state, plus nullable IP and ingestion-time columns on flows. Legacy audit records are copied once with their original dates. Existing flow IPs are indexed in batches of 1,000. The old audit table remains available for upload ownership and the protected compatibility API.</w:t>
      </w:r>
    </w:p>
    <w:p>
      <w:r>
        <w:t>SQLite triggers reject updates and deletions of structured events. This is application-level append-only protection, not a tamper-proof external archive. Database administrator or filesystem access can still replace the database. No automatic retention purge is enabled; disk use grows with saved evidence.</w:t>
      </w:r>
    </w:p>
    <w:p>
      <w:r>
        <w:br w:type="page"/>
      </w:r>
    </w:p>
    <w:p>
      <w:pPr>
        <w:pStyle w:val="Heading1"/>
      </w:pPr>
      <w:r>
        <w:rPr>
          <w:color w:val="000000"/>
        </w:rPr>
        <w:t>Validation and challenges</w:t>
      </w:r>
    </w:p>
    <w:p>
      <w:r>
        <w:t>Backend verification passed 28 tests on Linux Python 3.12 with the project's pinned dependencies. This includes the original 21 tests and seven added cases covering structured events, secret exclusions, forged forwarding headers, account scope, search, cursor pages, date validation, checksum exports, idempotent migration, unknown legacy timestamps, exact IP counts, capped evidence, note permissions/conflicts and current-token revocation.</w:t>
      </w:r>
    </w:p>
    <w:p>
      <w:r>
        <w:t>Twelve browser workflow groups passed in Chromium 134 using an isolated local server, generated test accounts and the real 243-row CICIDS demo. Checks covered the dedicated section, refresh animation, fast page navigation, filters/details/downloads, IP evidence, escaped notes, print rules, invalid input, mobile containment, related TreeSHAP and sign out. No JavaScript page errors were observed.</w:t>
      </w:r>
    </w:p>
    <w:p>
      <w:r>
        <w:t>The existing Starlette TestClient deprecation warning remains. CAPTCHA and email are mocked only in isolated tests. No production bypass is shipped. These results do not replace testing on Mansi's Windows machine or constitute a penetration test or a fresh accuracy benchmark.</w:t>
      </w:r>
    </w:p>
    <w:p>
      <w:pPr>
        <w:pStyle w:val="ListBullet"/>
      </w:pPr>
      <w:r>
        <w:t>Legacy preservation required indexing saved JSON flow addresses without changing payloads or inventing unavailable timestamps. Large databases can take longer on first startup and need extra index space.</w:t>
      </w:r>
    </w:p>
    <w:p>
      <w:pPr>
        <w:pStyle w:val="ListBullet"/>
      </w:pPr>
      <w:r>
        <w:t>Auth failures must be useful without leaking credentials. Safe reason codes and anonymous attribution avoid logging passwords, OTPs, invitation codes, CAPTCHA values or raw bearer tokens.</w:t>
      </w:r>
    </w:p>
    <w:p>
      <w:pPr>
        <w:pStyle w:val="ListBullet"/>
      </w:pPr>
      <w:r>
        <w:t>Quick browser actions revealed a refresh and pagination race. A refresh queue and captured page cursor now preserve the requested page.</w:t>
      </w:r>
    </w:p>
    <w:p>
      <w:pPr>
        <w:pStyle w:val="ListBullet"/>
      </w:pPr>
      <w:r>
        <w:t>The existing stylesheet printed only the evidence dialog and hid the main page. Additive print rules explicitly show the IP report, hide the dialog and expand report details.</w:t>
      </w:r>
    </w:p>
    <w:p>
      <w:pPr>
        <w:pStyle w:val="ListBullet"/>
      </w:pPr>
      <w:r>
        <w:t>Sign out previously cleared only browser storage. It now revokes the current token by digest and logs the action; other separately issued sessions stay valid.</w:t>
      </w:r>
    </w:p>
    <w:p>
      <w:pPr>
        <w:pStyle w:val="Heading1"/>
      </w:pPr>
      <w:r>
        <w:rPr>
          <w:color w:val="000000"/>
        </w:rPr>
        <w:t>Install and demonstrate</w:t>
      </w:r>
    </w:p>
    <w:p>
      <w:r>
        <w:t>Stop the server and back up the project and data directory. Copy the complete replacement folders from the ZIP into the original netshield-ai project. Keep .env, venv, models and data. No new package installation is needed. Run the test suite, then start Uvicorn with one worker. Wait for the first schema migration to finish and hard-refresh the browser with Ctrl+F5.</w:t>
      </w:r>
    </w:p>
    <w:p>
      <w:r>
        <w:t>Show a successful login event, apply an action filter, inspect a request ID and export NDJSON. Scan cicids_demo_real_ips.csv, investigate a source IP, explain capture time versus recorded time, open TreeSHAP, save an Investigating note and export the IP report. Sign out and log back in to show the recorded logout.</w:t>
      </w:r>
    </w:p>
    <w:p>
      <w:r>
        <w:t>This update provides application auditing and local saved-flow investigation. Windows system log collection, live packet capture, external threat-feed reputation, IP blocking and an external SIEM archive remain outside its implemented scope.</w:t>
      </w:r>
    </w:p>
    <w:sectPr w:rsidR="00FC693F" w:rsidRPr="0006063C" w:rsidSect="00034616">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2" w:lineRule="auto"/>
    </w:pPr>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40"/>
      <w:outlineLvl w:val="0"/>
    </w:pPr>
    <w:rPr>
      <w:rFonts w:asciiTheme="majorHAnsi" w:eastAsiaTheme="majorEastAsia" w:hAnsiTheme="majorHAnsi" w:cstheme="majorBidi" w:ascii="Calibri" w:hAnsi="Calibri"/>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14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140"/>
      <w:outlineLvl w:val="2"/>
    </w:pPr>
    <w:rPr>
      <w:rFonts w:asciiTheme="majorHAnsi" w:eastAsiaTheme="majorEastAsia" w:hAnsiTheme="majorHAnsi" w:cstheme="majorBidi" w:ascii="Calibri" w:hAnsi="Calibr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before="200"/>
      <w:contextualSpacing/>
    </w:pPr>
    <w:rPr>
      <w:rFonts w:asciiTheme="majorHAnsi" w:eastAsiaTheme="majorEastAsia" w:hAnsiTheme="majorHAnsi" w:cstheme="majorBidi" w:ascii="Calibri" w:hAnsi="Calibri"/>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40"/>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TraceVigil Security Events Change Log</dc:title>
  <dc:subject/>
  <dc:creator>Mansi Gaikwad</dc:creator>
  <cp:keywords/>
  <dc:description>generated by python-docx</dc:description>
  <cp:lastModifiedBy/>
  <cp:revision>1</cp:revision>
  <dcterms:created xsi:type="dcterms:W3CDTF">2013-12-23T23:15:00Z</dcterms:created>
  <dcterms:modified xsi:type="dcterms:W3CDTF">2013-12-23T23:15:00Z</dcterms:modified>
  <cp:category/>
</cp:coreProperties>
</file>