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NetShield repository configuration changes</w:t>
      </w:r>
    </w:p>
    <w:p>
      <w:r>
        <w:t>14 October 2026 | Addendum to the existing project change log</w:t>
      </w:r>
    </w:p>
    <w:p>
      <w:r>
        <w:t>These replacement ignore files prepare the working application for a commit on mansi-gaikwad. They do not change predictions or the interface. The replacements still need to be installed and checked on the user’s computer.</w:t>
      </w:r>
    </w:p>
    <w:p>
      <w:pPr>
        <w:pStyle w:val="Heading2"/>
      </w:pPr>
      <w:r>
        <w:t>Virtual environment handling</w:t>
      </w:r>
    </w:p>
    <w:p>
      <w:r>
        <w:t>Keep the original working virtual environment. Do not copy an environment from a ZIP; installed packages and interpreter paths are local to the machine. Both ignore files now exclude venv, .venv and versioned variants.</w:t>
      </w:r>
    </w:p>
    <w:p>
      <w:pPr>
        <w:pStyle w:val="Heading2"/>
      </w:pPr>
      <w:r>
        <w:t>Git exclusions</w:t>
      </w:r>
    </w:p>
    <w:p>
      <w:r>
        <w:t>Preserve the existing exclusion of legacy pickle files and databases. Exclude local secrets, caches, download ZIPs and full datasets. Allow data/cicids_demo_real_ips.csv so another developer can run a small scan. Keep models/bundle.joblib and models/xgboost_model.json available for startup.</w:t>
      </w:r>
    </w:p>
    <w:p>
      <w:pPr>
        <w:pStyle w:val="Heading2"/>
      </w:pPr>
      <w:r>
        <w:t>Docker build exclusions</w:t>
      </w:r>
    </w:p>
    <w:p>
      <w:r>
        <w:t>Exclude the actual venv folder as well as .venv variants, Git history, secrets, generated databases and large data files. Keep source code, requirements and runtime models in the build context. Docker installs dependencies from requirements.txt.</w:t>
      </w:r>
    </w:p>
    <w:p>
      <w:pPr>
        <w:pStyle w:val="Heading2"/>
      </w:pPr>
      <w:r>
        <w:t>Documentation preservation</w:t>
      </w:r>
    </w:p>
    <w:p>
      <w:r>
        <w:t>Keep the mentor’s README.md. Use NETSHIELD_SETUP.md for the project guide and preserve both exploration.ipynb and exploration_updated.ipynb.</w:t>
      </w:r>
    </w:p>
    <w:p>
      <w:pPr>
        <w:pStyle w:val="Heading2"/>
      </w:pPr>
      <w:r>
        <w:t>Challenges and validation</w:t>
      </w:r>
    </w:p>
    <w:p>
      <w:r>
        <w:t>The screenshots showed that data/ hid the demo CSV and the Docker rules missed venv. The replacements address those patterns. Review git status and git check-ignore locally before committing; ignore files do not remove already tracked files. Docker has not been built or tested as part of this configuration update.</w:t>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