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Performance Report</w:t>
      </w:r>
    </w:p>
    <w:p>
      <w:r>
        <w:t>This quarter demonstrated a strong recovery in overall performance, with a 15% increase in revenue compared to the previous quarter. Our AI-driven analytics platform has contributed significantly to identifying new market trends and improving customer satisfaction metrics.</w:t>
      </w:r>
    </w:p>
    <w:p>
      <w:r>
        <w:t>Key focus areas for the next quarter include expanding automation capabilities, enhancing data security measures, and investing in R&amp;D to support innovation in product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