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6f4c"/>
          <w:sz w:val="40"/>
          <w:szCs w:val="40"/>
        </w:rPr>
        <w:t xml:space="preserve">Solar &amp; Wind Deployment Intelligence Platform</w:t>
      </w:r>
    </w:p>
    <w:p>
      <w:pPr>
        <w:spacing w:after="60"/>
      </w:pPr>
      <w:r>
        <w:rPr>
          <w:color w:val="666666"/>
          <w:sz w:val="28"/>
          <w:szCs w:val="28"/>
        </w:rPr>
        <w:t xml:space="preserve">Data &amp; Implementation Documentation</w:t>
      </w:r>
    </w:p>
    <w:p>
      <w:pPr>
        <w:spacing w:after="400"/>
      </w:pPr>
      <w:r>
        <w:rPr>
          <w:i/>
          <w:iCs/>
          <w:color w:val="666666"/>
          <w:sz w:val="22"/>
          <w:szCs w:val="22"/>
        </w:rPr>
        <w:t xml:space="preserve">Environmental Data Collection · APIs · Dataset Schema · Prediction Calculations · Recommended Dataset</w:t>
      </w:r>
    </w:p>
    <w:p>
      <w:pPr>
        <w:spacing w:after="160"/>
      </w:pPr>
      <w:r>
        <w:rPr>
          <w:i/>
          <w:iCs/>
          <w:color w:val="666666"/>
          <w:sz w:val="20"/>
          <w:szCs w:val="20"/>
        </w:rPr>
        <w:t xml:space="preserve">Every claim in this document was verified directly against the running backend source code as of this revision — not against the design spec alone. Where an earlier draft of this document described something that was not yet implemented, it has been corrected below and the correction is called out explicitly.</w:t>
      </w:r>
    </w:p>
    <w:p>
      <w:pPr>
        <w:pStyle w:val="Heading1"/>
        <w:spacing w:after="160" w:before="320"/>
      </w:pPr>
      <w:r>
        <w:t xml:space="preserve">1. Purpose</w:t>
      </w:r>
    </w:p>
    <w:p>
      <w:pPr>
        <w:spacing w:after="140"/>
      </w:pPr>
      <w:r>
        <w:t xml:space="preserve">This document is the technical reference for how the platform collects environmental data, which external APIs it uses, what the database schema looks like, and how collected data is turned into a solar/wind potential and site-suitability prediction. It answers the four questions a reviewer typically asks once the architecture diagram is approved: where does the data come from, what does the database actually store, how is a score calculated, and which single dataset should we point to if asked “where does your data come from?”</w:t>
      </w:r>
    </w:p>
    <w:p>
      <w:pPr>
        <w:pStyle w:val="Heading1"/>
        <w:spacing w:after="160" w:before="320"/>
      </w:pPr>
      <w:r>
        <w:t xml:space="preserve">2. Implementation Workflow (End-to-End Data Flow)</w:t>
      </w:r>
    </w:p>
    <w:p>
      <w:pPr>
        <w:spacing w:after="140"/>
      </w:pPr>
      <w:r>
        <w:t xml:space="preserve">The platform runs one repeating pipeline for every site. It is not redesigned per project — once it works for one site, it works for all of them.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2400"/>
      </w:tblGrid>
      <w:tr>
        <w:trPr>
          <w:tblHeader/>
        </w:trPr>
        <w:tc>
          <w:tcPr>
            <w:tcW w:type="dxa" w:w="1700"/>
            <w:shd w:fill="1e6f4c" w:val="clear"/>
            <w:tcMar>
              <w:top w:type="dxa" w:w="80"/>
              <w:left w:type="dxa" w:w="100"/>
              <w:bottom w:type="dxa" w:w="80"/>
              <w:right w:type="dxa" w:w="100"/>
            </w:tcMar>
          </w:tcPr>
          <w:p>
            <w:r>
              <w:rPr>
                <w:b/>
                <w:bCs/>
                <w:color w:val="FFFFFF"/>
                <w:sz w:val="20"/>
                <w:szCs w:val="20"/>
              </w:rPr>
              <w:t xml:space="preserve">Stage</w:t>
            </w:r>
          </w:p>
        </w:tc>
        <w:tc>
          <w:tcPr>
            <w:tcW w:type="dxa" w:w="6300"/>
            <w:shd w:fill="1e6f4c" w:val="clear"/>
            <w:tcMar>
              <w:top w:type="dxa" w:w="80"/>
              <w:left w:type="dxa" w:w="100"/>
              <w:bottom w:type="dxa" w:w="80"/>
              <w:right w:type="dxa" w:w="100"/>
            </w:tcMar>
          </w:tcPr>
          <w:p>
            <w:r>
              <w:rPr>
                <w:b/>
                <w:bCs/>
                <w:color w:val="FFFFFF"/>
                <w:sz w:val="20"/>
                <w:szCs w:val="20"/>
              </w:rPr>
              <w:t xml:space="preserve">What Happens</w:t>
            </w:r>
          </w:p>
        </w:tc>
        <w:tc>
          <w:tcPr>
            <w:tcW w:type="dxa" w:w="2400"/>
            <w:shd w:fill="1e6f4c" w:val="clear"/>
            <w:tcMar>
              <w:top w:type="dxa" w:w="80"/>
              <w:left w:type="dxa" w:w="100"/>
              <w:bottom w:type="dxa" w:w="80"/>
              <w:right w:type="dxa" w:w="100"/>
            </w:tcMar>
          </w:tcPr>
          <w:p>
            <w:r>
              <w:rPr>
                <w:b/>
                <w:bCs/>
                <w:color w:val="FFFFFF"/>
                <w:sz w:val="20"/>
                <w:szCs w:val="20"/>
              </w:rPr>
              <w:t xml:space="preserve">Where It Lives</w:t>
            </w:r>
          </w:p>
        </w:tc>
      </w:tr>
      <w:tr>
        <w:tc>
          <w:tcPr>
            <w:tcW w:type="dxa" w:w="1700"/>
            <w:tcMar>
              <w:top w:type="dxa" w:w="80"/>
              <w:left w:type="dxa" w:w="100"/>
              <w:bottom w:type="dxa" w:w="80"/>
              <w:right w:type="dxa" w:w="100"/>
            </w:tcMar>
          </w:tcPr>
          <w:p>
            <w:r>
              <w:rPr>
                <w:b w:val="false"/>
                <w:bCs w:val="false"/>
                <w:sz w:val="20"/>
                <w:szCs w:val="20"/>
              </w:rPr>
              <w:t xml:space="preserve">1. Site Registration</w:t>
            </w:r>
          </w:p>
        </w:tc>
        <w:tc>
          <w:tcPr>
            <w:tcW w:type="dxa" w:w="6300"/>
            <w:tcMar>
              <w:top w:type="dxa" w:w="80"/>
              <w:left w:type="dxa" w:w="100"/>
              <w:bottom w:type="dxa" w:w="80"/>
              <w:right w:type="dxa" w:w="100"/>
            </w:tcMar>
          </w:tcPr>
          <w:p>
            <w:r>
              <w:rPr>
                <w:b w:val="false"/>
                <w:bCs w:val="false"/>
                <w:sz w:val="20"/>
                <w:szCs w:val="20"/>
              </w:rPr>
              <w:t xml:space="preserve">A Planner, Project Manager, or Administrator creates a Project, then registers a Site with coordinates, land area, and optional manual notes (existing infrastructure, land ownership).</w:t>
            </w:r>
          </w:p>
        </w:tc>
        <w:tc>
          <w:tcPr>
            <w:tcW w:type="dxa" w:w="2400"/>
            <w:tcMar>
              <w:top w:type="dxa" w:w="80"/>
              <w:left w:type="dxa" w:w="100"/>
              <w:bottom w:type="dxa" w:w="80"/>
              <w:right w:type="dxa" w:w="100"/>
            </w:tcMar>
          </w:tcPr>
          <w:p>
            <w:r>
              <w:rPr>
                <w:b w:val="false"/>
                <w:bCs w:val="false"/>
                <w:sz w:val="20"/>
                <w:szCs w:val="20"/>
              </w:rPr>
              <w:t xml:space="preserve">Project &amp; Site Management module</w:t>
            </w:r>
          </w:p>
        </w:tc>
      </w:tr>
      <w:tr>
        <w:tc>
          <w:tcPr>
            <w:tcW w:type="dxa" w:w="1700"/>
            <w:shd w:fill="F4F6F5" w:val="clear"/>
            <w:tcMar>
              <w:top w:type="dxa" w:w="80"/>
              <w:left w:type="dxa" w:w="100"/>
              <w:bottom w:type="dxa" w:w="80"/>
              <w:right w:type="dxa" w:w="100"/>
            </w:tcMar>
          </w:tcPr>
          <w:p>
            <w:r>
              <w:rPr>
                <w:b w:val="false"/>
                <w:bCs w:val="false"/>
                <w:sz w:val="20"/>
                <w:szCs w:val="20"/>
              </w:rPr>
              <w:t xml:space="preserve">2. Raw Data Ingestion</w:t>
            </w:r>
          </w:p>
        </w:tc>
        <w:tc>
          <w:tcPr>
            <w:tcW w:type="dxa" w:w="6300"/>
            <w:shd w:fill="F4F6F5" w:val="clear"/>
            <w:tcMar>
              <w:top w:type="dxa" w:w="80"/>
              <w:left w:type="dxa" w:w="100"/>
              <w:bottom w:type="dxa" w:w="80"/>
              <w:right w:type="dxa" w:w="100"/>
            </w:tcMar>
          </w:tcPr>
          <w:p>
            <w:r>
              <w:rPr>
                <w:b w:val="false"/>
                <w:bCs w:val="false"/>
                <w:sz w:val="20"/>
                <w:szCs w:val="20"/>
              </w:rPr>
              <w:t xml:space="preserve">The backend automatically calls every external connector (NASA POWER, elevation, OpenStreetMap/Overpass, satellite imagery, environmental/demographic reference data) using the site's latitude/longitude — triggered on registration, and again on demand via “Refresh data.”</w:t>
            </w:r>
          </w:p>
        </w:tc>
        <w:tc>
          <w:tcPr>
            <w:tcW w:type="dxa" w:w="2400"/>
            <w:shd w:fill="F4F6F5" w:val="clear"/>
            <w:tcMar>
              <w:top w:type="dxa" w:w="80"/>
              <w:left w:type="dxa" w:w="100"/>
              <w:bottom w:type="dxa" w:w="80"/>
              <w:right w:type="dxa" w:w="100"/>
            </w:tcMar>
          </w:tcPr>
          <w:p>
            <w:r>
              <w:rPr>
                <w:b w:val="false"/>
                <w:bCs w:val="false"/>
                <w:sz w:val="20"/>
                <w:szCs w:val="20"/>
              </w:rPr>
              <w:t xml:space="preserve">Environmental Data Collection Engine</w:t>
            </w:r>
          </w:p>
        </w:tc>
      </w:tr>
      <w:tr>
        <w:tc>
          <w:tcPr>
            <w:tcW w:type="dxa" w:w="1700"/>
            <w:tcMar>
              <w:top w:type="dxa" w:w="80"/>
              <w:left w:type="dxa" w:w="100"/>
              <w:bottom w:type="dxa" w:w="80"/>
              <w:right w:type="dxa" w:w="100"/>
            </w:tcMar>
          </w:tcPr>
          <w:p>
            <w:r>
              <w:rPr>
                <w:b w:val="false"/>
                <w:bCs w:val="false"/>
                <w:sz w:val="20"/>
                <w:szCs w:val="20"/>
              </w:rPr>
              <w:t xml:space="preserve">3. Caching</w:t>
            </w:r>
          </w:p>
        </w:tc>
        <w:tc>
          <w:tcPr>
            <w:tcW w:type="dxa" w:w="6300"/>
            <w:tcMar>
              <w:top w:type="dxa" w:w="80"/>
              <w:left w:type="dxa" w:w="100"/>
              <w:bottom w:type="dxa" w:w="80"/>
              <w:right w:type="dxa" w:w="100"/>
            </w:tcMar>
          </w:tcPr>
          <w:p>
            <w:r>
              <w:rPr>
                <w:b w:val="false"/>
                <w:bCs w:val="false"/>
                <w:sz w:val="20"/>
                <w:szCs w:val="20"/>
              </w:rPr>
              <w:t xml:space="preserve">Identical API calls for the same site and date range are cached in Redis (6 hours for weather, 24 hours for elevation) so repeat dashboard loads don't re-hit the public API.</w:t>
            </w:r>
          </w:p>
        </w:tc>
        <w:tc>
          <w:tcPr>
            <w:tcW w:type="dxa" w:w="2400"/>
            <w:tcMar>
              <w:top w:type="dxa" w:w="80"/>
              <w:left w:type="dxa" w:w="100"/>
              <w:bottom w:type="dxa" w:w="80"/>
              <w:right w:type="dxa" w:w="100"/>
            </w:tcMar>
          </w:tcPr>
          <w:p>
            <w:r>
              <w:rPr>
                <w:b w:val="false"/>
                <w:bCs w:val="false"/>
                <w:sz w:val="20"/>
                <w:szCs w:val="20"/>
              </w:rPr>
              <w:t xml:space="preserve">Cache layer (Redis)</w:t>
            </w:r>
          </w:p>
        </w:tc>
      </w:tr>
      <w:tr>
        <w:tc>
          <w:tcPr>
            <w:tcW w:type="dxa" w:w="1700"/>
            <w:shd w:fill="F4F6F5" w:val="clear"/>
            <w:tcMar>
              <w:top w:type="dxa" w:w="80"/>
              <w:left w:type="dxa" w:w="100"/>
              <w:bottom w:type="dxa" w:w="80"/>
              <w:right w:type="dxa" w:w="100"/>
            </w:tcMar>
          </w:tcPr>
          <w:p>
            <w:r>
              <w:rPr>
                <w:b w:val="false"/>
                <w:bCs w:val="false"/>
                <w:sz w:val="20"/>
                <w:szCs w:val="20"/>
              </w:rPr>
              <w:t xml:space="preserve">4. Raw Archival</w:t>
            </w:r>
          </w:p>
        </w:tc>
        <w:tc>
          <w:tcPr>
            <w:tcW w:type="dxa" w:w="6300"/>
            <w:shd w:fill="F4F6F5" w:val="clear"/>
            <w:tcMar>
              <w:top w:type="dxa" w:w="80"/>
              <w:left w:type="dxa" w:w="100"/>
              <w:bottom w:type="dxa" w:w="80"/>
              <w:right w:type="dxa" w:w="100"/>
            </w:tcMar>
          </w:tcPr>
          <w:p>
            <w:r>
              <w:rPr>
                <w:b w:val="false"/>
                <w:bCs w:val="false"/>
                <w:sz w:val="20"/>
                <w:szCs w:val="20"/>
              </w:rPr>
              <w:t xml:space="preserve">The unmodified API response is archived as-is to MongoDB, and additionally to an S3-compatible data lake if one is configured, before any parsing — so it can be re-processed later if the parsing logic changes.</w:t>
            </w:r>
          </w:p>
        </w:tc>
        <w:tc>
          <w:tcPr>
            <w:tcW w:type="dxa" w:w="2400"/>
            <w:shd w:fill="F4F6F5" w:val="clear"/>
            <w:tcMar>
              <w:top w:type="dxa" w:w="80"/>
              <w:left w:type="dxa" w:w="100"/>
              <w:bottom w:type="dxa" w:w="80"/>
              <w:right w:type="dxa" w:w="100"/>
            </w:tcMar>
          </w:tcPr>
          <w:p>
            <w:r>
              <w:rPr>
                <w:b w:val="false"/>
                <w:bCs w:val="false"/>
                <w:sz w:val="20"/>
                <w:szCs w:val="20"/>
              </w:rPr>
              <w:t xml:space="preserve">Secondary DB (MongoDB) + optional Data Lake</w:t>
            </w:r>
          </w:p>
        </w:tc>
      </w:tr>
      <w:tr>
        <w:tc>
          <w:tcPr>
            <w:tcW w:type="dxa" w:w="1700"/>
            <w:tcMar>
              <w:top w:type="dxa" w:w="80"/>
              <w:left w:type="dxa" w:w="100"/>
              <w:bottom w:type="dxa" w:w="80"/>
              <w:right w:type="dxa" w:w="100"/>
            </w:tcMar>
          </w:tcPr>
          <w:p>
            <w:r>
              <w:rPr>
                <w:b w:val="false"/>
                <w:bCs w:val="false"/>
                <w:sz w:val="20"/>
                <w:szCs w:val="20"/>
              </w:rPr>
              <w:t xml:space="preserve">5. Structured Storage</w:t>
            </w:r>
          </w:p>
        </w:tc>
        <w:tc>
          <w:tcPr>
            <w:tcW w:type="dxa" w:w="6300"/>
            <w:tcMar>
              <w:top w:type="dxa" w:w="80"/>
              <w:left w:type="dxa" w:w="100"/>
              <w:bottom w:type="dxa" w:w="80"/>
              <w:right w:type="dxa" w:w="100"/>
            </w:tcMar>
          </w:tcPr>
          <w:p>
            <w:r>
              <w:rPr>
                <w:b w:val="false"/>
                <w:bCs w:val="false"/>
                <w:sz w:val="20"/>
                <w:szCs w:val="20"/>
              </w:rPr>
              <w:t xml:space="preserve">The relevant fields are parsed out of the raw payload and written into typed table rows (one row per site per day for weather).</w:t>
            </w:r>
          </w:p>
        </w:tc>
        <w:tc>
          <w:tcPr>
            <w:tcW w:type="dxa" w:w="2400"/>
            <w:tcMar>
              <w:top w:type="dxa" w:w="80"/>
              <w:left w:type="dxa" w:w="100"/>
              <w:bottom w:type="dxa" w:w="80"/>
              <w:right w:type="dxa" w:w="100"/>
            </w:tcMar>
          </w:tcPr>
          <w:p>
            <w:r>
              <w:rPr>
                <w:b w:val="false"/>
                <w:bCs w:val="false"/>
                <w:sz w:val="20"/>
                <w:szCs w:val="20"/>
              </w:rPr>
              <w:t xml:space="preserve">Primary DB (PostgreSQL + PostGIS)</w:t>
            </w:r>
          </w:p>
        </w:tc>
      </w:tr>
      <w:tr>
        <w:tc>
          <w:tcPr>
            <w:tcW w:type="dxa" w:w="1700"/>
            <w:shd w:fill="F4F6F5" w:val="clear"/>
            <w:tcMar>
              <w:top w:type="dxa" w:w="80"/>
              <w:left w:type="dxa" w:w="100"/>
              <w:bottom w:type="dxa" w:w="80"/>
              <w:right w:type="dxa" w:w="100"/>
            </w:tcMar>
          </w:tcPr>
          <w:p>
            <w:r>
              <w:rPr>
                <w:b w:val="false"/>
                <w:bCs w:val="false"/>
                <w:sz w:val="20"/>
                <w:szCs w:val="20"/>
              </w:rPr>
              <w:t xml:space="preserve">6. Feature Computation</w:t>
            </w:r>
          </w:p>
        </w:tc>
        <w:tc>
          <w:tcPr>
            <w:tcW w:type="dxa" w:w="6300"/>
            <w:shd w:fill="F4F6F5" w:val="clear"/>
            <w:tcMar>
              <w:top w:type="dxa" w:w="80"/>
              <w:left w:type="dxa" w:w="100"/>
              <w:bottom w:type="dxa" w:w="80"/>
              <w:right w:type="dxa" w:w="100"/>
            </w:tcMar>
          </w:tcPr>
          <w:p>
            <w:r>
              <w:rPr>
                <w:b w:val="false"/>
                <w:bCs w:val="false"/>
                <w:sz w:val="20"/>
                <w:szCs w:val="20"/>
              </w:rPr>
              <w:t xml:space="preserve">The Solar and Wind Potential Engines read the stored readings and compute derived metrics (panel efficiency, capacity factor, wind power density, etc.).</w:t>
            </w:r>
          </w:p>
        </w:tc>
        <w:tc>
          <w:tcPr>
            <w:tcW w:type="dxa" w:w="2400"/>
            <w:shd w:fill="F4F6F5" w:val="clear"/>
            <w:tcMar>
              <w:top w:type="dxa" w:w="80"/>
              <w:left w:type="dxa" w:w="100"/>
              <w:bottom w:type="dxa" w:w="80"/>
              <w:right w:type="dxa" w:w="100"/>
            </w:tcMar>
          </w:tcPr>
          <w:p>
            <w:r>
              <w:rPr>
                <w:b w:val="false"/>
                <w:bCs w:val="false"/>
                <w:sz w:val="20"/>
                <w:szCs w:val="20"/>
              </w:rPr>
              <w:t xml:space="preserve">Solar / Wind Potential Prediction Engines</w:t>
            </w:r>
          </w:p>
        </w:tc>
      </w:tr>
      <w:tr>
        <w:tc>
          <w:tcPr>
            <w:tcW w:type="dxa" w:w="1700"/>
            <w:tcMar>
              <w:top w:type="dxa" w:w="80"/>
              <w:left w:type="dxa" w:w="100"/>
              <w:bottom w:type="dxa" w:w="80"/>
              <w:right w:type="dxa" w:w="100"/>
            </w:tcMar>
          </w:tcPr>
          <w:p>
            <w:r>
              <w:rPr>
                <w:b w:val="false"/>
                <w:bCs w:val="false"/>
                <w:sz w:val="20"/>
                <w:szCs w:val="20"/>
              </w:rPr>
              <w:t xml:space="preserve">7. Suitability Scoring</w:t>
            </w:r>
          </w:p>
        </w:tc>
        <w:tc>
          <w:tcPr>
            <w:tcW w:type="dxa" w:w="6300"/>
            <w:tcMar>
              <w:top w:type="dxa" w:w="80"/>
              <w:left w:type="dxa" w:w="100"/>
              <w:bottom w:type="dxa" w:w="80"/>
              <w:right w:type="dxa" w:w="100"/>
            </w:tcMar>
          </w:tcPr>
          <w:p>
            <w:r>
              <w:rPr>
                <w:b w:val="false"/>
                <w:bCs w:val="false"/>
                <w:sz w:val="20"/>
                <w:szCs w:val="20"/>
              </w:rPr>
              <w:t xml:space="preserve">Five weighted sub-scores are computed from the stored data and combined into one overall score and category.</w:t>
            </w:r>
          </w:p>
        </w:tc>
        <w:tc>
          <w:tcPr>
            <w:tcW w:type="dxa" w:w="2400"/>
            <w:tcMar>
              <w:top w:type="dxa" w:w="80"/>
              <w:left w:type="dxa" w:w="100"/>
              <w:bottom w:type="dxa" w:w="80"/>
              <w:right w:type="dxa" w:w="100"/>
            </w:tcMar>
          </w:tcPr>
          <w:p>
            <w:r>
              <w:rPr>
                <w:b w:val="false"/>
                <w:bCs w:val="false"/>
                <w:sz w:val="20"/>
                <w:szCs w:val="20"/>
              </w:rPr>
              <w:t xml:space="preserve">Site Suitability Scoring Engine</w:t>
            </w:r>
          </w:p>
        </w:tc>
      </w:tr>
      <w:tr>
        <w:tc>
          <w:tcPr>
            <w:tcW w:type="dxa" w:w="1700"/>
            <w:shd w:fill="F4F6F5" w:val="clear"/>
            <w:tcMar>
              <w:top w:type="dxa" w:w="80"/>
              <w:left w:type="dxa" w:w="100"/>
              <w:bottom w:type="dxa" w:w="80"/>
              <w:right w:type="dxa" w:w="100"/>
            </w:tcMar>
          </w:tcPr>
          <w:p>
            <w:r>
              <w:rPr>
                <w:b w:val="false"/>
                <w:bCs w:val="false"/>
                <w:sz w:val="20"/>
                <w:szCs w:val="20"/>
              </w:rPr>
              <w:t xml:space="preserve">8. Delivery</w:t>
            </w:r>
          </w:p>
        </w:tc>
        <w:tc>
          <w:tcPr>
            <w:tcW w:type="dxa" w:w="6300"/>
            <w:shd w:fill="F4F6F5" w:val="clear"/>
            <w:tcMar>
              <w:top w:type="dxa" w:w="80"/>
              <w:left w:type="dxa" w:w="100"/>
              <w:bottom w:type="dxa" w:w="80"/>
              <w:right w:type="dxa" w:w="100"/>
            </w:tcMar>
          </w:tcPr>
          <w:p>
            <w:r>
              <w:rPr>
                <w:b w:val="false"/>
                <w:bCs w:val="false"/>
                <w:sz w:val="20"/>
                <w:szCs w:val="20"/>
              </w:rPr>
              <w:t xml:space="preserve">Dashboards, PDF/Excel reports, and alerts read the already-computed tables — they never call external APIs directly.</w:t>
            </w:r>
          </w:p>
        </w:tc>
        <w:tc>
          <w:tcPr>
            <w:tcW w:type="dxa" w:w="2400"/>
            <w:shd w:fill="F4F6F5" w:val="clear"/>
            <w:tcMar>
              <w:top w:type="dxa" w:w="80"/>
              <w:left w:type="dxa" w:w="100"/>
              <w:bottom w:type="dxa" w:w="80"/>
              <w:right w:type="dxa" w:w="100"/>
            </w:tcMar>
          </w:tcPr>
          <w:p>
            <w:r>
              <w:rPr>
                <w:b w:val="false"/>
                <w:bCs w:val="false"/>
                <w:sz w:val="20"/>
                <w:szCs w:val="20"/>
              </w:rPr>
              <w:t xml:space="preserve">Dashboards, Reports, Notifications</w:t>
            </w:r>
          </w:p>
        </w:tc>
      </w:tr>
    </w:tbl>
    <w:p>
      <w:pPr>
        <w:pStyle w:val="Heading3"/>
        <w:spacing w:after="100" w:before="200"/>
      </w:pPr>
      <w:r>
        <w:t xml:space="preserve">Why this order matters</w:t>
      </w:r>
    </w:p>
    <w:p>
      <w:pPr>
        <w:pStyle w:val="ListParagraph"/>
        <w:numPr>
          <w:ilvl w:val="0"/>
          <w:numId w:val="2"/>
        </w:numPr>
        <w:spacing w:after="60"/>
      </w:pPr>
      <w:r>
        <w:t xml:space="preserve">Raw data is archived before parsing so a bug in the parser never destroys the original evidence — stage 5 can always be re-run from stage 4's archive.</w:t>
      </w:r>
    </w:p>
    <w:p>
      <w:pPr>
        <w:pStyle w:val="ListParagraph"/>
        <w:numPr>
          <w:ilvl w:val="0"/>
          <w:numId w:val="2"/>
        </w:numPr>
        <w:spacing w:after="60"/>
      </w:pPr>
      <w:r>
        <w:t xml:space="preserve">Prediction engines (stage 6) never call an external API themselves — they only read what's already stored, which keeps them fast and testable offline.</w:t>
      </w:r>
    </w:p>
    <w:p>
      <w:pPr>
        <w:pStyle w:val="ListParagraph"/>
        <w:numPr>
          <w:ilvl w:val="0"/>
          <w:numId w:val="2"/>
        </w:numPr>
        <w:spacing w:after="60"/>
      </w:pPr>
      <w:r>
        <w:t xml:space="preserve">The suitability score (stage 7) is a transparent weighted formula, not a black-box model, so any planner can see why a site scored the way it did.</w:t>
      </w:r>
    </w:p>
    <w:p>
      <w:pPr>
        <w:pStyle w:val="Heading1"/>
        <w:spacing w:after="160" w:before="320"/>
      </w:pPr>
      <w:r>
        <w:t xml:space="preserve">3. How Environmental Data Is Actually Collected</w:t>
      </w:r>
    </w:p>
    <w:p>
      <w:pPr>
        <w:spacing w:after="140"/>
      </w:pPr>
      <w:r>
        <w:t xml:space="preserve">Each data type is its own small connector, all following the same pattern: call the external API with the site's coordinates → cache the response → archive the raw payload → parse and store structured rows.</w:t>
      </w:r>
    </w:p>
    <w:p>
      <w:pPr>
        <w:pStyle w:val="Heading2"/>
        <w:spacing w:after="120" w:before="260"/>
      </w:pPr>
      <w:r>
        <w:t xml:space="preserve">3.1 Weather &amp; Climate</w:t>
      </w:r>
    </w:p>
    <w:p>
      <w:pPr>
        <w:pStyle w:val="ListParagraph"/>
        <w:numPr>
          <w:ilvl w:val="0"/>
          <w:numId w:val="2"/>
        </w:numPr>
        <w:spacing w:after="60"/>
      </w:pPr>
      <w:r>
        <w:t xml:space="preserve">Input: the site's latitude and longitude, plus a 7-day lookback window.</w:t>
      </w:r>
    </w:p>
    <w:p>
      <w:pPr>
        <w:pStyle w:val="ListParagraph"/>
        <w:numPr>
          <w:ilvl w:val="0"/>
          <w:numId w:val="2"/>
        </w:numPr>
        <w:spacing w:after="60"/>
      </w:pPr>
      <w:r>
        <w:t xml:space="preserve">Call: NASA POWER's daily point API, requesting six parameters in one request — solar irradiance (ALLSKY_SFC_SW_DWN), wind speed at 10m (WS10M), wind speed at 50m (WS50M), temperature at 2m (T2M), precipitation (PRECTOTCORR), and cloud cover (CLOUD_AMT).</w:t>
      </w:r>
    </w:p>
    <w:p>
      <w:pPr>
        <w:pStyle w:val="ListParagraph"/>
        <w:numPr>
          <w:ilvl w:val="0"/>
          <w:numId w:val="2"/>
        </w:numPr>
        <w:spacing w:after="60"/>
      </w:pPr>
      <w:r>
        <w:t xml:space="preserve">The 50m wind reading is used specifically for the Wind Potential Engine, since it is far closer to a real turbine hub height (~80m) than the 10m surface reading — the engine extrapolates from it using a wind-shear power law (Section 8.2).</w:t>
      </w:r>
    </w:p>
    <w:p>
      <w:pPr>
        <w:pStyle w:val="ListParagraph"/>
        <w:numPr>
          <w:ilvl w:val="0"/>
          <w:numId w:val="2"/>
        </w:numPr>
        <w:spacing w:after="60"/>
      </w:pPr>
      <w:r>
        <w:t xml:space="preserve">Deduplication: before inserting, the system checks whether a reading already exists for that site and date, so re-running ingestion never creates duplicate rows.</w:t>
      </w:r>
    </w:p>
    <w:p>
      <w:pPr>
        <w:pStyle w:val="ListParagraph"/>
        <w:numPr>
          <w:ilvl w:val="0"/>
          <w:numId w:val="2"/>
        </w:numPr>
        <w:spacing w:after="60"/>
      </w:pPr>
      <w:r>
        <w:t xml:space="preserve">Output: one Weather_Readings row per site per day.</w:t>
      </w:r>
    </w:p>
    <w:p>
      <w:pPr>
        <w:pStyle w:val="Heading2"/>
        <w:spacing w:after="120" w:before="260"/>
      </w:pPr>
      <w:r>
        <w:t xml:space="preserve">3.2 Terrain, Infrastructure, and Land Cover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5100"/>
      </w:tblGrid>
      <w:tr>
        <w:trPr>
          <w:tblHeader/>
        </w:trPr>
        <w:tc>
          <w:tcPr>
            <w:tcW w:type="dxa" w:w="2400"/>
            <w:shd w:fill="1e6f4c" w:val="clear"/>
            <w:tcMar>
              <w:top w:type="dxa" w:w="80"/>
              <w:left w:type="dxa" w:w="100"/>
              <w:bottom w:type="dxa" w:w="80"/>
              <w:right w:type="dxa" w:w="100"/>
            </w:tcMar>
          </w:tcPr>
          <w:p>
            <w:r>
              <w:rPr>
                <w:b/>
                <w:bCs/>
                <w:color w:val="FFFFFF"/>
                <w:sz w:val="20"/>
                <w:szCs w:val="20"/>
              </w:rPr>
              <w:t xml:space="preserve">Data Type</w:t>
            </w:r>
          </w:p>
        </w:tc>
        <w:tc>
          <w:tcPr>
            <w:tcW w:type="dxa" w:w="2900"/>
            <w:shd w:fill="1e6f4c" w:val="clear"/>
            <w:tcMar>
              <w:top w:type="dxa" w:w="80"/>
              <w:left w:type="dxa" w:w="100"/>
              <w:bottom w:type="dxa" w:w="80"/>
              <w:right w:type="dxa" w:w="100"/>
            </w:tcMar>
          </w:tcPr>
          <w:p>
            <w:r>
              <w:rPr>
                <w:b/>
                <w:bCs/>
                <w:color w:val="FFFFFF"/>
                <w:sz w:val="20"/>
                <w:szCs w:val="20"/>
              </w:rPr>
              <w:t xml:space="preserve">Source</w:t>
            </w:r>
          </w:p>
        </w:tc>
        <w:tc>
          <w:tcPr>
            <w:tcW w:type="dxa" w:w="5100"/>
            <w:shd w:fill="1e6f4c" w:val="clear"/>
            <w:tcMar>
              <w:top w:type="dxa" w:w="80"/>
              <w:left w:type="dxa" w:w="100"/>
              <w:bottom w:type="dxa" w:w="80"/>
              <w:right w:type="dxa" w:w="100"/>
            </w:tcMar>
          </w:tcPr>
          <w:p>
            <w:r>
              <w:rPr>
                <w:b/>
                <w:bCs/>
                <w:color w:val="FFFFFF"/>
                <w:sz w:val="20"/>
                <w:szCs w:val="20"/>
              </w:rPr>
              <w:t xml:space="preserve">How It's Collected</w:t>
            </w:r>
          </w:p>
        </w:tc>
      </w:tr>
      <w:tr>
        <w:tc>
          <w:tcPr>
            <w:tcW w:type="dxa" w:w="2400"/>
            <w:tcMar>
              <w:top w:type="dxa" w:w="80"/>
              <w:left w:type="dxa" w:w="100"/>
              <w:bottom w:type="dxa" w:w="80"/>
              <w:right w:type="dxa" w:w="100"/>
            </w:tcMar>
          </w:tcPr>
          <w:p>
            <w:r>
              <w:rPr>
                <w:b w:val="false"/>
                <w:bCs w:val="false"/>
                <w:sz w:val="20"/>
                <w:szCs w:val="20"/>
              </w:rPr>
              <w:t xml:space="preserve">Elevation &amp; slope</w:t>
            </w:r>
          </w:p>
        </w:tc>
        <w:tc>
          <w:tcPr>
            <w:tcW w:type="dxa" w:w="2900"/>
            <w:tcMar>
              <w:top w:type="dxa" w:w="80"/>
              <w:left w:type="dxa" w:w="100"/>
              <w:bottom w:type="dxa" w:w="80"/>
              <w:right w:type="dxa" w:w="100"/>
            </w:tcMar>
          </w:tcPr>
          <w:p>
            <w:r>
              <w:rPr>
                <w:b w:val="false"/>
                <w:bCs w:val="false"/>
                <w:sz w:val="20"/>
                <w:szCs w:val="20"/>
              </w:rPr>
              <w:t xml:space="preserve">Open-Elevation API (SRTM-derived)</w:t>
            </w:r>
          </w:p>
        </w:tc>
        <w:tc>
          <w:tcPr>
            <w:tcW w:type="dxa" w:w="5100"/>
            <w:tcMar>
              <w:top w:type="dxa" w:w="80"/>
              <w:left w:type="dxa" w:w="100"/>
              <w:bottom w:type="dxa" w:w="80"/>
              <w:right w:type="dxa" w:w="100"/>
            </w:tcMar>
          </w:tcPr>
          <w:p>
            <w:r>
              <w:rPr>
                <w:b w:val="false"/>
                <w:bCs w:val="false"/>
                <w:sz w:val="20"/>
                <w:szCs w:val="20"/>
              </w:rPr>
              <w:t xml:space="preserve">Point lookup at the site's coordinates; slope is derived by sampling a second point ~111m north and computing percent grade over that distance.</w:t>
            </w:r>
          </w:p>
        </w:tc>
      </w:tr>
      <w:tr>
        <w:tc>
          <w:tcPr>
            <w:tcW w:type="dxa" w:w="2400"/>
            <w:shd w:fill="F4F6F5" w:val="clear"/>
            <w:tcMar>
              <w:top w:type="dxa" w:w="80"/>
              <w:left w:type="dxa" w:w="100"/>
              <w:bottom w:type="dxa" w:w="80"/>
              <w:right w:type="dxa" w:w="100"/>
            </w:tcMar>
          </w:tcPr>
          <w:p>
            <w:r>
              <w:rPr>
                <w:b w:val="false"/>
                <w:bCs w:val="false"/>
                <w:sz w:val="20"/>
                <w:szCs w:val="20"/>
              </w:rPr>
              <w:t xml:space="preserve">Roads, substations, transmission lines</w:t>
            </w:r>
          </w:p>
        </w:tc>
        <w:tc>
          <w:tcPr>
            <w:tcW w:type="dxa" w:w="2900"/>
            <w:shd w:fill="F4F6F5" w:val="clear"/>
            <w:tcMar>
              <w:top w:type="dxa" w:w="80"/>
              <w:left w:type="dxa" w:w="100"/>
              <w:bottom w:type="dxa" w:w="80"/>
              <w:right w:type="dxa" w:w="100"/>
            </w:tcMar>
          </w:tcPr>
          <w:p>
            <w:r>
              <w:rPr>
                <w:b w:val="false"/>
                <w:bCs w:val="false"/>
                <w:sz w:val="20"/>
                <w:szCs w:val="20"/>
              </w:rPr>
              <w:t xml:space="preserve">OpenStreetMap via the Overpass API</w:t>
            </w:r>
          </w:p>
        </w:tc>
        <w:tc>
          <w:tcPr>
            <w:tcW w:type="dxa" w:w="5100"/>
            <w:shd w:fill="F4F6F5" w:val="clear"/>
            <w:tcMar>
              <w:top w:type="dxa" w:w="80"/>
              <w:left w:type="dxa" w:w="100"/>
              <w:bottom w:type="dxa" w:w="80"/>
              <w:right w:type="dxa" w:w="100"/>
            </w:tcMar>
          </w:tcPr>
          <w:p>
            <w:r>
              <w:rPr>
                <w:b w:val="false"/>
                <w:bCs w:val="false"/>
                <w:sz w:val="20"/>
                <w:szCs w:val="20"/>
              </w:rPr>
              <w:t xml:space="preserve">Query features within a 15km radius of the site; each is stored as a row with a feature type and distance in km.</w:t>
            </w:r>
          </w:p>
        </w:tc>
      </w:tr>
      <w:tr>
        <w:tc>
          <w:tcPr>
            <w:tcW w:type="dxa" w:w="2400"/>
            <w:tcMar>
              <w:top w:type="dxa" w:w="80"/>
              <w:left w:type="dxa" w:w="100"/>
              <w:bottom w:type="dxa" w:w="80"/>
              <w:right w:type="dxa" w:w="100"/>
            </w:tcMar>
          </w:tcPr>
          <w:p>
            <w:r>
              <w:rPr>
                <w:b w:val="false"/>
                <w:bCs w:val="false"/>
                <w:sz w:val="20"/>
                <w:szCs w:val="20"/>
              </w:rPr>
              <w:t xml:space="preserve">Satellite imagery / land cover / vegetation</w:t>
            </w:r>
          </w:p>
        </w:tc>
        <w:tc>
          <w:tcPr>
            <w:tcW w:type="dxa" w:w="2900"/>
            <w:tcMar>
              <w:top w:type="dxa" w:w="80"/>
              <w:left w:type="dxa" w:w="100"/>
              <w:bottom w:type="dxa" w:w="80"/>
              <w:right w:type="dxa" w:w="100"/>
            </w:tcMar>
          </w:tcPr>
          <w:p>
            <w:r>
              <w:rPr>
                <w:b w:val="false"/>
                <w:bCs w:val="false"/>
                <w:sz w:val="20"/>
                <w:szCs w:val="20"/>
              </w:rPr>
              <w:t xml:space="preserve">Copernicus Sentinel Hub (optional — needs a free API key)</w:t>
            </w:r>
          </w:p>
        </w:tc>
        <w:tc>
          <w:tcPr>
            <w:tcW w:type="dxa" w:w="5100"/>
            <w:tcMar>
              <w:top w:type="dxa" w:w="80"/>
              <w:left w:type="dxa" w:w="100"/>
              <w:bottom w:type="dxa" w:w="80"/>
              <w:right w:type="dxa" w:w="100"/>
            </w:tcMar>
          </w:tcPr>
          <w:p>
            <w:r>
              <w:rPr>
                <w:b w:val="false"/>
                <w:bCs w:val="false"/>
                <w:sz w:val="20"/>
                <w:szCs w:val="20"/>
              </w:rPr>
              <w:t xml:space="preserve">Scene lookup for the site's location; stores cloud cover, NDVI (vegetation index), and a land-cover label.</w:t>
            </w:r>
          </w:p>
        </w:tc>
      </w:tr>
      <w:tr>
        <w:tc>
          <w:tcPr>
            <w:tcW w:type="dxa" w:w="2400"/>
            <w:shd w:fill="F4F6F5" w:val="clear"/>
            <w:tcMar>
              <w:top w:type="dxa" w:w="80"/>
              <w:left w:type="dxa" w:w="100"/>
              <w:bottom w:type="dxa" w:w="80"/>
              <w:right w:type="dxa" w:w="100"/>
            </w:tcMar>
          </w:tcPr>
          <w:p>
            <w:r>
              <w:rPr>
                <w:b w:val="false"/>
                <w:bCs w:val="false"/>
                <w:sz w:val="20"/>
                <w:szCs w:val="20"/>
              </w:rPr>
              <w:t xml:space="preserve">Protected areas, water bodies, farmland, population/GDP context</w:t>
            </w:r>
          </w:p>
        </w:tc>
        <w:tc>
          <w:tcPr>
            <w:tcW w:type="dxa" w:w="2900"/>
            <w:shd w:fill="F4F6F5" w:val="clear"/>
            <w:tcMar>
              <w:top w:type="dxa" w:w="80"/>
              <w:left w:type="dxa" w:w="100"/>
              <w:bottom w:type="dxa" w:w="80"/>
              <w:right w:type="dxa" w:w="100"/>
            </w:tcMar>
          </w:tcPr>
          <w:p>
            <w:r>
              <w:rPr>
                <w:b w:val="false"/>
                <w:bCs w:val="false"/>
                <w:sz w:val="20"/>
                <w:szCs w:val="20"/>
              </w:rPr>
              <w:t xml:space="preserve">OpenStreetMap (Overpass, 20km radius) + World Bank Open Data (country-level)</w:t>
            </w:r>
          </w:p>
        </w:tc>
        <w:tc>
          <w:tcPr>
            <w:tcW w:type="dxa" w:w="5100"/>
            <w:shd w:fill="F4F6F5" w:val="clear"/>
            <w:tcMar>
              <w:top w:type="dxa" w:w="80"/>
              <w:left w:type="dxa" w:w="100"/>
              <w:bottom w:type="dxa" w:w="80"/>
              <w:right w:type="dxa" w:w="100"/>
            </w:tcMar>
          </w:tcPr>
          <w:p>
            <w:r>
              <w:rPr>
                <w:b w:val="false"/>
                <w:bCs w:val="false"/>
                <w:sz w:val="20"/>
                <w:szCs w:val="20"/>
              </w:rPr>
              <w:t xml:space="preserve">Distance-to-nearest-feature calculations for protected areas, water bodies, and farmland; country-level population density and GDP per capita from World Bank indicators.</w:t>
            </w:r>
          </w:p>
        </w:tc>
      </w:tr>
      <w:tr>
        <w:tc>
          <w:tcPr>
            <w:tcW w:type="dxa" w:w="2400"/>
            <w:tcMar>
              <w:top w:type="dxa" w:w="80"/>
              <w:left w:type="dxa" w:w="100"/>
              <w:bottom w:type="dxa" w:w="80"/>
              <w:right w:type="dxa" w:w="100"/>
            </w:tcMar>
          </w:tcPr>
          <w:p>
            <w:r>
              <w:rPr>
                <w:b w:val="false"/>
                <w:bCs w:val="false"/>
                <w:sz w:val="20"/>
                <w:szCs w:val="20"/>
              </w:rPr>
              <w:t xml:space="preserve">Supplemental / live weather</w:t>
            </w:r>
          </w:p>
        </w:tc>
        <w:tc>
          <w:tcPr>
            <w:tcW w:type="dxa" w:w="2900"/>
            <w:tcMar>
              <w:top w:type="dxa" w:w="80"/>
              <w:left w:type="dxa" w:w="100"/>
              <w:bottom w:type="dxa" w:w="80"/>
              <w:right w:type="dxa" w:w="100"/>
            </w:tcMar>
          </w:tcPr>
          <w:p>
            <w:r>
              <w:rPr>
                <w:b w:val="false"/>
                <w:bCs w:val="false"/>
                <w:sz w:val="20"/>
                <w:szCs w:val="20"/>
              </w:rPr>
              <w:t xml:space="preserve">OpenWeather API (optional, needs a key) + NOAA Forecast API (free, US-only)</w:t>
            </w:r>
          </w:p>
        </w:tc>
        <w:tc>
          <w:tcPr>
            <w:tcW w:type="dxa" w:w="5100"/>
            <w:tcMar>
              <w:top w:type="dxa" w:w="80"/>
              <w:left w:type="dxa" w:w="100"/>
              <w:bottom w:type="dxa" w:w="80"/>
              <w:right w:type="dxa" w:w="100"/>
            </w:tcMar>
          </w:tcPr>
          <w:p>
            <w:r>
              <w:rPr>
                <w:b w:val="false"/>
                <w:bCs w:val="false"/>
                <w:sz w:val="20"/>
                <w:szCs w:val="20"/>
              </w:rPr>
              <w:t xml:space="preserve">Used to cross-check the NASA POWER historical data with current conditions and a short-term forecast — kept in a separate table, not blended into the scoring inputs.</w:t>
            </w:r>
          </w:p>
        </w:tc>
      </w:tr>
    </w:tbl>
    <w:p>
      <w:pPr>
        <w:spacing w:after="160"/>
      </w:pPr>
      <w:r>
        <w:rPr>
          <w:i/>
          <w:iCs/>
          <w:color w:val="666666"/>
          <w:sz w:val="20"/>
          <w:szCs w:val="20"/>
        </w:rPr>
        <w:t xml:space="preserve">Connectors marked “not_configured” in the platform's own health check (Admin Dashboard → Data Sources) are ones that need an API key that hasn't been added yet — Sentinel Hub and OpenWeather. The system is built to report this honestly rather than silently fail or fabricate data.</w:t>
      </w:r>
    </w:p>
    <w:p>
      <w:pPr>
        <w:pStyle w:val="Heading1"/>
        <w:spacing w:after="160" w:before="320"/>
      </w:pPr>
      <w:r>
        <w:t xml:space="preserve">4. APIs Used by the Platform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4500"/>
        <w:gridCol w:w="1400"/>
        <w:gridCol w:w="1100"/>
      </w:tblGrid>
      <w:tr>
        <w:trPr>
          <w:tblHeader/>
        </w:trPr>
        <w:tc>
          <w:tcPr>
            <w:tcW w:type="dxa" w:w="3400"/>
            <w:shd w:fill="1e6f4c" w:val="clear"/>
            <w:tcMar>
              <w:top w:type="dxa" w:w="80"/>
              <w:left w:type="dxa" w:w="100"/>
              <w:bottom w:type="dxa" w:w="80"/>
              <w:right w:type="dxa" w:w="100"/>
            </w:tcMar>
          </w:tcPr>
          <w:p>
            <w:r>
              <w:rPr>
                <w:b/>
                <w:bCs/>
                <w:color w:val="FFFFFF"/>
                <w:sz w:val="20"/>
                <w:szCs w:val="20"/>
              </w:rPr>
              <w:t xml:space="preserve">API</w:t>
            </w:r>
          </w:p>
        </w:tc>
        <w:tc>
          <w:tcPr>
            <w:tcW w:type="dxa" w:w="4500"/>
            <w:shd w:fill="1e6f4c" w:val="clear"/>
            <w:tcMar>
              <w:top w:type="dxa" w:w="80"/>
              <w:left w:type="dxa" w:w="100"/>
              <w:bottom w:type="dxa" w:w="80"/>
              <w:right w:type="dxa" w:w="100"/>
            </w:tcMar>
          </w:tcPr>
          <w:p>
            <w:r>
              <w:rPr>
                <w:b/>
                <w:bCs/>
                <w:color w:val="FFFFFF"/>
                <w:sz w:val="20"/>
                <w:szCs w:val="20"/>
              </w:rPr>
              <w:t xml:space="preserve">Purpose</w:t>
            </w:r>
          </w:p>
        </w:tc>
        <w:tc>
          <w:tcPr>
            <w:tcW w:type="dxa" w:w="1400"/>
            <w:shd w:fill="1e6f4c" w:val="clear"/>
            <w:tcMar>
              <w:top w:type="dxa" w:w="80"/>
              <w:left w:type="dxa" w:w="100"/>
              <w:bottom w:type="dxa" w:w="80"/>
              <w:right w:type="dxa" w:w="100"/>
            </w:tcMar>
          </w:tcPr>
          <w:p>
            <w:r>
              <w:rPr>
                <w:b/>
                <w:bCs/>
                <w:color w:val="FFFFFF"/>
                <w:sz w:val="20"/>
                <w:szCs w:val="20"/>
              </w:rPr>
              <w:t xml:space="preserve">Key Needed?</w:t>
            </w:r>
          </w:p>
        </w:tc>
        <w:tc>
          <w:tcPr>
            <w:tcW w:type="dxa" w:w="1100"/>
            <w:shd w:fill="1e6f4c" w:val="clear"/>
            <w:tcMar>
              <w:top w:type="dxa" w:w="80"/>
              <w:left w:type="dxa" w:w="100"/>
              <w:bottom w:type="dxa" w:w="80"/>
              <w:right w:type="dxa" w:w="100"/>
            </w:tcMar>
          </w:tcPr>
          <w:p>
            <w:r>
              <w:rPr>
                <w:b/>
                <w:bCs/>
                <w:color w:val="FFFFFF"/>
                <w:sz w:val="20"/>
                <w:szCs w:val="20"/>
              </w:rPr>
              <w:t xml:space="preserve">Cost</w:t>
            </w:r>
          </w:p>
        </w:tc>
      </w:tr>
      <w:tr>
        <w:tc>
          <w:tcPr>
            <w:tcW w:type="dxa" w:w="3400"/>
            <w:tcMar>
              <w:top w:type="dxa" w:w="80"/>
              <w:left w:type="dxa" w:w="100"/>
              <w:bottom w:type="dxa" w:w="80"/>
              <w:right w:type="dxa" w:w="100"/>
            </w:tcMar>
          </w:tcPr>
          <w:p>
            <w:r>
              <w:rPr>
                <w:b w:val="false"/>
                <w:bCs w:val="false"/>
                <w:sz w:val="20"/>
                <w:szCs w:val="20"/>
              </w:rPr>
              <w:t xml:space="preserve">NASA POWER (power.larc.nasa.gov)</w:t>
            </w:r>
          </w:p>
        </w:tc>
        <w:tc>
          <w:tcPr>
            <w:tcW w:type="dxa" w:w="4500"/>
            <w:tcMar>
              <w:top w:type="dxa" w:w="80"/>
              <w:left w:type="dxa" w:w="100"/>
              <w:bottom w:type="dxa" w:w="80"/>
              <w:right w:type="dxa" w:w="100"/>
            </w:tcMar>
          </w:tcPr>
          <w:p>
            <w:r>
              <w:rPr>
                <w:b w:val="false"/>
                <w:bCs w:val="false"/>
                <w:sz w:val="20"/>
                <w:szCs w:val="20"/>
              </w:rPr>
              <w:t xml:space="preserve">Solar irradiance, wind speed (10m &amp; 50m), temperature, rainfall, cloud cover — historical daily, global coverage</w:t>
            </w:r>
          </w:p>
        </w:tc>
        <w:tc>
          <w:tcPr>
            <w:tcW w:type="dxa" w:w="1400"/>
            <w:tcMar>
              <w:top w:type="dxa" w:w="80"/>
              <w:left w:type="dxa" w:w="100"/>
              <w:bottom w:type="dxa" w:w="80"/>
              <w:right w:type="dxa" w:w="100"/>
            </w:tcMar>
          </w:tcPr>
          <w:p>
            <w:r>
              <w:rPr>
                <w:b w:val="false"/>
                <w:bCs w:val="false"/>
                <w:sz w:val="20"/>
                <w:szCs w:val="20"/>
              </w:rPr>
              <w:t xml:space="preserve">No</w:t>
            </w:r>
          </w:p>
        </w:tc>
        <w:tc>
          <w:tcPr>
            <w:tcW w:type="dxa" w:w="1100"/>
            <w:tcMar>
              <w:top w:type="dxa" w:w="80"/>
              <w:left w:type="dxa" w:w="100"/>
              <w:bottom w:type="dxa" w:w="80"/>
              <w:right w:type="dxa" w:w="100"/>
            </w:tcMar>
          </w:tcPr>
          <w:p>
            <w:r>
              <w:rPr>
                <w:b w:val="false"/>
                <w:bCs w:val="false"/>
                <w:sz w:val="20"/>
                <w:szCs w:val="20"/>
              </w:rPr>
              <w:t xml:space="preserve">Free</w:t>
            </w:r>
          </w:p>
        </w:tc>
      </w:tr>
      <w:tr>
        <w:tc>
          <w:tcPr>
            <w:tcW w:type="dxa" w:w="3400"/>
            <w:shd w:fill="F4F6F5" w:val="clear"/>
            <w:tcMar>
              <w:top w:type="dxa" w:w="80"/>
              <w:left w:type="dxa" w:w="100"/>
              <w:bottom w:type="dxa" w:w="80"/>
              <w:right w:type="dxa" w:w="100"/>
            </w:tcMar>
          </w:tcPr>
          <w:p>
            <w:r>
              <w:rPr>
                <w:b w:val="false"/>
                <w:bCs w:val="false"/>
                <w:sz w:val="20"/>
                <w:szCs w:val="20"/>
              </w:rPr>
              <w:t xml:space="preserve">Open-Elevation API</w:t>
            </w:r>
          </w:p>
        </w:tc>
        <w:tc>
          <w:tcPr>
            <w:tcW w:type="dxa" w:w="4500"/>
            <w:shd w:fill="F4F6F5" w:val="clear"/>
            <w:tcMar>
              <w:top w:type="dxa" w:w="80"/>
              <w:left w:type="dxa" w:w="100"/>
              <w:bottom w:type="dxa" w:w="80"/>
              <w:right w:type="dxa" w:w="100"/>
            </w:tcMar>
          </w:tcPr>
          <w:p>
            <w:r>
              <w:rPr>
                <w:b w:val="false"/>
                <w:bCs w:val="false"/>
                <w:sz w:val="20"/>
                <w:szCs w:val="20"/>
              </w:rPr>
              <w:t xml:space="preserve">Site elevation and derived land slope</w:t>
            </w:r>
          </w:p>
        </w:tc>
        <w:tc>
          <w:tcPr>
            <w:tcW w:type="dxa" w:w="1400"/>
            <w:shd w:fill="F4F6F5" w:val="clear"/>
            <w:tcMar>
              <w:top w:type="dxa" w:w="80"/>
              <w:left w:type="dxa" w:w="100"/>
              <w:bottom w:type="dxa" w:w="80"/>
              <w:right w:type="dxa" w:w="100"/>
            </w:tcMar>
          </w:tcPr>
          <w:p>
            <w:r>
              <w:rPr>
                <w:b w:val="false"/>
                <w:bCs w:val="false"/>
                <w:sz w:val="20"/>
                <w:szCs w:val="20"/>
              </w:rPr>
              <w:t xml:space="preserve">No</w:t>
            </w:r>
          </w:p>
        </w:tc>
        <w:tc>
          <w:tcPr>
            <w:tcW w:type="dxa" w:w="1100"/>
            <w:shd w:fill="F4F6F5" w:val="clear"/>
            <w:tcMar>
              <w:top w:type="dxa" w:w="80"/>
              <w:left w:type="dxa" w:w="100"/>
              <w:bottom w:type="dxa" w:w="80"/>
              <w:right w:type="dxa" w:w="100"/>
            </w:tcMar>
          </w:tcPr>
          <w:p>
            <w:r>
              <w:rPr>
                <w:b w:val="false"/>
                <w:bCs w:val="false"/>
                <w:sz w:val="20"/>
                <w:szCs w:val="20"/>
              </w:rPr>
              <w:t xml:space="preserve">Free</w:t>
            </w:r>
          </w:p>
        </w:tc>
      </w:tr>
      <w:tr>
        <w:tc>
          <w:tcPr>
            <w:tcW w:type="dxa" w:w="3400"/>
            <w:tcMar>
              <w:top w:type="dxa" w:w="80"/>
              <w:left w:type="dxa" w:w="100"/>
              <w:bottom w:type="dxa" w:w="80"/>
              <w:right w:type="dxa" w:w="100"/>
            </w:tcMar>
          </w:tcPr>
          <w:p>
            <w:r>
              <w:rPr>
                <w:b w:val="false"/>
                <w:bCs w:val="false"/>
                <w:sz w:val="20"/>
                <w:szCs w:val="20"/>
              </w:rPr>
              <w:t xml:space="preserve">OpenStreetMap Overpass API</w:t>
            </w:r>
          </w:p>
        </w:tc>
        <w:tc>
          <w:tcPr>
            <w:tcW w:type="dxa" w:w="4500"/>
            <w:tcMar>
              <w:top w:type="dxa" w:w="80"/>
              <w:left w:type="dxa" w:w="100"/>
              <w:bottom w:type="dxa" w:w="80"/>
              <w:right w:type="dxa" w:w="100"/>
            </w:tcMar>
          </w:tcPr>
          <w:p>
            <w:r>
              <w:rPr>
                <w:b w:val="false"/>
                <w:bCs w:val="false"/>
                <w:sz w:val="20"/>
                <w:szCs w:val="20"/>
              </w:rPr>
              <w:t xml:space="preserve">Roads, substations, transmission lines, urban areas, water bodies, farmland, protected areas</w:t>
            </w:r>
          </w:p>
        </w:tc>
        <w:tc>
          <w:tcPr>
            <w:tcW w:type="dxa" w:w="1400"/>
            <w:tcMar>
              <w:top w:type="dxa" w:w="80"/>
              <w:left w:type="dxa" w:w="100"/>
              <w:bottom w:type="dxa" w:w="80"/>
              <w:right w:type="dxa" w:w="100"/>
            </w:tcMar>
          </w:tcPr>
          <w:p>
            <w:r>
              <w:rPr>
                <w:b w:val="false"/>
                <w:bCs w:val="false"/>
                <w:sz w:val="20"/>
                <w:szCs w:val="20"/>
              </w:rPr>
              <w:t xml:space="preserve">No</w:t>
            </w:r>
          </w:p>
        </w:tc>
        <w:tc>
          <w:tcPr>
            <w:tcW w:type="dxa" w:w="1100"/>
            <w:tcMar>
              <w:top w:type="dxa" w:w="80"/>
              <w:left w:type="dxa" w:w="100"/>
              <w:bottom w:type="dxa" w:w="80"/>
              <w:right w:type="dxa" w:w="100"/>
            </w:tcMar>
          </w:tcPr>
          <w:p>
            <w:r>
              <w:rPr>
                <w:b w:val="false"/>
                <w:bCs w:val="false"/>
                <w:sz w:val="20"/>
                <w:szCs w:val="20"/>
              </w:rPr>
              <w:t xml:space="preserve">Free</w:t>
            </w:r>
          </w:p>
        </w:tc>
      </w:tr>
      <w:tr>
        <w:tc>
          <w:tcPr>
            <w:tcW w:type="dxa" w:w="3400"/>
            <w:shd w:fill="F4F6F5" w:val="clear"/>
            <w:tcMar>
              <w:top w:type="dxa" w:w="80"/>
              <w:left w:type="dxa" w:w="100"/>
              <w:bottom w:type="dxa" w:w="80"/>
              <w:right w:type="dxa" w:w="100"/>
            </w:tcMar>
          </w:tcPr>
          <w:p>
            <w:r>
              <w:rPr>
                <w:b w:val="false"/>
                <w:bCs w:val="false"/>
                <w:sz w:val="20"/>
                <w:szCs w:val="20"/>
              </w:rPr>
              <w:t xml:space="preserve">World Bank Open Data</w:t>
            </w:r>
          </w:p>
        </w:tc>
        <w:tc>
          <w:tcPr>
            <w:tcW w:type="dxa" w:w="4500"/>
            <w:shd w:fill="F4F6F5" w:val="clear"/>
            <w:tcMar>
              <w:top w:type="dxa" w:w="80"/>
              <w:left w:type="dxa" w:w="100"/>
              <w:bottom w:type="dxa" w:w="80"/>
              <w:right w:type="dxa" w:w="100"/>
            </w:tcMar>
          </w:tcPr>
          <w:p>
            <w:r>
              <w:rPr>
                <w:b w:val="false"/>
                <w:bCs w:val="false"/>
                <w:sz w:val="20"/>
                <w:szCs w:val="20"/>
              </w:rPr>
              <w:t xml:space="preserve">Country-level population density and GDP per capita</w:t>
            </w:r>
          </w:p>
        </w:tc>
        <w:tc>
          <w:tcPr>
            <w:tcW w:type="dxa" w:w="1400"/>
            <w:shd w:fill="F4F6F5" w:val="clear"/>
            <w:tcMar>
              <w:top w:type="dxa" w:w="80"/>
              <w:left w:type="dxa" w:w="100"/>
              <w:bottom w:type="dxa" w:w="80"/>
              <w:right w:type="dxa" w:w="100"/>
            </w:tcMar>
          </w:tcPr>
          <w:p>
            <w:r>
              <w:rPr>
                <w:b w:val="false"/>
                <w:bCs w:val="false"/>
                <w:sz w:val="20"/>
                <w:szCs w:val="20"/>
              </w:rPr>
              <w:t xml:space="preserve">No</w:t>
            </w:r>
          </w:p>
        </w:tc>
        <w:tc>
          <w:tcPr>
            <w:tcW w:type="dxa" w:w="1100"/>
            <w:shd w:fill="F4F6F5" w:val="clear"/>
            <w:tcMar>
              <w:top w:type="dxa" w:w="80"/>
              <w:left w:type="dxa" w:w="100"/>
              <w:bottom w:type="dxa" w:w="80"/>
              <w:right w:type="dxa" w:w="100"/>
            </w:tcMar>
          </w:tcPr>
          <w:p>
            <w:r>
              <w:rPr>
                <w:b w:val="false"/>
                <w:bCs w:val="false"/>
                <w:sz w:val="20"/>
                <w:szCs w:val="20"/>
              </w:rPr>
              <w:t xml:space="preserve">Free</w:t>
            </w:r>
          </w:p>
        </w:tc>
      </w:tr>
      <w:tr>
        <w:tc>
          <w:tcPr>
            <w:tcW w:type="dxa" w:w="3400"/>
            <w:tcMar>
              <w:top w:type="dxa" w:w="80"/>
              <w:left w:type="dxa" w:w="100"/>
              <w:bottom w:type="dxa" w:w="80"/>
              <w:right w:type="dxa" w:w="100"/>
            </w:tcMar>
          </w:tcPr>
          <w:p>
            <w:r>
              <w:rPr>
                <w:b w:val="false"/>
                <w:bCs w:val="false"/>
                <w:sz w:val="20"/>
                <w:szCs w:val="20"/>
              </w:rPr>
              <w:t xml:space="preserve">Copernicus Sentinel Hub</w:t>
            </w:r>
          </w:p>
        </w:tc>
        <w:tc>
          <w:tcPr>
            <w:tcW w:type="dxa" w:w="4500"/>
            <w:tcMar>
              <w:top w:type="dxa" w:w="80"/>
              <w:left w:type="dxa" w:w="100"/>
              <w:bottom w:type="dxa" w:w="80"/>
              <w:right w:type="dxa" w:w="100"/>
            </w:tcMar>
          </w:tcPr>
          <w:p>
            <w:r>
              <w:rPr>
                <w:b w:val="false"/>
                <w:bCs w:val="false"/>
                <w:sz w:val="20"/>
                <w:szCs w:val="20"/>
              </w:rPr>
              <w:t xml:space="preserve">Satellite imagery, NDVI (vegetation), land-cover classification</w:t>
            </w:r>
          </w:p>
        </w:tc>
        <w:tc>
          <w:tcPr>
            <w:tcW w:type="dxa" w:w="1400"/>
            <w:tcMar>
              <w:top w:type="dxa" w:w="80"/>
              <w:left w:type="dxa" w:w="100"/>
              <w:bottom w:type="dxa" w:w="80"/>
              <w:right w:type="dxa" w:w="100"/>
            </w:tcMar>
          </w:tcPr>
          <w:p>
            <w:r>
              <w:rPr>
                <w:b w:val="false"/>
                <w:bCs w:val="false"/>
                <w:sz w:val="20"/>
                <w:szCs w:val="20"/>
              </w:rPr>
              <w:t xml:space="preserve">Yes</w:t>
            </w:r>
          </w:p>
        </w:tc>
        <w:tc>
          <w:tcPr>
            <w:tcW w:type="dxa" w:w="1100"/>
            <w:tcMar>
              <w:top w:type="dxa" w:w="80"/>
              <w:left w:type="dxa" w:w="100"/>
              <w:bottom w:type="dxa" w:w="80"/>
              <w:right w:type="dxa" w:w="100"/>
            </w:tcMar>
          </w:tcPr>
          <w:p>
            <w:r>
              <w:rPr>
                <w:b w:val="false"/>
                <w:bCs w:val="false"/>
                <w:sz w:val="20"/>
                <w:szCs w:val="20"/>
              </w:rPr>
              <w:t xml:space="preserve">Free tier available</w:t>
            </w:r>
          </w:p>
        </w:tc>
      </w:tr>
      <w:tr>
        <w:tc>
          <w:tcPr>
            <w:tcW w:type="dxa" w:w="3400"/>
            <w:shd w:fill="F4F6F5" w:val="clear"/>
            <w:tcMar>
              <w:top w:type="dxa" w:w="80"/>
              <w:left w:type="dxa" w:w="100"/>
              <w:bottom w:type="dxa" w:w="80"/>
              <w:right w:type="dxa" w:w="100"/>
            </w:tcMar>
          </w:tcPr>
          <w:p>
            <w:r>
              <w:rPr>
                <w:b w:val="false"/>
                <w:bCs w:val="false"/>
                <w:sz w:val="20"/>
                <w:szCs w:val="20"/>
              </w:rPr>
              <w:t xml:space="preserve">OpenWeather API</w:t>
            </w:r>
          </w:p>
        </w:tc>
        <w:tc>
          <w:tcPr>
            <w:tcW w:type="dxa" w:w="4500"/>
            <w:shd w:fill="F4F6F5" w:val="clear"/>
            <w:tcMar>
              <w:top w:type="dxa" w:w="80"/>
              <w:left w:type="dxa" w:w="100"/>
              <w:bottom w:type="dxa" w:w="80"/>
              <w:right w:type="dxa" w:w="100"/>
            </w:tcMar>
          </w:tcPr>
          <w:p>
            <w:r>
              <w:rPr>
                <w:b w:val="false"/>
                <w:bCs w:val="false"/>
                <w:sz w:val="20"/>
                <w:szCs w:val="20"/>
              </w:rPr>
              <w:t xml:space="preserve">Live current conditions (cross-check, not a scoring input)</w:t>
            </w:r>
          </w:p>
        </w:tc>
        <w:tc>
          <w:tcPr>
            <w:tcW w:type="dxa" w:w="1400"/>
            <w:shd w:fill="F4F6F5" w:val="clear"/>
            <w:tcMar>
              <w:top w:type="dxa" w:w="80"/>
              <w:left w:type="dxa" w:w="100"/>
              <w:bottom w:type="dxa" w:w="80"/>
              <w:right w:type="dxa" w:w="100"/>
            </w:tcMar>
          </w:tcPr>
          <w:p>
            <w:r>
              <w:rPr>
                <w:b w:val="false"/>
                <w:bCs w:val="false"/>
                <w:sz w:val="20"/>
                <w:szCs w:val="20"/>
              </w:rPr>
              <w:t xml:space="preserve">Yes</w:t>
            </w:r>
          </w:p>
        </w:tc>
        <w:tc>
          <w:tcPr>
            <w:tcW w:type="dxa" w:w="1100"/>
            <w:shd w:fill="F4F6F5" w:val="clear"/>
            <w:tcMar>
              <w:top w:type="dxa" w:w="80"/>
              <w:left w:type="dxa" w:w="100"/>
              <w:bottom w:type="dxa" w:w="80"/>
              <w:right w:type="dxa" w:w="100"/>
            </w:tcMar>
          </w:tcPr>
          <w:p>
            <w:r>
              <w:rPr>
                <w:b w:val="false"/>
                <w:bCs w:val="false"/>
                <w:sz w:val="20"/>
                <w:szCs w:val="20"/>
              </w:rPr>
              <w:t xml:space="preserve">Free tier available</w:t>
            </w:r>
          </w:p>
        </w:tc>
      </w:tr>
      <w:tr>
        <w:tc>
          <w:tcPr>
            <w:tcW w:type="dxa" w:w="3400"/>
            <w:tcMar>
              <w:top w:type="dxa" w:w="80"/>
              <w:left w:type="dxa" w:w="100"/>
              <w:bottom w:type="dxa" w:w="80"/>
              <w:right w:type="dxa" w:w="100"/>
            </w:tcMar>
          </w:tcPr>
          <w:p>
            <w:r>
              <w:rPr>
                <w:b w:val="false"/>
                <w:bCs w:val="false"/>
                <w:sz w:val="20"/>
                <w:szCs w:val="20"/>
              </w:rPr>
              <w:t xml:space="preserve">NOAA Forecast API</w:t>
            </w:r>
          </w:p>
        </w:tc>
        <w:tc>
          <w:tcPr>
            <w:tcW w:type="dxa" w:w="4500"/>
            <w:tcMar>
              <w:top w:type="dxa" w:w="80"/>
              <w:left w:type="dxa" w:w="100"/>
              <w:bottom w:type="dxa" w:w="80"/>
              <w:right w:type="dxa" w:w="100"/>
            </w:tcMar>
          </w:tcPr>
          <w:p>
            <w:r>
              <w:rPr>
                <w:b w:val="false"/>
                <w:bCs w:val="false"/>
                <w:sz w:val="20"/>
                <w:szCs w:val="20"/>
              </w:rPr>
              <w:t xml:space="preserve">US-region short-term weather forecast (cross-check, not a scoring input)</w:t>
            </w:r>
          </w:p>
        </w:tc>
        <w:tc>
          <w:tcPr>
            <w:tcW w:type="dxa" w:w="1400"/>
            <w:tcMar>
              <w:top w:type="dxa" w:w="80"/>
              <w:left w:type="dxa" w:w="100"/>
              <w:bottom w:type="dxa" w:w="80"/>
              <w:right w:type="dxa" w:w="100"/>
            </w:tcMar>
          </w:tcPr>
          <w:p>
            <w:r>
              <w:rPr>
                <w:b w:val="false"/>
                <w:bCs w:val="false"/>
                <w:sz w:val="20"/>
                <w:szCs w:val="20"/>
              </w:rPr>
              <w:t xml:space="preserve">No</w:t>
            </w:r>
          </w:p>
        </w:tc>
        <w:tc>
          <w:tcPr>
            <w:tcW w:type="dxa" w:w="1100"/>
            <w:tcMar>
              <w:top w:type="dxa" w:w="80"/>
              <w:left w:type="dxa" w:w="100"/>
              <w:bottom w:type="dxa" w:w="80"/>
              <w:right w:type="dxa" w:w="100"/>
            </w:tcMar>
          </w:tcPr>
          <w:p>
            <w:r>
              <w:rPr>
                <w:b w:val="false"/>
                <w:bCs w:val="false"/>
                <w:sz w:val="20"/>
                <w:szCs w:val="20"/>
              </w:rPr>
              <w:t xml:space="preserve">Free</w:t>
            </w:r>
          </w:p>
        </w:tc>
      </w:tr>
    </w:tbl>
    <w:p>
      <w:pPr>
        <w:spacing w:after="140"/>
      </w:pPr>
      <w:r>
        <w:rPr>
          <w:b w:val="false"/>
          <w:bCs w:val="false"/>
        </w:rPr>
        <w:t xml:space="preserve">Practical note: only NASA POWER, Open-Elevation, and the Overpass API are required to get the platform fully functional end to end — none of them need a key. Sentinel Hub and OpenWeather add depth (imagery, live forecast) but the site-suitability pipeline works completely without them.</w:t>
      </w:r>
    </w:p>
    <w:p>
      <w:pPr>
        <w:spacing w:after="200"/>
      </w:pPr>
      <w:r>
        <w:rPr>
          <w:b/>
          <w:bCs/>
          <w:color w:val="b3261e"/>
        </w:rPr>
        <w:t xml:space="preserve">Correction from an earlier draft: </w:t>
      </w:r>
      <w:r>
        <w:t xml:space="preserve">Global Wind Atlas was previously listed here as a data source. It has been removed — there is no connector for it anywhere in the codebase, and it does not have a simple point-lookup REST API (it is served as raster tiles / a WCS interface), which would make it disproportionate effort for what would only ever be a secondary cross-validation signal. The wind-resource pipeline is fully served by NASA POWER's WS50M parameter.</w:t>
      </w:r>
    </w:p>
    <w:p>
      <w:pPr>
        <w:pStyle w:val="Heading1"/>
        <w:spacing w:after="160" w:before="320"/>
      </w:pPr>
      <w:r>
        <w:t xml:space="preserve">5. What Data Each Role Provides and Receives</w:t>
      </w:r>
    </w:p>
    <w:p>
      <w:pPr>
        <w:spacing w:after="160"/>
      </w:pPr>
      <w:r>
        <w:rPr>
          <w:i/>
          <w:iCs/>
          <w:color w:val="666666"/>
          <w:sz w:val="20"/>
          <w:szCs w:val="20"/>
        </w:rPr>
        <w:t xml:space="preserve">Correction from an earlier draft: the table below has been rewritten to describe what each role can actually do in the current build, not an aspirational future design. In particular, financial assumptions (CapEx/OpEx/discount rate) are entered by whoever holds analysis permission on a project (Planner on their own projects; GIS Analyst, Project Manager, or Administrator on any project) — they are not a form gated specifically to the Investor/Developer role, and there is no UI for a GIS Analyst to manually edit terrain data (it is fetched automatically).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shd w:fill="1e6f4c" w:val="clear"/>
            <w:tcMar>
              <w:top w:type="dxa" w:w="80"/>
              <w:left w:type="dxa" w:w="100"/>
              <w:bottom w:type="dxa" w:w="80"/>
              <w:right w:type="dxa" w:w="100"/>
            </w:tcMar>
          </w:tcPr>
          <w:p>
            <w:r>
              <w:rPr>
                <w:b/>
                <w:bCs/>
                <w:color w:val="FFFFFF"/>
                <w:sz w:val="20"/>
                <w:szCs w:val="20"/>
              </w:rPr>
              <w:t xml:space="preserve">Role</w:t>
            </w:r>
          </w:p>
        </w:tc>
        <w:tc>
          <w:tcPr>
            <w:tcW w:type="dxa" w:w="4000"/>
            <w:shd w:fill="1e6f4c" w:val="clear"/>
            <w:tcMar>
              <w:top w:type="dxa" w:w="80"/>
              <w:left w:type="dxa" w:w="100"/>
              <w:bottom w:type="dxa" w:w="80"/>
              <w:right w:type="dxa" w:w="100"/>
            </w:tcMar>
          </w:tcPr>
          <w:p>
            <w:r>
              <w:rPr>
                <w:b/>
                <w:bCs/>
                <w:color w:val="FFFFFF"/>
                <w:sz w:val="20"/>
                <w:szCs w:val="20"/>
              </w:rPr>
              <w:t xml:space="preserve">What They Do (Input)</w:t>
            </w:r>
          </w:p>
        </w:tc>
        <w:tc>
          <w:tcPr>
            <w:tcW w:type="dxa" w:w="3400"/>
            <w:shd w:fill="1e6f4c" w:val="clear"/>
            <w:tcMar>
              <w:top w:type="dxa" w:w="80"/>
              <w:left w:type="dxa" w:w="100"/>
              <w:bottom w:type="dxa" w:w="80"/>
              <w:right w:type="dxa" w:w="100"/>
            </w:tcMar>
          </w:tcPr>
          <w:p>
            <w:r>
              <w:rPr>
                <w:b/>
                <w:bCs/>
                <w:color w:val="FFFFFF"/>
                <w:sz w:val="20"/>
                <w:szCs w:val="20"/>
              </w:rPr>
              <w:t xml:space="preserve">What They See (Output)</w:t>
            </w:r>
          </w:p>
        </w:tc>
      </w:tr>
      <w:tr>
        <w:tc>
          <w:tcPr>
            <w:tcW w:type="dxa" w:w="2000"/>
            <w:tcMar>
              <w:top w:type="dxa" w:w="80"/>
              <w:left w:type="dxa" w:w="100"/>
              <w:bottom w:type="dxa" w:w="80"/>
              <w:right w:type="dxa" w:w="100"/>
            </w:tcMar>
          </w:tcPr>
          <w:p>
            <w:r>
              <w:rPr>
                <w:b w:val="false"/>
                <w:bCs w:val="false"/>
                <w:sz w:val="20"/>
                <w:szCs w:val="20"/>
              </w:rPr>
              <w:t xml:space="preserve">Renewable Energy Planner</w:t>
            </w:r>
          </w:p>
        </w:tc>
        <w:tc>
          <w:tcPr>
            <w:tcW w:type="dxa" w:w="4000"/>
            <w:tcMar>
              <w:top w:type="dxa" w:w="80"/>
              <w:left w:type="dxa" w:w="100"/>
              <w:bottom w:type="dxa" w:w="80"/>
              <w:right w:type="dxa" w:w="100"/>
            </w:tcMar>
          </w:tcPr>
          <w:p>
            <w:r>
              <w:rPr>
                <w:b w:val="false"/>
                <w:bCs w:val="false"/>
                <w:sz w:val="20"/>
                <w:szCs w:val="20"/>
              </w:rPr>
              <w:t xml:space="preserve">Creates projects and sites (own projects only); registers coordinates, land area, and manual site notes; can run the full analysis pipeline and financial modeling on their own sites.</w:t>
            </w:r>
          </w:p>
        </w:tc>
        <w:tc>
          <w:tcPr>
            <w:tcW w:type="dxa" w:w="3400"/>
            <w:tcMar>
              <w:top w:type="dxa" w:w="80"/>
              <w:left w:type="dxa" w:w="100"/>
              <w:bottom w:type="dxa" w:w="80"/>
              <w:right w:type="dxa" w:w="100"/>
            </w:tcMar>
          </w:tcPr>
          <w:p>
            <w:r>
              <w:rPr>
                <w:b w:val="false"/>
                <w:bCs w:val="false"/>
                <w:sz w:val="20"/>
                <w:szCs w:val="20"/>
              </w:rPr>
              <w:t xml:space="preserve">Recommended sites, energy forecasts, suitability scores, and investment recommendations — scoped to their own projects.</w:t>
            </w:r>
          </w:p>
        </w:tc>
      </w:tr>
      <w:tr>
        <w:tc>
          <w:tcPr>
            <w:tcW w:type="dxa" w:w="2000"/>
            <w:shd w:fill="F4F6F5" w:val="clear"/>
            <w:tcMar>
              <w:top w:type="dxa" w:w="80"/>
              <w:left w:type="dxa" w:w="100"/>
              <w:bottom w:type="dxa" w:w="80"/>
              <w:right w:type="dxa" w:w="100"/>
            </w:tcMar>
          </w:tcPr>
          <w:p>
            <w:r>
              <w:rPr>
                <w:b w:val="false"/>
                <w:bCs w:val="false"/>
                <w:sz w:val="20"/>
                <w:szCs w:val="20"/>
              </w:rPr>
              <w:t xml:space="preserve">GIS Analyst</w:t>
            </w:r>
          </w:p>
        </w:tc>
        <w:tc>
          <w:tcPr>
            <w:tcW w:type="dxa" w:w="4000"/>
            <w:shd w:fill="F4F6F5" w:val="clear"/>
            <w:tcMar>
              <w:top w:type="dxa" w:w="80"/>
              <w:left w:type="dxa" w:w="100"/>
              <w:bottom w:type="dxa" w:w="80"/>
              <w:right w:type="dxa" w:w="100"/>
            </w:tcMar>
          </w:tcPr>
          <w:p>
            <w:r>
              <w:rPr>
                <w:b w:val="false"/>
                <w:bCs w:val="false"/>
                <w:sz w:val="20"/>
                <w:szCs w:val="20"/>
              </w:rPr>
              <w:t xml:space="preserve">Can trigger data refresh / analysis on any project (all connectors, scoring). Cannot create, edit, or delete a project or site.</w:t>
            </w:r>
          </w:p>
        </w:tc>
        <w:tc>
          <w:tcPr>
            <w:tcW w:type="dxa" w:w="3400"/>
            <w:shd w:fill="F4F6F5" w:val="clear"/>
            <w:tcMar>
              <w:top w:type="dxa" w:w="80"/>
              <w:left w:type="dxa" w:w="100"/>
              <w:bottom w:type="dxa" w:w="80"/>
              <w:right w:type="dxa" w:w="100"/>
            </w:tcMar>
          </w:tcPr>
          <w:p>
            <w:r>
              <w:rPr>
                <w:b w:val="false"/>
                <w:bCs w:val="false"/>
                <w:sz w:val="20"/>
                <w:szCs w:val="20"/>
              </w:rPr>
              <w:t xml:space="preserve">GIS visualizations, terrain maps, environmental analytics, and site-comparison reports across the whole portfolio.</w:t>
            </w:r>
          </w:p>
        </w:tc>
      </w:tr>
      <w:tr>
        <w:tc>
          <w:tcPr>
            <w:tcW w:type="dxa" w:w="2000"/>
            <w:tcMar>
              <w:top w:type="dxa" w:w="80"/>
              <w:left w:type="dxa" w:w="100"/>
              <w:bottom w:type="dxa" w:w="80"/>
              <w:right w:type="dxa" w:w="100"/>
            </w:tcMar>
          </w:tcPr>
          <w:p>
            <w:r>
              <w:rPr>
                <w:b w:val="false"/>
                <w:bCs w:val="false"/>
                <w:sz w:val="20"/>
                <w:szCs w:val="20"/>
              </w:rPr>
              <w:t xml:space="preserve">Project Manager</w:t>
            </w:r>
          </w:p>
        </w:tc>
        <w:tc>
          <w:tcPr>
            <w:tcW w:type="dxa" w:w="4000"/>
            <w:tcMar>
              <w:top w:type="dxa" w:w="80"/>
              <w:left w:type="dxa" w:w="100"/>
              <w:bottom w:type="dxa" w:w="80"/>
              <w:right w:type="dxa" w:w="100"/>
            </w:tcMar>
          </w:tcPr>
          <w:p>
            <w:r>
              <w:rPr>
                <w:b w:val="false"/>
                <w:bCs w:val="false"/>
                <w:sz w:val="20"/>
                <w:szCs w:val="20"/>
              </w:rPr>
              <w:t xml:space="preserve">Full read/write and analysis on every project — create/edit projects and sites, enter financial assumptions, refresh data.</w:t>
            </w:r>
          </w:p>
        </w:tc>
        <w:tc>
          <w:tcPr>
            <w:tcW w:type="dxa" w:w="3400"/>
            <w:tcMar>
              <w:top w:type="dxa" w:w="80"/>
              <w:left w:type="dxa" w:w="100"/>
              <w:bottom w:type="dxa" w:w="80"/>
              <w:right w:type="dxa" w:w="100"/>
            </w:tcMar>
          </w:tcPr>
          <w:p>
            <w:r>
              <w:rPr>
                <w:b w:val="false"/>
                <w:bCs w:val="false"/>
                <w:sz w:val="20"/>
                <w:szCs w:val="20"/>
              </w:rPr>
              <w:t xml:space="preserve">Feasibility reports, cost-benefit analysis (NPV/IRR/LCOE), deployment timelines, project progress — portfolio-wide.</w:t>
            </w:r>
          </w:p>
        </w:tc>
      </w:tr>
      <w:tr>
        <w:tc>
          <w:tcPr>
            <w:tcW w:type="dxa" w:w="2000"/>
            <w:shd w:fill="F4F6F5" w:val="clear"/>
            <w:tcMar>
              <w:top w:type="dxa" w:w="80"/>
              <w:left w:type="dxa" w:w="100"/>
              <w:bottom w:type="dxa" w:w="80"/>
              <w:right w:type="dxa" w:w="100"/>
            </w:tcMar>
          </w:tcPr>
          <w:p>
            <w:r>
              <w:rPr>
                <w:b w:val="false"/>
                <w:bCs w:val="false"/>
                <w:sz w:val="20"/>
                <w:szCs w:val="20"/>
              </w:rPr>
              <w:t xml:space="preserve">Investor / Developer</w:t>
            </w:r>
          </w:p>
        </w:tc>
        <w:tc>
          <w:tcPr>
            <w:tcW w:type="dxa" w:w="4000"/>
            <w:shd w:fill="F4F6F5" w:val="clear"/>
            <w:tcMar>
              <w:top w:type="dxa" w:w="80"/>
              <w:left w:type="dxa" w:w="100"/>
              <w:bottom w:type="dxa" w:w="80"/>
              <w:right w:type="dxa" w:w="100"/>
            </w:tcMar>
          </w:tcPr>
          <w:p>
            <w:r>
              <w:rPr>
                <w:b w:val="false"/>
                <w:bCs w:val="false"/>
                <w:sz w:val="20"/>
                <w:szCs w:val="20"/>
              </w:rPr>
              <w:t xml:space="preserve">No write access — read-only across the whole portfolio.</w:t>
            </w:r>
          </w:p>
        </w:tc>
        <w:tc>
          <w:tcPr>
            <w:tcW w:type="dxa" w:w="3400"/>
            <w:shd w:fill="F4F6F5" w:val="clear"/>
            <w:tcMar>
              <w:top w:type="dxa" w:w="80"/>
              <w:left w:type="dxa" w:w="100"/>
              <w:bottom w:type="dxa" w:w="80"/>
              <w:right w:type="dxa" w:w="100"/>
            </w:tcMar>
          </w:tcPr>
          <w:p>
            <w:r>
              <w:rPr>
                <w:b w:val="false"/>
                <w:bCs w:val="false"/>
                <w:sz w:val="20"/>
                <w:szCs w:val="20"/>
              </w:rPr>
              <w:t xml:space="preserve">NPV, IRR, LCOE, capacity factor, and suitability scores for every project, for investment screening.</w:t>
            </w:r>
          </w:p>
        </w:tc>
      </w:tr>
      <w:tr>
        <w:tc>
          <w:tcPr>
            <w:tcW w:type="dxa" w:w="2000"/>
            <w:tcMar>
              <w:top w:type="dxa" w:w="80"/>
              <w:left w:type="dxa" w:w="100"/>
              <w:bottom w:type="dxa" w:w="80"/>
              <w:right w:type="dxa" w:w="100"/>
            </w:tcMar>
          </w:tcPr>
          <w:p>
            <w:r>
              <w:rPr>
                <w:b w:val="false"/>
                <w:bCs w:val="false"/>
                <w:sz w:val="20"/>
                <w:szCs w:val="20"/>
              </w:rPr>
              <w:t xml:space="preserve">Government / Regulator</w:t>
            </w:r>
          </w:p>
        </w:tc>
        <w:tc>
          <w:tcPr>
            <w:tcW w:type="dxa" w:w="4000"/>
            <w:tcMar>
              <w:top w:type="dxa" w:w="80"/>
              <w:left w:type="dxa" w:w="100"/>
              <w:bottom w:type="dxa" w:w="80"/>
              <w:right w:type="dxa" w:w="100"/>
            </w:tcMar>
          </w:tcPr>
          <w:p>
            <w:r>
              <w:rPr>
                <w:b w:val="false"/>
                <w:bCs w:val="false"/>
                <w:sz w:val="20"/>
                <w:szCs w:val="20"/>
              </w:rPr>
              <w:t xml:space="preserve">No write access — read-only across the whole portfolio.</w:t>
            </w:r>
          </w:p>
        </w:tc>
        <w:tc>
          <w:tcPr>
            <w:tcW w:type="dxa" w:w="3400"/>
            <w:tcMar>
              <w:top w:type="dxa" w:w="80"/>
              <w:left w:type="dxa" w:w="100"/>
              <w:bottom w:type="dxa" w:w="80"/>
              <w:right w:type="dxa" w:w="100"/>
            </w:tcMar>
          </w:tcPr>
          <w:p>
            <w:r>
              <w:rPr>
                <w:b w:val="false"/>
                <w:bCs w:val="false"/>
                <w:sz w:val="20"/>
                <w:szCs w:val="20"/>
              </w:rPr>
              <w:t xml:space="preserve">Environmental impact data (protected-area/water-body proximity) and suitability categorization for every project, for compliance review.</w:t>
            </w:r>
          </w:p>
        </w:tc>
      </w:tr>
      <w:tr>
        <w:tc>
          <w:tcPr>
            <w:tcW w:type="dxa" w:w="2000"/>
            <w:shd w:fill="F4F6F5" w:val="clear"/>
            <w:tcMar>
              <w:top w:type="dxa" w:w="80"/>
              <w:left w:type="dxa" w:w="100"/>
              <w:bottom w:type="dxa" w:w="80"/>
              <w:right w:type="dxa" w:w="100"/>
            </w:tcMar>
          </w:tcPr>
          <w:p>
            <w:r>
              <w:rPr>
                <w:b w:val="false"/>
                <w:bCs w:val="false"/>
                <w:sz w:val="20"/>
                <w:szCs w:val="20"/>
              </w:rPr>
              <w:t xml:space="preserve">Administrator</w:t>
            </w:r>
          </w:p>
        </w:tc>
        <w:tc>
          <w:tcPr>
            <w:tcW w:type="dxa" w:w="4000"/>
            <w:shd w:fill="F4F6F5" w:val="clear"/>
            <w:tcMar>
              <w:top w:type="dxa" w:w="80"/>
              <w:left w:type="dxa" w:w="100"/>
              <w:bottom w:type="dxa" w:w="80"/>
              <w:right w:type="dxa" w:w="100"/>
            </w:tcMar>
          </w:tcPr>
          <w:p>
            <w:r>
              <w:rPr>
                <w:b w:val="false"/>
                <w:bCs w:val="false"/>
                <w:sz w:val="20"/>
                <w:szCs w:val="20"/>
              </w:rPr>
              <w:t xml:space="preserve">Manages user accounts and roles; connects/removes external integrations; configures API credentials via environment variables (not through the app UI).</w:t>
            </w:r>
          </w:p>
        </w:tc>
        <w:tc>
          <w:tcPr>
            <w:tcW w:type="dxa" w:w="3400"/>
            <w:shd w:fill="F4F6F5" w:val="clear"/>
            <w:tcMar>
              <w:top w:type="dxa" w:w="80"/>
              <w:left w:type="dxa" w:w="100"/>
              <w:bottom w:type="dxa" w:w="80"/>
              <w:right w:type="dxa" w:w="100"/>
            </w:tcMar>
          </w:tcPr>
          <w:p>
            <w:r>
              <w:rPr>
                <w:b w:val="false"/>
                <w:bCs w:val="false"/>
                <w:sz w:val="20"/>
                <w:szCs w:val="20"/>
              </w:rPr>
              <w:t xml:space="preserve">Everything every other role sees, plus platform analytics, data-source health status, the full audit log, and system monitoring.</w:t>
            </w:r>
          </w:p>
        </w:tc>
      </w:tr>
    </w:tbl>
    <w:p>
      <w:pPr>
        <w:pStyle w:val="Heading1"/>
        <w:spacing w:after="160" w:before="320"/>
      </w:pPr>
      <w:r>
        <w:t xml:space="preserve">6. Environmental Data Points, By Category</w:t>
      </w:r>
    </w:p>
    <w:p>
      <w:pPr>
        <w:pStyle w:val="Heading2"/>
        <w:spacing w:after="120" w:before="260"/>
      </w:pPr>
      <w:r>
        <w:t xml:space="preserve">6.1 Weather &amp; Climate (time-series, one row per site per day)</w:t>
      </w:r>
    </w:p>
    <w:p>
      <w:pPr>
        <w:pStyle w:val="ListParagraph"/>
        <w:numPr>
          <w:ilvl w:val="0"/>
          <w:numId w:val="2"/>
        </w:numPr>
        <w:spacing w:after="60"/>
      </w:pPr>
      <w:r>
        <w:t xml:space="preserve">Solar irradiance (kWh/m²/day)</w:t>
      </w:r>
    </w:p>
    <w:p>
      <w:pPr>
        <w:pStyle w:val="ListParagraph"/>
        <w:numPr>
          <w:ilvl w:val="0"/>
          <w:numId w:val="2"/>
        </w:numPr>
        <w:spacing w:after="60"/>
      </w:pPr>
      <w:r>
        <w:t xml:space="preserve">Wind speed at 10m (m/s)</w:t>
      </w:r>
    </w:p>
    <w:p>
      <w:pPr>
        <w:pStyle w:val="ListParagraph"/>
        <w:numPr>
          <w:ilvl w:val="0"/>
          <w:numId w:val="2"/>
        </w:numPr>
        <w:spacing w:after="60"/>
      </w:pPr>
      <w:r>
        <w:t xml:space="preserve">Wind speed at 50m (m/s) — primary input for turbine-height extrapolation</w:t>
      </w:r>
    </w:p>
    <w:p>
      <w:pPr>
        <w:pStyle w:val="ListParagraph"/>
        <w:numPr>
          <w:ilvl w:val="0"/>
          <w:numId w:val="2"/>
        </w:numPr>
        <w:spacing w:after="60"/>
      </w:pPr>
      <w:r>
        <w:t xml:space="preserve">Temperature (°C)</w:t>
      </w:r>
    </w:p>
    <w:p>
      <w:pPr>
        <w:pStyle w:val="ListParagraph"/>
        <w:numPr>
          <w:ilvl w:val="0"/>
          <w:numId w:val="2"/>
        </w:numPr>
        <w:spacing w:after="60"/>
      </w:pPr>
      <w:r>
        <w:t xml:space="preserve">Rainfall / precipitation (mm/day)</w:t>
      </w:r>
    </w:p>
    <w:p>
      <w:pPr>
        <w:pStyle w:val="ListParagraph"/>
        <w:numPr>
          <w:ilvl w:val="0"/>
          <w:numId w:val="2"/>
        </w:numPr>
        <w:spacing w:after="60"/>
      </w:pPr>
      <w:r>
        <w:t xml:space="preserve">Cloud cover (%)</w:t>
      </w:r>
    </w:p>
    <w:p>
      <w:pPr>
        <w:pStyle w:val="Heading2"/>
        <w:spacing w:after="120" w:before="260"/>
      </w:pPr>
      <w:r>
        <w:t xml:space="preserve">6.2 Terrain</w:t>
      </w:r>
    </w:p>
    <w:p>
      <w:pPr>
        <w:pStyle w:val="ListParagraph"/>
        <w:numPr>
          <w:ilvl w:val="0"/>
          <w:numId w:val="2"/>
        </w:numPr>
        <w:spacing w:after="60"/>
      </w:pPr>
      <w:r>
        <w:t xml:space="preserve">Elevation (m)</w:t>
      </w:r>
    </w:p>
    <w:p>
      <w:pPr>
        <w:pStyle w:val="ListParagraph"/>
        <w:numPr>
          <w:ilvl w:val="0"/>
          <w:numId w:val="2"/>
        </w:numPr>
        <w:spacing w:after="60"/>
      </w:pPr>
      <w:r>
        <w:t xml:space="preserve">Land slope (%)</w:t>
      </w:r>
    </w:p>
    <w:p>
      <w:pPr>
        <w:pStyle w:val="ListParagraph"/>
        <w:numPr>
          <w:ilvl w:val="0"/>
          <w:numId w:val="2"/>
        </w:numPr>
        <w:spacing w:after="60"/>
      </w:pPr>
      <w:r>
        <w:t xml:space="preserve">Land area (hectares)</w:t>
      </w:r>
    </w:p>
    <w:p>
      <w:pPr>
        <w:pStyle w:val="Heading2"/>
        <w:spacing w:after="120" w:before="260"/>
      </w:pPr>
      <w:r>
        <w:t xml:space="preserve">6.3 Infrastructure Proximity</w:t>
      </w:r>
    </w:p>
    <w:p>
      <w:pPr>
        <w:pStyle w:val="ListParagraph"/>
        <w:numPr>
          <w:ilvl w:val="0"/>
          <w:numId w:val="2"/>
        </w:numPr>
        <w:spacing w:after="60"/>
      </w:pPr>
      <w:r>
        <w:t xml:space="preserve">Distance to nearest road (km)</w:t>
      </w:r>
    </w:p>
    <w:p>
      <w:pPr>
        <w:pStyle w:val="ListParagraph"/>
        <w:numPr>
          <w:ilvl w:val="0"/>
          <w:numId w:val="2"/>
        </w:numPr>
        <w:spacing w:after="60"/>
      </w:pPr>
      <w:r>
        <w:t xml:space="preserve">Distance to nearest substation (km)</w:t>
      </w:r>
    </w:p>
    <w:p>
      <w:pPr>
        <w:pStyle w:val="ListParagraph"/>
        <w:numPr>
          <w:ilvl w:val="0"/>
          <w:numId w:val="2"/>
        </w:numPr>
        <w:spacing w:after="60"/>
      </w:pPr>
      <w:r>
        <w:t xml:space="preserve">Distance to nearest transmission line (km)</w:t>
      </w:r>
    </w:p>
    <w:p>
      <w:pPr>
        <w:pStyle w:val="Heading2"/>
        <w:spacing w:after="120" w:before="260"/>
      </w:pPr>
      <w:r>
        <w:t xml:space="preserve">6.4 Environmental Constraints</w:t>
      </w:r>
    </w:p>
    <w:p>
      <w:pPr>
        <w:pStyle w:val="ListParagraph"/>
        <w:numPr>
          <w:ilvl w:val="0"/>
          <w:numId w:val="2"/>
        </w:numPr>
        <w:spacing w:after="60"/>
      </w:pPr>
      <w:r>
        <w:t xml:space="preserve">Distance to protected area (km)</w:t>
      </w:r>
    </w:p>
    <w:p>
      <w:pPr>
        <w:pStyle w:val="ListParagraph"/>
        <w:numPr>
          <w:ilvl w:val="0"/>
          <w:numId w:val="2"/>
        </w:numPr>
        <w:spacing w:after="60"/>
      </w:pPr>
      <w:r>
        <w:t xml:space="preserve">Distance to water body (km)</w:t>
      </w:r>
    </w:p>
    <w:p>
      <w:pPr>
        <w:pStyle w:val="ListParagraph"/>
        <w:numPr>
          <w:ilvl w:val="0"/>
          <w:numId w:val="2"/>
        </w:numPr>
        <w:spacing w:after="60"/>
      </w:pPr>
      <w:r>
        <w:t xml:space="preserve">Proximity to agricultural land (flag) — now factored into the environmental sub-score (Section 8.3)</w:t>
      </w:r>
    </w:p>
    <w:p>
      <w:pPr>
        <w:pStyle w:val="ListParagraph"/>
        <w:numPr>
          <w:ilvl w:val="0"/>
          <w:numId w:val="2"/>
        </w:numPr>
        <w:spacing w:after="60"/>
      </w:pPr>
      <w:r>
        <w:t xml:space="preserve">Distance to urban area (km)</w:t>
      </w:r>
    </w:p>
    <w:p>
      <w:pPr>
        <w:pStyle w:val="ListParagraph"/>
        <w:numPr>
          <w:ilvl w:val="0"/>
          <w:numId w:val="2"/>
        </w:numPr>
        <w:spacing w:after="60"/>
      </w:pPr>
      <w:r>
        <w:t xml:space="preserve">Vegetation index / NDVI</w:t>
      </w:r>
    </w:p>
    <w:p>
      <w:pPr>
        <w:pStyle w:val="ListParagraph"/>
        <w:numPr>
          <w:ilvl w:val="0"/>
          <w:numId w:val="2"/>
        </w:numPr>
        <w:spacing w:after="60"/>
      </w:pPr>
      <w:r>
        <w:t xml:space="preserve">Land-cover classification</w:t>
      </w:r>
    </w:p>
    <w:p>
      <w:pPr>
        <w:pStyle w:val="Heading2"/>
        <w:spacing w:after="120" w:before="260"/>
      </w:pPr>
      <w:r>
        <w:t xml:space="preserve">6.5 Socioeconomic Context (country-level, supports investment scoring)</w:t>
      </w:r>
    </w:p>
    <w:p>
      <w:pPr>
        <w:pStyle w:val="ListParagraph"/>
        <w:numPr>
          <w:ilvl w:val="0"/>
          <w:numId w:val="2"/>
        </w:numPr>
        <w:spacing w:after="60"/>
      </w:pPr>
      <w:r>
        <w:t xml:space="preserve">Population density (per km²)</w:t>
      </w:r>
    </w:p>
    <w:p>
      <w:pPr>
        <w:pStyle w:val="ListParagraph"/>
        <w:numPr>
          <w:ilvl w:val="0"/>
          <w:numId w:val="2"/>
        </w:numPr>
        <w:spacing w:after="60"/>
      </w:pPr>
      <w:r>
        <w:t xml:space="preserve">GDP per capita (USD)</w:t>
      </w:r>
    </w:p>
    <w:p>
      <w:pPr>
        <w:pStyle w:val="Heading1"/>
        <w:spacing w:after="160" w:before="320"/>
      </w:pPr>
      <w:r>
        <w:t xml:space="preserve">7. Dataset / Table Structure (Columns)</w:t>
      </w:r>
    </w:p>
    <w:p>
      <w:pPr>
        <w:spacing w:after="140"/>
      </w:pPr>
      <w:r>
        <w:t xml:space="preserve">This is the actual relational structure the platform stores data in — verified directly against the SQLAlchemy model definitions. Each table corresponds to one stage of the pipeline in Section 2.</w:t>
      </w:r>
    </w:p>
    <w:p>
      <w:pPr>
        <w:pStyle w:val="Heading2"/>
        <w:spacing w:after="120" w:before="260"/>
      </w:pPr>
      <w:r>
        <w:t xml:space="preserve">7.1 Site (core record)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00"/>
      </w:tblGrid>
      <w:tr>
        <w:trPr>
          <w:tblHeader/>
        </w:trPr>
        <w:tc>
          <w:tcPr>
            <w:tcW w:type="dxa" w:w="3000"/>
            <w:shd w:fill="1e6f4c" w:val="clear"/>
            <w:tcMar>
              <w:top w:type="dxa" w:w="80"/>
              <w:left w:type="dxa" w:w="100"/>
              <w:bottom w:type="dxa" w:w="80"/>
              <w:right w:type="dxa" w:w="100"/>
            </w:tcMar>
          </w:tcPr>
          <w:p>
            <w:r>
              <w:rPr>
                <w:b/>
                <w:bCs/>
                <w:color w:val="FFFFFF"/>
                <w:sz w:val="20"/>
                <w:szCs w:val="20"/>
              </w:rPr>
              <w:t xml:space="preserve">Column</w:t>
            </w:r>
          </w:p>
        </w:tc>
        <w:tc>
          <w:tcPr>
            <w:tcW w:type="dxa" w:w="1500"/>
            <w:shd w:fill="1e6f4c" w:val="clear"/>
            <w:tcMar>
              <w:top w:type="dxa" w:w="80"/>
              <w:left w:type="dxa" w:w="100"/>
              <w:bottom w:type="dxa" w:w="80"/>
              <w:right w:type="dxa" w:w="100"/>
            </w:tcMar>
          </w:tcPr>
          <w:p>
            <w:r>
              <w:rPr>
                <w:b/>
                <w:bCs/>
                <w:color w:val="FFFFFF"/>
                <w:sz w:val="20"/>
                <w:szCs w:val="20"/>
              </w:rPr>
              <w:t xml:space="preserve">Type</w:t>
            </w:r>
          </w:p>
        </w:tc>
        <w:tc>
          <w:tcPr>
            <w:tcW w:type="dxa" w:w="4900"/>
            <w:shd w:fill="1e6f4c" w:val="clear"/>
            <w:tcMar>
              <w:top w:type="dxa" w:w="80"/>
              <w:left w:type="dxa" w:w="100"/>
              <w:bottom w:type="dxa" w:w="80"/>
              <w:right w:type="dxa" w:w="100"/>
            </w:tcMar>
          </w:tcPr>
          <w:p>
            <w:r>
              <w:rPr>
                <w:b/>
                <w:bCs/>
                <w:color w:val="FFFFFF"/>
                <w:sz w:val="20"/>
                <w:szCs w:val="20"/>
              </w:rPr>
              <w:t xml:space="preserve">Meaning</w:t>
            </w:r>
          </w:p>
        </w:tc>
      </w:tr>
      <w:tr>
        <w:tc>
          <w:tcPr>
            <w:tcW w:type="dxa" w:w="3000"/>
            <w:tcMar>
              <w:top w:type="dxa" w:w="80"/>
              <w:left w:type="dxa" w:w="100"/>
              <w:bottom w:type="dxa" w:w="80"/>
              <w:right w:type="dxa" w:w="100"/>
            </w:tcMar>
          </w:tcPr>
          <w:p>
            <w:r>
              <w:rPr>
                <w:b w:val="false"/>
                <w:bCs w:val="false"/>
                <w:sz w:val="20"/>
                <w:szCs w:val="20"/>
              </w:rPr>
              <w:t xml:space="preserve">latitude / longitude</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Site location — also stored as a PostGIS geometry point for spatial queries</w:t>
            </w:r>
          </w:p>
        </w:tc>
      </w:tr>
      <w:tr>
        <w:tc>
          <w:tcPr>
            <w:tcW w:type="dxa" w:w="3000"/>
            <w:shd w:fill="F4F6F5" w:val="clear"/>
            <w:tcMar>
              <w:top w:type="dxa" w:w="80"/>
              <w:left w:type="dxa" w:w="100"/>
              <w:bottom w:type="dxa" w:w="80"/>
              <w:right w:type="dxa" w:w="100"/>
            </w:tcMar>
          </w:tcPr>
          <w:p>
            <w:r>
              <w:rPr>
                <w:b w:val="false"/>
                <w:bCs w:val="false"/>
                <w:sz w:val="20"/>
                <w:szCs w:val="20"/>
              </w:rPr>
              <w:t xml:space="preserve">land_area_hectares</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Site size</w:t>
            </w:r>
          </w:p>
        </w:tc>
      </w:tr>
      <w:tr>
        <w:tc>
          <w:tcPr>
            <w:tcW w:type="dxa" w:w="3000"/>
            <w:tcMar>
              <w:top w:type="dxa" w:w="80"/>
              <w:left w:type="dxa" w:w="100"/>
              <w:bottom w:type="dxa" w:w="80"/>
              <w:right w:type="dxa" w:w="100"/>
            </w:tcMar>
          </w:tcPr>
          <w:p>
            <w:r>
              <w:rPr>
                <w:b w:val="false"/>
                <w:bCs w:val="false"/>
                <w:sz w:val="20"/>
                <w:szCs w:val="20"/>
              </w:rPr>
              <w:t xml:space="preserve">elevation_m</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Elevation above sea level</w:t>
            </w:r>
          </w:p>
        </w:tc>
      </w:tr>
      <w:tr>
        <w:tc>
          <w:tcPr>
            <w:tcW w:type="dxa" w:w="3000"/>
            <w:shd w:fill="F4F6F5" w:val="clear"/>
            <w:tcMar>
              <w:top w:type="dxa" w:w="80"/>
              <w:left w:type="dxa" w:w="100"/>
              <w:bottom w:type="dxa" w:w="80"/>
              <w:right w:type="dxa" w:w="100"/>
            </w:tcMar>
          </w:tcPr>
          <w:p>
            <w:r>
              <w:rPr>
                <w:b w:val="false"/>
                <w:bCs w:val="false"/>
                <w:sz w:val="20"/>
                <w:szCs w:val="20"/>
              </w:rPr>
              <w:t xml:space="preserve">land_slope_pct</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Terrain steepness</w:t>
            </w:r>
          </w:p>
        </w:tc>
      </w:tr>
      <w:tr>
        <w:tc>
          <w:tcPr>
            <w:tcW w:type="dxa" w:w="3000"/>
            <w:tcMar>
              <w:top w:type="dxa" w:w="80"/>
              <w:left w:type="dxa" w:w="100"/>
              <w:bottom w:type="dxa" w:w="80"/>
              <w:right w:type="dxa" w:w="100"/>
            </w:tcMar>
          </w:tcPr>
          <w:p>
            <w:r>
              <w:rPr>
                <w:b w:val="false"/>
                <w:bCs w:val="false"/>
                <w:sz w:val="20"/>
                <w:szCs w:val="20"/>
              </w:rPr>
              <w:t xml:space="preserve">distance_to_substation_km</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Manual/fallback infrastructure distance, used only if OSM data isn't available yet</w:t>
            </w:r>
          </w:p>
        </w:tc>
      </w:tr>
      <w:tr>
        <w:tc>
          <w:tcPr>
            <w:tcW w:type="dxa" w:w="3000"/>
            <w:shd w:fill="F4F6F5" w:val="clear"/>
            <w:tcMar>
              <w:top w:type="dxa" w:w="80"/>
              <w:left w:type="dxa" w:w="100"/>
              <w:bottom w:type="dxa" w:w="80"/>
              <w:right w:type="dxa" w:w="100"/>
            </w:tcMar>
          </w:tcPr>
          <w:p>
            <w:r>
              <w:rPr>
                <w:b w:val="false"/>
                <w:bCs w:val="false"/>
                <w:sz w:val="20"/>
                <w:szCs w:val="20"/>
              </w:rPr>
              <w:t xml:space="preserve">existing_infrastructure</w:t>
            </w:r>
          </w:p>
        </w:tc>
        <w:tc>
          <w:tcPr>
            <w:tcW w:type="dxa" w:w="1500"/>
            <w:shd w:fill="F4F6F5" w:val="clear"/>
            <w:tcMar>
              <w:top w:type="dxa" w:w="80"/>
              <w:left w:type="dxa" w:w="100"/>
              <w:bottom w:type="dxa" w:w="80"/>
              <w:right w:type="dxa" w:w="100"/>
            </w:tcMar>
          </w:tcPr>
          <w:p>
            <w:r>
              <w:rPr>
                <w:b w:val="false"/>
                <w:bCs w:val="false"/>
                <w:sz w:val="20"/>
                <w:szCs w:val="20"/>
              </w:rPr>
              <w:t xml:space="preserve">Text</w:t>
            </w:r>
          </w:p>
        </w:tc>
        <w:tc>
          <w:tcPr>
            <w:tcW w:type="dxa" w:w="4900"/>
            <w:shd w:fill="F4F6F5" w:val="clear"/>
            <w:tcMar>
              <w:top w:type="dxa" w:w="80"/>
              <w:left w:type="dxa" w:w="100"/>
              <w:bottom w:type="dxa" w:w="80"/>
              <w:right w:type="dxa" w:w="100"/>
            </w:tcMar>
          </w:tcPr>
          <w:p>
            <w:r>
              <w:rPr>
                <w:b w:val="false"/>
                <w:bCs w:val="false"/>
                <w:sz w:val="20"/>
                <w:szCs w:val="20"/>
              </w:rPr>
              <w:t xml:space="preserve">Free-text notes entered at registration</w:t>
            </w:r>
          </w:p>
        </w:tc>
      </w:tr>
      <w:tr>
        <w:tc>
          <w:tcPr>
            <w:tcW w:type="dxa" w:w="3000"/>
            <w:tcMar>
              <w:top w:type="dxa" w:w="80"/>
              <w:left w:type="dxa" w:w="100"/>
              <w:bottom w:type="dxa" w:w="80"/>
              <w:right w:type="dxa" w:w="100"/>
            </w:tcMar>
          </w:tcPr>
          <w:p>
            <w:r>
              <w:rPr>
                <w:b w:val="false"/>
                <w:bCs w:val="false"/>
                <w:sz w:val="20"/>
                <w:szCs w:val="20"/>
              </w:rPr>
              <w:t xml:space="preserve">land_ownership</w:t>
            </w:r>
          </w:p>
        </w:tc>
        <w:tc>
          <w:tcPr>
            <w:tcW w:type="dxa" w:w="1500"/>
            <w:tcMar>
              <w:top w:type="dxa" w:w="80"/>
              <w:left w:type="dxa" w:w="100"/>
              <w:bottom w:type="dxa" w:w="80"/>
              <w:right w:type="dxa" w:w="100"/>
            </w:tcMar>
          </w:tcPr>
          <w:p>
            <w:r>
              <w:rPr>
                <w:b w:val="false"/>
                <w:bCs w:val="false"/>
                <w:sz w:val="20"/>
                <w:szCs w:val="20"/>
              </w:rPr>
              <w:t xml:space="preserve">String</w:t>
            </w:r>
          </w:p>
        </w:tc>
        <w:tc>
          <w:tcPr>
            <w:tcW w:type="dxa" w:w="4900"/>
            <w:tcMar>
              <w:top w:type="dxa" w:w="80"/>
              <w:left w:type="dxa" w:w="100"/>
              <w:bottom w:type="dxa" w:w="80"/>
              <w:right w:type="dxa" w:w="100"/>
            </w:tcMar>
          </w:tcPr>
          <w:p>
            <w:r>
              <w:rPr>
                <w:b w:val="false"/>
                <w:bCs w:val="false"/>
                <w:sz w:val="20"/>
                <w:szCs w:val="20"/>
              </w:rPr>
              <w:t xml:space="preserve">Ownership status</w:t>
            </w:r>
          </w:p>
        </w:tc>
      </w:tr>
    </w:tbl>
    <w:p>
      <w:pPr>
        <w:pStyle w:val="Heading2"/>
        <w:spacing w:after="120" w:before="260"/>
      </w:pPr>
      <w:r>
        <w:t xml:space="preserve">7.2 Weather_Readings (time series)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00"/>
      </w:tblGrid>
      <w:tr>
        <w:trPr>
          <w:tblHeader/>
        </w:trPr>
        <w:tc>
          <w:tcPr>
            <w:tcW w:type="dxa" w:w="3000"/>
            <w:shd w:fill="1e6f4c" w:val="clear"/>
            <w:tcMar>
              <w:top w:type="dxa" w:w="80"/>
              <w:left w:type="dxa" w:w="100"/>
              <w:bottom w:type="dxa" w:w="80"/>
              <w:right w:type="dxa" w:w="100"/>
            </w:tcMar>
          </w:tcPr>
          <w:p>
            <w:r>
              <w:rPr>
                <w:b/>
                <w:bCs/>
                <w:color w:val="FFFFFF"/>
                <w:sz w:val="20"/>
                <w:szCs w:val="20"/>
              </w:rPr>
              <w:t xml:space="preserve">Column</w:t>
            </w:r>
          </w:p>
        </w:tc>
        <w:tc>
          <w:tcPr>
            <w:tcW w:type="dxa" w:w="1500"/>
            <w:shd w:fill="1e6f4c" w:val="clear"/>
            <w:tcMar>
              <w:top w:type="dxa" w:w="80"/>
              <w:left w:type="dxa" w:w="100"/>
              <w:bottom w:type="dxa" w:w="80"/>
              <w:right w:type="dxa" w:w="100"/>
            </w:tcMar>
          </w:tcPr>
          <w:p>
            <w:r>
              <w:rPr>
                <w:b/>
                <w:bCs/>
                <w:color w:val="FFFFFF"/>
                <w:sz w:val="20"/>
                <w:szCs w:val="20"/>
              </w:rPr>
              <w:t xml:space="preserve">Type</w:t>
            </w:r>
          </w:p>
        </w:tc>
        <w:tc>
          <w:tcPr>
            <w:tcW w:type="dxa" w:w="4900"/>
            <w:shd w:fill="1e6f4c" w:val="clear"/>
            <w:tcMar>
              <w:top w:type="dxa" w:w="80"/>
              <w:left w:type="dxa" w:w="100"/>
              <w:bottom w:type="dxa" w:w="80"/>
              <w:right w:type="dxa" w:w="100"/>
            </w:tcMar>
          </w:tcPr>
          <w:p>
            <w:r>
              <w:rPr>
                <w:b/>
                <w:bCs/>
                <w:color w:val="FFFFFF"/>
                <w:sz w:val="20"/>
                <w:szCs w:val="20"/>
              </w:rPr>
              <w:t xml:space="preserve">Meaning</w:t>
            </w:r>
          </w:p>
        </w:tc>
      </w:tr>
      <w:tr>
        <w:tc>
          <w:tcPr>
            <w:tcW w:type="dxa" w:w="3000"/>
            <w:tcMar>
              <w:top w:type="dxa" w:w="80"/>
              <w:left w:type="dxa" w:w="100"/>
              <w:bottom w:type="dxa" w:w="80"/>
              <w:right w:type="dxa" w:w="100"/>
            </w:tcMar>
          </w:tcPr>
          <w:p>
            <w:r>
              <w:rPr>
                <w:b w:val="false"/>
                <w:bCs w:val="false"/>
                <w:sz w:val="20"/>
                <w:szCs w:val="20"/>
              </w:rPr>
              <w:t xml:space="preserve">reading_date</w:t>
            </w:r>
          </w:p>
        </w:tc>
        <w:tc>
          <w:tcPr>
            <w:tcW w:type="dxa" w:w="1500"/>
            <w:tcMar>
              <w:top w:type="dxa" w:w="80"/>
              <w:left w:type="dxa" w:w="100"/>
              <w:bottom w:type="dxa" w:w="80"/>
              <w:right w:type="dxa" w:w="100"/>
            </w:tcMar>
          </w:tcPr>
          <w:p>
            <w:r>
              <w:rPr>
                <w:b w:val="false"/>
                <w:bCs w:val="false"/>
                <w:sz w:val="20"/>
                <w:szCs w:val="20"/>
              </w:rPr>
              <w:t xml:space="preserve">Date</w:t>
            </w:r>
          </w:p>
        </w:tc>
        <w:tc>
          <w:tcPr>
            <w:tcW w:type="dxa" w:w="4900"/>
            <w:tcMar>
              <w:top w:type="dxa" w:w="80"/>
              <w:left w:type="dxa" w:w="100"/>
              <w:bottom w:type="dxa" w:w="80"/>
              <w:right w:type="dxa" w:w="100"/>
            </w:tcMar>
          </w:tcPr>
          <w:p>
            <w:r>
              <w:rPr>
                <w:b w:val="false"/>
                <w:bCs w:val="false"/>
                <w:sz w:val="20"/>
                <w:szCs w:val="20"/>
              </w:rPr>
              <w:t xml:space="preserve">Day the reading applies to</w:t>
            </w:r>
          </w:p>
        </w:tc>
      </w:tr>
      <w:tr>
        <w:tc>
          <w:tcPr>
            <w:tcW w:type="dxa" w:w="3000"/>
            <w:shd w:fill="F4F6F5" w:val="clear"/>
            <w:tcMar>
              <w:top w:type="dxa" w:w="80"/>
              <w:left w:type="dxa" w:w="100"/>
              <w:bottom w:type="dxa" w:w="80"/>
              <w:right w:type="dxa" w:w="100"/>
            </w:tcMar>
          </w:tcPr>
          <w:p>
            <w:r>
              <w:rPr>
                <w:b w:val="false"/>
                <w:bCs w:val="false"/>
                <w:sz w:val="20"/>
                <w:szCs w:val="20"/>
              </w:rPr>
              <w:t xml:space="preserve">solar_irradiance</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kWh/m²/day</w:t>
            </w:r>
          </w:p>
        </w:tc>
      </w:tr>
      <w:tr>
        <w:tc>
          <w:tcPr>
            <w:tcW w:type="dxa" w:w="3000"/>
            <w:tcMar>
              <w:top w:type="dxa" w:w="80"/>
              <w:left w:type="dxa" w:w="100"/>
              <w:bottom w:type="dxa" w:w="80"/>
              <w:right w:type="dxa" w:w="100"/>
            </w:tcMar>
          </w:tcPr>
          <w:p>
            <w:r>
              <w:rPr>
                <w:b w:val="false"/>
                <w:bCs w:val="false"/>
                <w:sz w:val="20"/>
                <w:szCs w:val="20"/>
              </w:rPr>
              <w:t xml:space="preserve">wind_speed / wind_speed_50m</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m/s at 10m and 50m</w:t>
            </w:r>
          </w:p>
        </w:tc>
      </w:tr>
      <w:tr>
        <w:tc>
          <w:tcPr>
            <w:tcW w:type="dxa" w:w="3000"/>
            <w:shd w:fill="F4F6F5" w:val="clear"/>
            <w:tcMar>
              <w:top w:type="dxa" w:w="80"/>
              <w:left w:type="dxa" w:w="100"/>
              <w:bottom w:type="dxa" w:w="80"/>
              <w:right w:type="dxa" w:w="100"/>
            </w:tcMar>
          </w:tcPr>
          <w:p>
            <w:r>
              <w:rPr>
                <w:b w:val="false"/>
                <w:bCs w:val="false"/>
                <w:sz w:val="20"/>
                <w:szCs w:val="20"/>
              </w:rPr>
              <w:t xml:space="preserve">temperature</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°C</w:t>
            </w:r>
          </w:p>
        </w:tc>
      </w:tr>
      <w:tr>
        <w:tc>
          <w:tcPr>
            <w:tcW w:type="dxa" w:w="3000"/>
            <w:tcMar>
              <w:top w:type="dxa" w:w="80"/>
              <w:left w:type="dxa" w:w="100"/>
              <w:bottom w:type="dxa" w:w="80"/>
              <w:right w:type="dxa" w:w="100"/>
            </w:tcMar>
          </w:tcPr>
          <w:p>
            <w:r>
              <w:rPr>
                <w:b w:val="false"/>
                <w:bCs w:val="false"/>
                <w:sz w:val="20"/>
                <w:szCs w:val="20"/>
              </w:rPr>
              <w:t xml:space="preserve">rainfall</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mm</w:t>
            </w:r>
          </w:p>
        </w:tc>
      </w:tr>
      <w:tr>
        <w:tc>
          <w:tcPr>
            <w:tcW w:type="dxa" w:w="3000"/>
            <w:shd w:fill="F4F6F5" w:val="clear"/>
            <w:tcMar>
              <w:top w:type="dxa" w:w="80"/>
              <w:left w:type="dxa" w:w="100"/>
              <w:bottom w:type="dxa" w:w="80"/>
              <w:right w:type="dxa" w:w="100"/>
            </w:tcMar>
          </w:tcPr>
          <w:p>
            <w:r>
              <w:rPr>
                <w:b w:val="false"/>
                <w:bCs w:val="false"/>
                <w:sz w:val="20"/>
                <w:szCs w:val="20"/>
              </w:rPr>
              <w:t xml:space="preserve">cloud_cover_pct</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w:t>
            </w:r>
          </w:p>
        </w:tc>
      </w:tr>
    </w:tbl>
    <w:p>
      <w:pPr>
        <w:pStyle w:val="Heading2"/>
        <w:spacing w:after="120" w:before="260"/>
      </w:pPr>
      <w:r>
        <w:t xml:space="preserve">7.3 Infrastructure_Features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00"/>
      </w:tblGrid>
      <w:tr>
        <w:trPr>
          <w:tblHeader/>
        </w:trPr>
        <w:tc>
          <w:tcPr>
            <w:tcW w:type="dxa" w:w="3000"/>
            <w:shd w:fill="1e6f4c" w:val="clear"/>
            <w:tcMar>
              <w:top w:type="dxa" w:w="80"/>
              <w:left w:type="dxa" w:w="100"/>
              <w:bottom w:type="dxa" w:w="80"/>
              <w:right w:type="dxa" w:w="100"/>
            </w:tcMar>
          </w:tcPr>
          <w:p>
            <w:r>
              <w:rPr>
                <w:b/>
                <w:bCs/>
                <w:color w:val="FFFFFF"/>
                <w:sz w:val="20"/>
                <w:szCs w:val="20"/>
              </w:rPr>
              <w:t xml:space="preserve">Column</w:t>
            </w:r>
          </w:p>
        </w:tc>
        <w:tc>
          <w:tcPr>
            <w:tcW w:type="dxa" w:w="1500"/>
            <w:shd w:fill="1e6f4c" w:val="clear"/>
            <w:tcMar>
              <w:top w:type="dxa" w:w="80"/>
              <w:left w:type="dxa" w:w="100"/>
              <w:bottom w:type="dxa" w:w="80"/>
              <w:right w:type="dxa" w:w="100"/>
            </w:tcMar>
          </w:tcPr>
          <w:p>
            <w:r>
              <w:rPr>
                <w:b/>
                <w:bCs/>
                <w:color w:val="FFFFFF"/>
                <w:sz w:val="20"/>
                <w:szCs w:val="20"/>
              </w:rPr>
              <w:t xml:space="preserve">Type</w:t>
            </w:r>
          </w:p>
        </w:tc>
        <w:tc>
          <w:tcPr>
            <w:tcW w:type="dxa" w:w="4900"/>
            <w:shd w:fill="1e6f4c" w:val="clear"/>
            <w:tcMar>
              <w:top w:type="dxa" w:w="80"/>
              <w:left w:type="dxa" w:w="100"/>
              <w:bottom w:type="dxa" w:w="80"/>
              <w:right w:type="dxa" w:w="100"/>
            </w:tcMar>
          </w:tcPr>
          <w:p>
            <w:r>
              <w:rPr>
                <w:b/>
                <w:bCs/>
                <w:color w:val="FFFFFF"/>
                <w:sz w:val="20"/>
                <w:szCs w:val="20"/>
              </w:rPr>
              <w:t xml:space="preserve">Meaning</w:t>
            </w:r>
          </w:p>
        </w:tc>
      </w:tr>
      <w:tr>
        <w:tc>
          <w:tcPr>
            <w:tcW w:type="dxa" w:w="3000"/>
            <w:tcMar>
              <w:top w:type="dxa" w:w="80"/>
              <w:left w:type="dxa" w:w="100"/>
              <w:bottom w:type="dxa" w:w="80"/>
              <w:right w:type="dxa" w:w="100"/>
            </w:tcMar>
          </w:tcPr>
          <w:p>
            <w:r>
              <w:rPr>
                <w:b w:val="false"/>
                <w:bCs w:val="false"/>
                <w:sz w:val="20"/>
                <w:szCs w:val="20"/>
              </w:rPr>
              <w:t xml:space="preserve">feature_type</w:t>
            </w:r>
          </w:p>
        </w:tc>
        <w:tc>
          <w:tcPr>
            <w:tcW w:type="dxa" w:w="1500"/>
            <w:tcMar>
              <w:top w:type="dxa" w:w="80"/>
              <w:left w:type="dxa" w:w="100"/>
              <w:bottom w:type="dxa" w:w="80"/>
              <w:right w:type="dxa" w:w="100"/>
            </w:tcMar>
          </w:tcPr>
          <w:p>
            <w:r>
              <w:rPr>
                <w:b w:val="false"/>
                <w:bCs w:val="false"/>
                <w:sz w:val="20"/>
                <w:szCs w:val="20"/>
              </w:rPr>
              <w:t xml:space="preserve">String</w:t>
            </w:r>
          </w:p>
        </w:tc>
        <w:tc>
          <w:tcPr>
            <w:tcW w:type="dxa" w:w="4900"/>
            <w:tcMar>
              <w:top w:type="dxa" w:w="80"/>
              <w:left w:type="dxa" w:w="100"/>
              <w:bottom w:type="dxa" w:w="80"/>
              <w:right w:type="dxa" w:w="100"/>
            </w:tcMar>
          </w:tcPr>
          <w:p>
            <w:r>
              <w:rPr>
                <w:b w:val="false"/>
                <w:bCs w:val="false"/>
                <w:sz w:val="20"/>
                <w:szCs w:val="20"/>
              </w:rPr>
              <w:t xml:space="preserve">road / substation / transmission_line / urban_area / water_body</w:t>
            </w:r>
          </w:p>
        </w:tc>
      </w:tr>
      <w:tr>
        <w:tc>
          <w:tcPr>
            <w:tcW w:type="dxa" w:w="3000"/>
            <w:shd w:fill="F4F6F5" w:val="clear"/>
            <w:tcMar>
              <w:top w:type="dxa" w:w="80"/>
              <w:left w:type="dxa" w:w="100"/>
              <w:bottom w:type="dxa" w:w="80"/>
              <w:right w:type="dxa" w:w="100"/>
            </w:tcMar>
          </w:tcPr>
          <w:p>
            <w:r>
              <w:rPr>
                <w:b w:val="false"/>
                <w:bCs w:val="false"/>
                <w:sz w:val="20"/>
                <w:szCs w:val="20"/>
              </w:rPr>
              <w:t xml:space="preserve">distance_km</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Distance from the site to that feature</w:t>
            </w:r>
          </w:p>
        </w:tc>
      </w:tr>
    </w:tbl>
    <w:p>
      <w:pPr>
        <w:pStyle w:val="Heading2"/>
        <w:spacing w:after="120" w:before="260"/>
      </w:pPr>
      <w:r>
        <w:t xml:space="preserve">7.4 Environmental_Constraints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00"/>
      </w:tblGrid>
      <w:tr>
        <w:trPr>
          <w:tblHeader/>
        </w:trPr>
        <w:tc>
          <w:tcPr>
            <w:tcW w:type="dxa" w:w="3000"/>
            <w:shd w:fill="1e6f4c" w:val="clear"/>
            <w:tcMar>
              <w:top w:type="dxa" w:w="80"/>
              <w:left w:type="dxa" w:w="100"/>
              <w:bottom w:type="dxa" w:w="80"/>
              <w:right w:type="dxa" w:w="100"/>
            </w:tcMar>
          </w:tcPr>
          <w:p>
            <w:r>
              <w:rPr>
                <w:b/>
                <w:bCs/>
                <w:color w:val="FFFFFF"/>
                <w:sz w:val="20"/>
                <w:szCs w:val="20"/>
              </w:rPr>
              <w:t xml:space="preserve">Column</w:t>
            </w:r>
          </w:p>
        </w:tc>
        <w:tc>
          <w:tcPr>
            <w:tcW w:type="dxa" w:w="1500"/>
            <w:shd w:fill="1e6f4c" w:val="clear"/>
            <w:tcMar>
              <w:top w:type="dxa" w:w="80"/>
              <w:left w:type="dxa" w:w="100"/>
              <w:bottom w:type="dxa" w:w="80"/>
              <w:right w:type="dxa" w:w="100"/>
            </w:tcMar>
          </w:tcPr>
          <w:p>
            <w:r>
              <w:rPr>
                <w:b/>
                <w:bCs/>
                <w:color w:val="FFFFFF"/>
                <w:sz w:val="20"/>
                <w:szCs w:val="20"/>
              </w:rPr>
              <w:t xml:space="preserve">Type</w:t>
            </w:r>
          </w:p>
        </w:tc>
        <w:tc>
          <w:tcPr>
            <w:tcW w:type="dxa" w:w="4900"/>
            <w:shd w:fill="1e6f4c" w:val="clear"/>
            <w:tcMar>
              <w:top w:type="dxa" w:w="80"/>
              <w:left w:type="dxa" w:w="100"/>
              <w:bottom w:type="dxa" w:w="80"/>
              <w:right w:type="dxa" w:w="100"/>
            </w:tcMar>
          </w:tcPr>
          <w:p>
            <w:r>
              <w:rPr>
                <w:b/>
                <w:bCs/>
                <w:color w:val="FFFFFF"/>
                <w:sz w:val="20"/>
                <w:szCs w:val="20"/>
              </w:rPr>
              <w:t xml:space="preserve">Meaning</w:t>
            </w:r>
          </w:p>
        </w:tc>
      </w:tr>
      <w:tr>
        <w:tc>
          <w:tcPr>
            <w:tcW w:type="dxa" w:w="3000"/>
            <w:tcMar>
              <w:top w:type="dxa" w:w="80"/>
              <w:left w:type="dxa" w:w="100"/>
              <w:bottom w:type="dxa" w:w="80"/>
              <w:right w:type="dxa" w:w="100"/>
            </w:tcMar>
          </w:tcPr>
          <w:p>
            <w:r>
              <w:rPr>
                <w:b w:val="false"/>
                <w:bCs w:val="false"/>
                <w:sz w:val="20"/>
                <w:szCs w:val="20"/>
              </w:rPr>
              <w:t xml:space="preserve">protected_area_distance_km</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Distance to nearest protected zone</w:t>
            </w:r>
          </w:p>
        </w:tc>
      </w:tr>
      <w:tr>
        <w:tc>
          <w:tcPr>
            <w:tcW w:type="dxa" w:w="3000"/>
            <w:shd w:fill="F4F6F5" w:val="clear"/>
            <w:tcMar>
              <w:top w:type="dxa" w:w="80"/>
              <w:left w:type="dxa" w:w="100"/>
              <w:bottom w:type="dxa" w:w="80"/>
              <w:right w:type="dxa" w:w="100"/>
            </w:tcMar>
          </w:tcPr>
          <w:p>
            <w:r>
              <w:rPr>
                <w:b w:val="false"/>
                <w:bCs w:val="false"/>
                <w:sz w:val="20"/>
                <w:szCs w:val="20"/>
              </w:rPr>
              <w:t xml:space="preserve">water_body_distance_km</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Distance to nearest water body</w:t>
            </w:r>
          </w:p>
        </w:tc>
      </w:tr>
      <w:tr>
        <w:tc>
          <w:tcPr>
            <w:tcW w:type="dxa" w:w="3000"/>
            <w:tcMar>
              <w:top w:type="dxa" w:w="80"/>
              <w:left w:type="dxa" w:w="100"/>
              <w:bottom w:type="dxa" w:w="80"/>
              <w:right w:type="dxa" w:w="100"/>
            </w:tcMar>
          </w:tcPr>
          <w:p>
            <w:r>
              <w:rPr>
                <w:b w:val="false"/>
                <w:bCs w:val="false"/>
                <w:sz w:val="20"/>
                <w:szCs w:val="20"/>
              </w:rPr>
              <w:t xml:space="preserve">agricultural_land_nearby</w:t>
            </w:r>
          </w:p>
        </w:tc>
        <w:tc>
          <w:tcPr>
            <w:tcW w:type="dxa" w:w="1500"/>
            <w:tcMar>
              <w:top w:type="dxa" w:w="80"/>
              <w:left w:type="dxa" w:w="100"/>
              <w:bottom w:type="dxa" w:w="80"/>
              <w:right w:type="dxa" w:w="100"/>
            </w:tcMar>
          </w:tcPr>
          <w:p>
            <w:r>
              <w:rPr>
                <w:b w:val="false"/>
                <w:bCs w:val="false"/>
                <w:sz w:val="20"/>
                <w:szCs w:val="20"/>
              </w:rPr>
              <w:t xml:space="preserve">Boolean (1/0)</w:t>
            </w:r>
          </w:p>
        </w:tc>
        <w:tc>
          <w:tcPr>
            <w:tcW w:type="dxa" w:w="4900"/>
            <w:tcMar>
              <w:top w:type="dxa" w:w="80"/>
              <w:left w:type="dxa" w:w="100"/>
              <w:bottom w:type="dxa" w:w="80"/>
              <w:right w:type="dxa" w:w="100"/>
            </w:tcMar>
          </w:tcPr>
          <w:p>
            <w:r>
              <w:rPr>
                <w:b w:val="false"/>
                <w:bCs w:val="false"/>
                <w:sz w:val="20"/>
                <w:szCs w:val="20"/>
              </w:rPr>
              <w:t xml:space="preserve">Flag — now scored (Section 8.3)</w:t>
            </w:r>
          </w:p>
        </w:tc>
      </w:tr>
      <w:tr>
        <w:tc>
          <w:tcPr>
            <w:tcW w:type="dxa" w:w="3000"/>
            <w:shd w:fill="F4F6F5" w:val="clear"/>
            <w:tcMar>
              <w:top w:type="dxa" w:w="80"/>
              <w:left w:type="dxa" w:w="100"/>
              <w:bottom w:type="dxa" w:w="80"/>
              <w:right w:type="dxa" w:w="100"/>
            </w:tcMar>
          </w:tcPr>
          <w:p>
            <w:r>
              <w:rPr>
                <w:b w:val="false"/>
                <w:bCs w:val="false"/>
                <w:sz w:val="20"/>
                <w:szCs w:val="20"/>
              </w:rPr>
              <w:t xml:space="preserve">urban_area_distance_km</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Distance to nearest urban area</w:t>
            </w:r>
          </w:p>
        </w:tc>
      </w:tr>
      <w:tr>
        <w:tc>
          <w:tcPr>
            <w:tcW w:type="dxa" w:w="3000"/>
            <w:tcMar>
              <w:top w:type="dxa" w:w="80"/>
              <w:left w:type="dxa" w:w="100"/>
              <w:bottom w:type="dxa" w:w="80"/>
              <w:right w:type="dxa" w:w="100"/>
            </w:tcMar>
          </w:tcPr>
          <w:p>
            <w:r>
              <w:rPr>
                <w:b w:val="false"/>
                <w:bCs w:val="false"/>
                <w:sz w:val="20"/>
                <w:szCs w:val="20"/>
              </w:rPr>
              <w:t xml:space="preserve">population_density_km2 / gdp_per_capita_usd</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Country-level economic context</w:t>
            </w:r>
          </w:p>
        </w:tc>
      </w:tr>
    </w:tbl>
    <w:p>
      <w:pPr>
        <w:pStyle w:val="Heading2"/>
        <w:spacing w:after="120" w:before="260"/>
      </w:pPr>
      <w:r>
        <w:t xml:space="preserve">7.5 Solar_Potential / Wind_Potential / Suitability_Score (computed outputs)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e6f4c" w:val="clear"/>
            <w:tcMar>
              <w:top w:type="dxa" w:w="80"/>
              <w:left w:type="dxa" w:w="100"/>
              <w:bottom w:type="dxa" w:w="80"/>
              <w:right w:type="dxa" w:w="100"/>
            </w:tcMar>
          </w:tcPr>
          <w:p>
            <w:r>
              <w:rPr>
                <w:b/>
                <w:bCs/>
                <w:color w:val="FFFFFF"/>
                <w:sz w:val="20"/>
                <w:szCs w:val="20"/>
              </w:rPr>
              <w:t xml:space="preserve">Table</w:t>
            </w:r>
          </w:p>
        </w:tc>
        <w:tc>
          <w:tcPr>
            <w:tcW w:type="dxa" w:w="6800"/>
            <w:shd w:fill="1e6f4c" w:val="clear"/>
            <w:tcMar>
              <w:top w:type="dxa" w:w="80"/>
              <w:left w:type="dxa" w:w="100"/>
              <w:bottom w:type="dxa" w:w="80"/>
              <w:right w:type="dxa" w:w="100"/>
            </w:tcMar>
          </w:tcPr>
          <w:p>
            <w:r>
              <w:rPr>
                <w:b/>
                <w:bCs/>
                <w:color w:val="FFFFFF"/>
                <w:sz w:val="20"/>
                <w:szCs w:val="20"/>
              </w:rPr>
              <w:t xml:space="preserve">Key Columns</w:t>
            </w:r>
          </w:p>
        </w:tc>
      </w:tr>
      <w:tr>
        <w:tc>
          <w:tcPr>
            <w:tcW w:type="dxa" w:w="2600"/>
            <w:tcMar>
              <w:top w:type="dxa" w:w="80"/>
              <w:left w:type="dxa" w:w="100"/>
              <w:bottom w:type="dxa" w:w="80"/>
              <w:right w:type="dxa" w:w="100"/>
            </w:tcMar>
          </w:tcPr>
          <w:p>
            <w:r>
              <w:rPr>
                <w:b w:val="false"/>
                <w:bCs w:val="false"/>
                <w:sz w:val="20"/>
                <w:szCs w:val="20"/>
              </w:rPr>
              <w:t xml:space="preserve">Solar_Potential</w:t>
            </w:r>
          </w:p>
        </w:tc>
        <w:tc>
          <w:tcPr>
            <w:tcW w:type="dxa" w:w="6800"/>
            <w:tcMar>
              <w:top w:type="dxa" w:w="80"/>
              <w:left w:type="dxa" w:w="100"/>
              <w:bottom w:type="dxa" w:w="80"/>
              <w:right w:type="dxa" w:w="100"/>
            </w:tcMar>
          </w:tcPr>
          <w:p>
            <w:r>
              <w:rPr>
                <w:b w:val="false"/>
                <w:bCs w:val="false"/>
                <w:sz w:val="20"/>
                <w:szCs w:val="20"/>
              </w:rPr>
              <w:t xml:space="preserve">annual_irradiance_kwh_m2, peak_sun_hours, panel_efficiency_pct, shading_loss_pct, performance_ratio_pct, expected_energy_output_mwh_yr, capacity_factor_pct</w:t>
            </w:r>
          </w:p>
        </w:tc>
      </w:tr>
      <w:tr>
        <w:tc>
          <w:tcPr>
            <w:tcW w:type="dxa" w:w="2600"/>
            <w:shd w:fill="F4F6F5" w:val="clear"/>
            <w:tcMar>
              <w:top w:type="dxa" w:w="80"/>
              <w:left w:type="dxa" w:w="100"/>
              <w:bottom w:type="dxa" w:w="80"/>
              <w:right w:type="dxa" w:w="100"/>
            </w:tcMar>
          </w:tcPr>
          <w:p>
            <w:r>
              <w:rPr>
                <w:b w:val="false"/>
                <w:bCs w:val="false"/>
                <w:sz w:val="20"/>
                <w:szCs w:val="20"/>
              </w:rPr>
              <w:t xml:space="preserve">Wind_Potential</w:t>
            </w:r>
          </w:p>
        </w:tc>
        <w:tc>
          <w:tcPr>
            <w:tcW w:type="dxa" w:w="6800"/>
            <w:shd w:fill="F4F6F5" w:val="clear"/>
            <w:tcMar>
              <w:top w:type="dxa" w:w="80"/>
              <w:left w:type="dxa" w:w="100"/>
              <w:bottom w:type="dxa" w:w="80"/>
              <w:right w:type="dxa" w:w="100"/>
            </w:tcMar>
          </w:tcPr>
          <w:p>
            <w:r>
              <w:rPr>
                <w:b w:val="false"/>
                <w:bCs w:val="false"/>
                <w:sz w:val="20"/>
                <w:szCs w:val="20"/>
              </w:rPr>
              <w:t xml:space="preserve">average_wind_speed_ms, wind_power_density_w_m2, turbulence_intensity_pct, turbine_suitability_score, turbine_class, expected_aep_mwh_yr, capacity_factor_pct</w:t>
            </w:r>
          </w:p>
        </w:tc>
      </w:tr>
      <w:tr>
        <w:tc>
          <w:tcPr>
            <w:tcW w:type="dxa" w:w="2600"/>
            <w:tcMar>
              <w:top w:type="dxa" w:w="80"/>
              <w:left w:type="dxa" w:w="100"/>
              <w:bottom w:type="dxa" w:w="80"/>
              <w:right w:type="dxa" w:w="100"/>
            </w:tcMar>
          </w:tcPr>
          <w:p>
            <w:r>
              <w:rPr>
                <w:b w:val="false"/>
                <w:bCs w:val="false"/>
                <w:sz w:val="20"/>
                <w:szCs w:val="20"/>
              </w:rPr>
              <w:t xml:space="preserve">Suitability_Score</w:t>
            </w:r>
          </w:p>
        </w:tc>
        <w:tc>
          <w:tcPr>
            <w:tcW w:type="dxa" w:w="6800"/>
            <w:tcMar>
              <w:top w:type="dxa" w:w="80"/>
              <w:left w:type="dxa" w:w="100"/>
              <w:bottom w:type="dxa" w:w="80"/>
              <w:right w:type="dxa" w:w="100"/>
            </w:tcMar>
          </w:tcPr>
          <w:p>
            <w:r>
              <w:rPr>
                <w:b w:val="false"/>
                <w:bCs w:val="false"/>
                <w:sz w:val="20"/>
                <w:szCs w:val="20"/>
              </w:rPr>
              <w:t xml:space="preserve">resource_score, geographic_score, infrastructure_score, environmental_score, economic_score, overall_score, category</w:t>
            </w:r>
          </w:p>
        </w:tc>
      </w:tr>
    </w:tbl>
    <w:p>
      <w:pPr>
        <w:pStyle w:val="Heading2"/>
        <w:spacing w:after="120" w:before="260"/>
      </w:pPr>
      <w:r>
        <w:t xml:space="preserve">7.6 Financial_Analysis (Investment Analytics)</w:t>
      </w:r>
    </w:p>
    <w:p>
      <w:pPr>
        <w:spacing w:after="140"/>
      </w:pPr>
      <w:r>
        <w:t xml:space="preserve">Not present in the earlier draft — added here since it is a real, implemented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00"/>
      </w:tblGrid>
      <w:tr>
        <w:trPr>
          <w:tblHeader/>
        </w:trPr>
        <w:tc>
          <w:tcPr>
            <w:tcW w:type="dxa" w:w="3000"/>
            <w:shd w:fill="1e6f4c" w:val="clear"/>
            <w:tcMar>
              <w:top w:type="dxa" w:w="80"/>
              <w:left w:type="dxa" w:w="100"/>
              <w:bottom w:type="dxa" w:w="80"/>
              <w:right w:type="dxa" w:w="100"/>
            </w:tcMar>
          </w:tcPr>
          <w:p>
            <w:r>
              <w:rPr>
                <w:b/>
                <w:bCs/>
                <w:color w:val="FFFFFF"/>
                <w:sz w:val="20"/>
                <w:szCs w:val="20"/>
              </w:rPr>
              <w:t xml:space="preserve">Column</w:t>
            </w:r>
          </w:p>
        </w:tc>
        <w:tc>
          <w:tcPr>
            <w:tcW w:type="dxa" w:w="1500"/>
            <w:shd w:fill="1e6f4c" w:val="clear"/>
            <w:tcMar>
              <w:top w:type="dxa" w:w="80"/>
              <w:left w:type="dxa" w:w="100"/>
              <w:bottom w:type="dxa" w:w="80"/>
              <w:right w:type="dxa" w:w="100"/>
            </w:tcMar>
          </w:tcPr>
          <w:p>
            <w:r>
              <w:rPr>
                <w:b/>
                <w:bCs/>
                <w:color w:val="FFFFFF"/>
                <w:sz w:val="20"/>
                <w:szCs w:val="20"/>
              </w:rPr>
              <w:t xml:space="preserve">Type</w:t>
            </w:r>
          </w:p>
        </w:tc>
        <w:tc>
          <w:tcPr>
            <w:tcW w:type="dxa" w:w="4900"/>
            <w:shd w:fill="1e6f4c" w:val="clear"/>
            <w:tcMar>
              <w:top w:type="dxa" w:w="80"/>
              <w:left w:type="dxa" w:w="100"/>
              <w:bottom w:type="dxa" w:w="80"/>
              <w:right w:type="dxa" w:w="100"/>
            </w:tcMar>
          </w:tcPr>
          <w:p>
            <w:r>
              <w:rPr>
                <w:b/>
                <w:bCs/>
                <w:color w:val="FFFFFF"/>
                <w:sz w:val="20"/>
                <w:szCs w:val="20"/>
              </w:rPr>
              <w:t xml:space="preserve">Meaning</w:t>
            </w:r>
          </w:p>
        </w:tc>
      </w:tr>
      <w:tr>
        <w:tc>
          <w:tcPr>
            <w:tcW w:type="dxa" w:w="3000"/>
            <w:tcMar>
              <w:top w:type="dxa" w:w="80"/>
              <w:left w:type="dxa" w:w="100"/>
              <w:bottom w:type="dxa" w:w="80"/>
              <w:right w:type="dxa" w:w="100"/>
            </w:tcMar>
          </w:tcPr>
          <w:p>
            <w:r>
              <w:rPr>
                <w:b w:val="false"/>
                <w:bCs w:val="false"/>
                <w:sz w:val="20"/>
                <w:szCs w:val="20"/>
              </w:rPr>
              <w:t xml:space="preserve">technology, capacity_mw</w:t>
            </w:r>
          </w:p>
        </w:tc>
        <w:tc>
          <w:tcPr>
            <w:tcW w:type="dxa" w:w="1500"/>
            <w:tcMar>
              <w:top w:type="dxa" w:w="80"/>
              <w:left w:type="dxa" w:w="100"/>
              <w:bottom w:type="dxa" w:w="80"/>
              <w:right w:type="dxa" w:w="100"/>
            </w:tcMar>
          </w:tcPr>
          <w:p>
            <w:r>
              <w:rPr>
                <w:b w:val="false"/>
                <w:bCs w:val="false"/>
                <w:sz w:val="20"/>
                <w:szCs w:val="20"/>
              </w:rPr>
              <w:t xml:space="preserve">String, Float</w:t>
            </w:r>
          </w:p>
        </w:tc>
        <w:tc>
          <w:tcPr>
            <w:tcW w:type="dxa" w:w="4900"/>
            <w:tcMar>
              <w:top w:type="dxa" w:w="80"/>
              <w:left w:type="dxa" w:w="100"/>
              <w:bottom w:type="dxa" w:w="80"/>
              <w:right w:type="dxa" w:w="100"/>
            </w:tcMar>
          </w:tcPr>
          <w:p>
            <w:r>
              <w:rPr>
                <w:b w:val="false"/>
                <w:bCs w:val="false"/>
                <w:sz w:val="20"/>
                <w:szCs w:val="20"/>
              </w:rPr>
              <w:t xml:space="preserve">solar / wind / hybrid, and installed capacity</w:t>
            </w:r>
          </w:p>
        </w:tc>
      </w:tr>
      <w:tr>
        <w:tc>
          <w:tcPr>
            <w:tcW w:type="dxa" w:w="3000"/>
            <w:shd w:fill="F4F6F5" w:val="clear"/>
            <w:tcMar>
              <w:top w:type="dxa" w:w="80"/>
              <w:left w:type="dxa" w:w="100"/>
              <w:bottom w:type="dxa" w:w="80"/>
              <w:right w:type="dxa" w:w="100"/>
            </w:tcMar>
          </w:tcPr>
          <w:p>
            <w:r>
              <w:rPr>
                <w:b w:val="false"/>
                <w:bCs w:val="false"/>
                <w:sz w:val="20"/>
                <w:szCs w:val="20"/>
              </w:rPr>
              <w:t xml:space="preserve">capex_usd, opex_usd_per_yr</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User-supplied cost assumptions</w:t>
            </w:r>
          </w:p>
        </w:tc>
      </w:tr>
      <w:tr>
        <w:tc>
          <w:tcPr>
            <w:tcW w:type="dxa" w:w="3000"/>
            <w:tcMar>
              <w:top w:type="dxa" w:w="80"/>
              <w:left w:type="dxa" w:w="100"/>
              <w:bottom w:type="dxa" w:w="80"/>
              <w:right w:type="dxa" w:w="100"/>
            </w:tcMar>
          </w:tcPr>
          <w:p>
            <w:r>
              <w:rPr>
                <w:b w:val="false"/>
                <w:bCs w:val="false"/>
                <w:sz w:val="20"/>
                <w:szCs w:val="20"/>
              </w:rPr>
              <w:t xml:space="preserve">discount_rate_pct, project_lifetime_yrs</w:t>
            </w:r>
          </w:p>
        </w:tc>
        <w:tc>
          <w:tcPr>
            <w:tcW w:type="dxa" w:w="1500"/>
            <w:tcMar>
              <w:top w:type="dxa" w:w="80"/>
              <w:left w:type="dxa" w:w="100"/>
              <w:bottom w:type="dxa" w:w="80"/>
              <w:right w:type="dxa" w:w="100"/>
            </w:tcMar>
          </w:tcPr>
          <w:p>
            <w:r>
              <w:rPr>
                <w:b w:val="false"/>
                <w:bCs w:val="false"/>
                <w:sz w:val="20"/>
                <w:szCs w:val="20"/>
              </w:rPr>
              <w:t xml:space="preserve">Float, Integer</w:t>
            </w:r>
          </w:p>
        </w:tc>
        <w:tc>
          <w:tcPr>
            <w:tcW w:type="dxa" w:w="4900"/>
            <w:tcMar>
              <w:top w:type="dxa" w:w="80"/>
              <w:left w:type="dxa" w:w="100"/>
              <w:bottom w:type="dxa" w:w="80"/>
              <w:right w:type="dxa" w:w="100"/>
            </w:tcMar>
          </w:tcPr>
          <w:p>
            <w:r>
              <w:rPr>
                <w:b w:val="false"/>
                <w:bCs w:val="false"/>
                <w:sz w:val="20"/>
                <w:szCs w:val="20"/>
              </w:rPr>
              <w:t xml:space="preserve">User-supplied financial assumptions</w:t>
            </w:r>
          </w:p>
        </w:tc>
      </w:tr>
      <w:tr>
        <w:tc>
          <w:tcPr>
            <w:tcW w:type="dxa" w:w="3000"/>
            <w:shd w:fill="F4F6F5" w:val="clear"/>
            <w:tcMar>
              <w:top w:type="dxa" w:w="80"/>
              <w:left w:type="dxa" w:w="100"/>
              <w:bottom w:type="dxa" w:w="80"/>
              <w:right w:type="dxa" w:w="100"/>
            </w:tcMar>
          </w:tcPr>
          <w:p>
            <w:r>
              <w:rPr>
                <w:b w:val="false"/>
                <w:bCs w:val="false"/>
                <w:sz w:val="20"/>
                <w:szCs w:val="20"/>
              </w:rPr>
              <w:t xml:space="preserve">electricity_price_usd_per_mwh</w:t>
            </w:r>
          </w:p>
        </w:tc>
        <w:tc>
          <w:tcPr>
            <w:tcW w:type="dxa" w:w="1500"/>
            <w:shd w:fill="F4F6F5" w:val="clear"/>
            <w:tcMar>
              <w:top w:type="dxa" w:w="80"/>
              <w:left w:type="dxa" w:w="100"/>
              <w:bottom w:type="dxa" w:w="80"/>
              <w:right w:type="dxa" w:w="100"/>
            </w:tcMar>
          </w:tcPr>
          <w:p>
            <w:r>
              <w:rPr>
                <w:b w:val="false"/>
                <w:bCs w:val="false"/>
                <w:sz w:val="20"/>
                <w:szCs w:val="20"/>
              </w:rPr>
              <w:t xml:space="preserve">Float</w:t>
            </w:r>
          </w:p>
        </w:tc>
        <w:tc>
          <w:tcPr>
            <w:tcW w:type="dxa" w:w="4900"/>
            <w:shd w:fill="F4F6F5" w:val="clear"/>
            <w:tcMar>
              <w:top w:type="dxa" w:w="80"/>
              <w:left w:type="dxa" w:w="100"/>
              <w:bottom w:type="dxa" w:w="80"/>
              <w:right w:type="dxa" w:w="100"/>
            </w:tcMar>
          </w:tcPr>
          <w:p>
            <w:r>
              <w:rPr>
                <w:b w:val="false"/>
                <w:bCs w:val="false"/>
                <w:sz w:val="20"/>
                <w:szCs w:val="20"/>
              </w:rPr>
              <w:t xml:space="preserve">User-supplied tariff assumption</w:t>
            </w:r>
          </w:p>
        </w:tc>
      </w:tr>
      <w:tr>
        <w:tc>
          <w:tcPr>
            <w:tcW w:type="dxa" w:w="3000"/>
            <w:tcMar>
              <w:top w:type="dxa" w:w="80"/>
              <w:left w:type="dxa" w:w="100"/>
              <w:bottom w:type="dxa" w:w="80"/>
              <w:right w:type="dxa" w:w="100"/>
            </w:tcMar>
          </w:tcPr>
          <w:p>
            <w:r>
              <w:rPr>
                <w:b w:val="false"/>
                <w:bCs w:val="false"/>
                <w:sz w:val="20"/>
                <w:szCs w:val="20"/>
              </w:rPr>
              <w:t xml:space="preserve">npv_usd, irr_pct, lcoe_usd_per_mwh, payback_years</w:t>
            </w:r>
          </w:p>
        </w:tc>
        <w:tc>
          <w:tcPr>
            <w:tcW w:type="dxa" w:w="1500"/>
            <w:tcMar>
              <w:top w:type="dxa" w:w="80"/>
              <w:left w:type="dxa" w:w="100"/>
              <w:bottom w:type="dxa" w:w="80"/>
              <w:right w:type="dxa" w:w="100"/>
            </w:tcMar>
          </w:tcPr>
          <w:p>
            <w:r>
              <w:rPr>
                <w:b w:val="false"/>
                <w:bCs w:val="false"/>
                <w:sz w:val="20"/>
                <w:szCs w:val="20"/>
              </w:rPr>
              <w:t xml:space="preserve">Float</w:t>
            </w:r>
          </w:p>
        </w:tc>
        <w:tc>
          <w:tcPr>
            <w:tcW w:type="dxa" w:w="4900"/>
            <w:tcMar>
              <w:top w:type="dxa" w:w="80"/>
              <w:left w:type="dxa" w:w="100"/>
              <w:bottom w:type="dxa" w:w="80"/>
              <w:right w:type="dxa" w:w="100"/>
            </w:tcMar>
          </w:tcPr>
          <w:p>
            <w:r>
              <w:rPr>
                <w:b w:val="false"/>
                <w:bCs w:val="false"/>
                <w:sz w:val="20"/>
                <w:szCs w:val="20"/>
              </w:rPr>
              <w:t xml:space="preserve">Computed outputs (Section 8.4)</w:t>
            </w:r>
          </w:p>
        </w:tc>
      </w:tr>
    </w:tbl>
    <w:p>
      <w:pPr>
        <w:pStyle w:val="Heading1"/>
        <w:spacing w:after="160" w:before="320"/>
      </w:pPr>
      <w:r>
        <w:t xml:space="preserve">8. How the Data Is Used to Predict (Calculation Approach)</w:t>
      </w:r>
    </w:p>
    <w:p>
      <w:pPr>
        <w:spacing w:after="140"/>
      </w:pPr>
      <w:r>
        <w:t xml:space="preserve">The current build uses transparent, physics-based formulas rather than a trained ML model for the first prediction pass. This is intentional: it's explainable to a non-technical stakeholder, works with limited historical data, and gives a clean baseline that a trained model can later replace one function at a time without changing the rest of the pipeline.</w:t>
      </w:r>
    </w:p>
    <w:p>
      <w:pPr>
        <w:pStyle w:val="Heading2"/>
        <w:spacing w:after="120" w:before="260"/>
      </w:pPr>
      <w:r>
        <w:t xml:space="preserve">8.1 Solar Potential</w:t>
      </w:r>
    </w:p>
    <w:p>
      <w:pPr>
        <w:pStyle w:val="ListParagraph"/>
        <w:numPr>
          <w:ilvl w:val="0"/>
          <w:numId w:val="2"/>
        </w:numPr>
        <w:spacing w:after="60"/>
      </w:pPr>
      <w:r>
        <w:t xml:space="preserve">Average daily irradiance and temperature are computed from stored Weather_Readings.</w:t>
      </w:r>
    </w:p>
    <w:p>
      <w:pPr>
        <w:pStyle w:val="ListParagraph"/>
        <w:numPr>
          <w:ilvl w:val="0"/>
          <w:numId w:val="2"/>
        </w:numPr>
        <w:spacing w:after="60"/>
      </w:pPr>
      <w:r>
        <w:t xml:space="preserve">Cell temperature is estimated from ambient temperature and irradiance using the standard NOCT (Nominal Operating Cell Temperature) model, with NOCT = 45°C.</w:t>
      </w:r>
    </w:p>
    <w:p>
      <w:pPr>
        <w:pStyle w:val="ListParagraph"/>
        <w:numPr>
          <w:ilvl w:val="0"/>
          <w:numId w:val="2"/>
        </w:numPr>
        <w:spacing w:after="60"/>
      </w:pPr>
      <w:r>
        <w:t xml:space="preserve">Panel efficiency is de-rated from a 20% STC (Standard Test Condition) baseline using a typical silicon temperature coefficient of −0.35% per °C above 25°C.</w:t>
      </w:r>
    </w:p>
    <w:p>
      <w:pPr>
        <w:pStyle w:val="ListParagraph"/>
        <w:numPr>
          <w:ilvl w:val="0"/>
          <w:numId w:val="2"/>
        </w:numPr>
        <w:spacing w:after="60"/>
      </w:pPr>
      <w:r>
        <w:t xml:space="preserve">Shading loss is estimated from land slope — 0% slope gives roughly a 1% inherent loss (row self-shading); loss scales up to 20% at high slope, as a proxy for horizon obstruction.</w:t>
      </w:r>
    </w:p>
    <w:p>
      <w:pPr>
        <w:pStyle w:val="ListParagraph"/>
        <w:numPr>
          <w:ilvl w:val="0"/>
          <w:numId w:val="2"/>
        </w:numPr>
        <w:spacing w:after="60"/>
      </w:pPr>
      <w:r>
        <w:t xml:space="preserve">Performance ratio combines temperature de-rating, shading loss, and a cloud/soiling penalty, clamped to a realistic 40–88% band.</w:t>
      </w:r>
    </w:p>
    <w:p>
      <w:pPr>
        <w:pStyle w:val="ListParagraph"/>
        <w:numPr>
          <w:ilvl w:val="0"/>
          <w:numId w:val="2"/>
        </w:numPr>
        <w:spacing w:after="60"/>
      </w:pPr>
      <w:r>
        <w:t xml:space="preserve">Expected annual energy output uses a PVWatts-style formula: annual irradiance × performance ratio, per installed MWp.</w:t>
      </w:r>
    </w:p>
    <w:p>
      <w:pPr>
        <w:pStyle w:val="ListParagraph"/>
        <w:numPr>
          <w:ilvl w:val="0"/>
          <w:numId w:val="2"/>
        </w:numPr>
        <w:spacing w:after="60"/>
      </w:pPr>
      <w:r>
        <w:t xml:space="preserve">Capacity factor = expected output ÷ (8,760 hours/year), capped at 35%.</w:t>
      </w:r>
    </w:p>
    <w:p>
      <w:pPr>
        <w:pStyle w:val="Heading2"/>
        <w:spacing w:after="120" w:before="260"/>
      </w:pPr>
      <w:r>
        <w:t xml:space="preserve">8.2 Wind Potential</w:t>
      </w:r>
    </w:p>
    <w:p>
      <w:pPr>
        <w:pStyle w:val="ListParagraph"/>
        <w:numPr>
          <w:ilvl w:val="0"/>
          <w:numId w:val="2"/>
        </w:numPr>
        <w:spacing w:after="60"/>
      </w:pPr>
      <w:r>
        <w:t xml:space="preserve">50m wind readings are extrapolated to an 80m hub height using the standard wind-shear power law, with a Hellmann exponent of 1/7 (open terrain).</w:t>
      </w:r>
    </w:p>
    <w:p>
      <w:pPr>
        <w:pStyle w:val="ListParagraph"/>
        <w:numPr>
          <w:ilvl w:val="0"/>
          <w:numId w:val="2"/>
        </w:numPr>
        <w:spacing w:after="60"/>
      </w:pPr>
      <w:r>
        <w:t xml:space="preserve">Air density is adjusted for site elevation using the barometric formula.</w:t>
      </w:r>
    </w:p>
    <w:p>
      <w:pPr>
        <w:pStyle w:val="ListParagraph"/>
        <w:numPr>
          <w:ilvl w:val="0"/>
          <w:numId w:val="2"/>
        </w:numPr>
        <w:spacing w:after="60"/>
      </w:pPr>
      <w:r>
        <w:t xml:space="preserve">Wind power density = ½ × air density × (hub-height wind speed)³.</w:t>
      </w:r>
    </w:p>
    <w:p>
      <w:pPr>
        <w:pStyle w:val="ListParagraph"/>
        <w:numPr>
          <w:ilvl w:val="0"/>
          <w:numId w:val="2"/>
        </w:numPr>
        <w:spacing w:after="60"/>
      </w:pPr>
      <w:r>
        <w:t xml:space="preserve">Turbulence intensity = standard deviation ÷ mean of hub-height wind speeds, across the lookback window.</w:t>
      </w:r>
    </w:p>
    <w:p>
      <w:pPr>
        <w:pStyle w:val="ListParagraph"/>
        <w:numPr>
          <w:ilvl w:val="0"/>
          <w:numId w:val="2"/>
        </w:numPr>
        <w:spacing w:after="60"/>
      </w:pPr>
      <w:r>
        <w:t xml:space="preserve">Turbine class is assigned using IEC 61400-1 wind-speed bands (Class I–IV).</w:t>
      </w:r>
    </w:p>
    <w:p>
      <w:pPr>
        <w:pStyle w:val="ListParagraph"/>
        <w:numPr>
          <w:ilvl w:val="0"/>
          <w:numId w:val="2"/>
        </w:numPr>
        <w:spacing w:after="60"/>
      </w:pPr>
      <w:r>
        <w:t xml:space="preserve">Capacity factor uses a Rayleigh-distribution approximation (a standard first-pass estimate before a manufacturer power curve is available), clamped to a 5–55% realistic band.</w:t>
      </w:r>
    </w:p>
    <w:p>
      <w:pPr>
        <w:pStyle w:val="ListParagraph"/>
        <w:numPr>
          <w:ilvl w:val="0"/>
          <w:numId w:val="2"/>
        </w:numPr>
        <w:spacing w:after="60"/>
      </w:pPr>
      <w:r>
        <w:t xml:space="preserve">Expected annual energy production (AEP) = capacity factor × 8,760 hours, per installed MW.</w:t>
      </w:r>
    </w:p>
    <w:p>
      <w:pPr>
        <w:pStyle w:val="Heading2"/>
        <w:spacing w:after="120" w:before="260"/>
      </w:pPr>
      <w:r>
        <w:t xml:space="preserve">8.3 Overall Site Suitability Score</w:t>
      </w:r>
    </w:p>
    <w:p>
      <w:pPr>
        <w:spacing w:after="140"/>
      </w:pPr>
      <w:r>
        <w:t xml:space="preserve">A weighted formula combines five sub-scores, each normalized 0–100: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700"/>
      </w:tblGrid>
      <w:tr>
        <w:trPr>
          <w:tblHeader/>
        </w:trPr>
        <w:tc>
          <w:tcPr>
            <w:tcW w:type="dxa" w:w="2500"/>
            <w:shd w:fill="1e6f4c" w:val="clear"/>
            <w:tcMar>
              <w:top w:type="dxa" w:w="80"/>
              <w:left w:type="dxa" w:w="100"/>
              <w:bottom w:type="dxa" w:w="80"/>
              <w:right w:type="dxa" w:w="100"/>
            </w:tcMar>
          </w:tcPr>
          <w:p>
            <w:r>
              <w:rPr>
                <w:b/>
                <w:bCs/>
                <w:color w:val="FFFFFF"/>
                <w:sz w:val="20"/>
                <w:szCs w:val="20"/>
              </w:rPr>
              <w:t xml:space="preserve">Sub-Score</w:t>
            </w:r>
          </w:p>
        </w:tc>
        <w:tc>
          <w:tcPr>
            <w:tcW w:type="dxa" w:w="1200"/>
            <w:shd w:fill="1e6f4c" w:val="clear"/>
            <w:tcMar>
              <w:top w:type="dxa" w:w="80"/>
              <w:left w:type="dxa" w:w="100"/>
              <w:bottom w:type="dxa" w:w="80"/>
              <w:right w:type="dxa" w:w="100"/>
            </w:tcMar>
          </w:tcPr>
          <w:p>
            <w:r>
              <w:rPr>
                <w:b/>
                <w:bCs/>
                <w:color w:val="FFFFFF"/>
                <w:sz w:val="20"/>
                <w:szCs w:val="20"/>
              </w:rPr>
              <w:t xml:space="preserve">Weight</w:t>
            </w:r>
          </w:p>
        </w:tc>
        <w:tc>
          <w:tcPr>
            <w:tcW w:type="dxa" w:w="5700"/>
            <w:shd w:fill="1e6f4c" w:val="clear"/>
            <w:tcMar>
              <w:top w:type="dxa" w:w="80"/>
              <w:left w:type="dxa" w:w="100"/>
              <w:bottom w:type="dxa" w:w="80"/>
              <w:right w:type="dxa" w:w="100"/>
            </w:tcMar>
          </w:tcPr>
          <w:p>
            <w:r>
              <w:rPr>
                <w:b/>
                <w:bCs/>
                <w:color w:val="FFFFFF"/>
                <w:sz w:val="20"/>
                <w:szCs w:val="20"/>
              </w:rPr>
              <w:t xml:space="preserve">How It's Calculated</w:t>
            </w:r>
          </w:p>
        </w:tc>
      </w:tr>
      <w:tr>
        <w:tc>
          <w:tcPr>
            <w:tcW w:type="dxa" w:w="2500"/>
            <w:tcMar>
              <w:top w:type="dxa" w:w="80"/>
              <w:left w:type="dxa" w:w="100"/>
              <w:bottom w:type="dxa" w:w="80"/>
              <w:right w:type="dxa" w:w="100"/>
            </w:tcMar>
          </w:tcPr>
          <w:p>
            <w:r>
              <w:rPr>
                <w:b w:val="false"/>
                <w:bCs w:val="false"/>
                <w:sz w:val="20"/>
                <w:szCs w:val="20"/>
              </w:rPr>
              <w:t xml:space="preserve">Renewable Resource Availability</w:t>
            </w:r>
          </w:p>
        </w:tc>
        <w:tc>
          <w:tcPr>
            <w:tcW w:type="dxa" w:w="1200"/>
            <w:tcMar>
              <w:top w:type="dxa" w:w="80"/>
              <w:left w:type="dxa" w:w="100"/>
              <w:bottom w:type="dxa" w:w="80"/>
              <w:right w:type="dxa" w:w="100"/>
            </w:tcMar>
          </w:tcPr>
          <w:p>
            <w:r>
              <w:rPr>
                <w:b w:val="false"/>
                <w:bCs w:val="false"/>
                <w:sz w:val="20"/>
                <w:szCs w:val="20"/>
              </w:rPr>
              <w:t xml:space="preserve">35%</w:t>
            </w:r>
          </w:p>
        </w:tc>
        <w:tc>
          <w:tcPr>
            <w:tcW w:type="dxa" w:w="5700"/>
            <w:tcMar>
              <w:top w:type="dxa" w:w="80"/>
              <w:left w:type="dxa" w:w="100"/>
              <w:bottom w:type="dxa" w:w="80"/>
              <w:right w:type="dxa" w:w="100"/>
            </w:tcMar>
          </w:tcPr>
          <w:p>
            <w:r>
              <w:rPr>
                <w:b w:val="false"/>
                <w:bCs w:val="false"/>
                <w:sz w:val="20"/>
                <w:szCs w:val="20"/>
              </w:rPr>
              <w:t xml:space="preserve">Average solar irradiance and hub-height wind speed, each normalized against a strong-resource benchmark (6.5 kWh/m²/day, 7.5 m/s)</w:t>
            </w:r>
          </w:p>
        </w:tc>
      </w:tr>
      <w:tr>
        <w:tc>
          <w:tcPr>
            <w:tcW w:type="dxa" w:w="2500"/>
            <w:shd w:fill="F4F6F5" w:val="clear"/>
            <w:tcMar>
              <w:top w:type="dxa" w:w="80"/>
              <w:left w:type="dxa" w:w="100"/>
              <w:bottom w:type="dxa" w:w="80"/>
              <w:right w:type="dxa" w:w="100"/>
            </w:tcMar>
          </w:tcPr>
          <w:p>
            <w:r>
              <w:rPr>
                <w:b w:val="false"/>
                <w:bCs w:val="false"/>
                <w:sz w:val="20"/>
                <w:szCs w:val="20"/>
              </w:rPr>
              <w:t xml:space="preserve">Geographic Suitability</w:t>
            </w:r>
          </w:p>
        </w:tc>
        <w:tc>
          <w:tcPr>
            <w:tcW w:type="dxa" w:w="1200"/>
            <w:shd w:fill="F4F6F5" w:val="clear"/>
            <w:tcMar>
              <w:top w:type="dxa" w:w="80"/>
              <w:left w:type="dxa" w:w="100"/>
              <w:bottom w:type="dxa" w:w="80"/>
              <w:right w:type="dxa" w:w="100"/>
            </w:tcMar>
          </w:tcPr>
          <w:p>
            <w:r>
              <w:rPr>
                <w:b w:val="false"/>
                <w:bCs w:val="false"/>
                <w:sz w:val="20"/>
                <w:szCs w:val="20"/>
              </w:rPr>
              <w:t xml:space="preserve">25%</w:t>
            </w:r>
          </w:p>
        </w:tc>
        <w:tc>
          <w:tcPr>
            <w:tcW w:type="dxa" w:w="5700"/>
            <w:shd w:fill="F4F6F5" w:val="clear"/>
            <w:tcMar>
              <w:top w:type="dxa" w:w="80"/>
              <w:left w:type="dxa" w:w="100"/>
              <w:bottom w:type="dxa" w:w="80"/>
              <w:right w:type="dxa" w:w="100"/>
            </w:tcMar>
          </w:tcPr>
          <w:p>
            <w:r>
              <w:rPr>
                <w:b w:val="false"/>
                <w:bCs w:val="false"/>
                <w:sz w:val="20"/>
                <w:szCs w:val="20"/>
              </w:rPr>
              <w:t xml:space="preserve">Continuous penalty of 4 points per 1% of land slope (reaching a 60-point cap at 15% slope), plus a flat 15-point penalty for elevation above 2,000m</w:t>
            </w:r>
          </w:p>
        </w:tc>
      </w:tr>
      <w:tr>
        <w:tc>
          <w:tcPr>
            <w:tcW w:type="dxa" w:w="2500"/>
            <w:tcMar>
              <w:top w:type="dxa" w:w="80"/>
              <w:left w:type="dxa" w:w="100"/>
              <w:bottom w:type="dxa" w:w="80"/>
              <w:right w:type="dxa" w:w="100"/>
            </w:tcMar>
          </w:tcPr>
          <w:p>
            <w:r>
              <w:rPr>
                <w:b w:val="false"/>
                <w:bCs w:val="false"/>
                <w:sz w:val="20"/>
                <w:szCs w:val="20"/>
              </w:rPr>
              <w:t xml:space="preserve">Infrastructure Accessibility</w:t>
            </w:r>
          </w:p>
        </w:tc>
        <w:tc>
          <w:tcPr>
            <w:tcW w:type="dxa" w:w="1200"/>
            <w:tcMar>
              <w:top w:type="dxa" w:w="80"/>
              <w:left w:type="dxa" w:w="100"/>
              <w:bottom w:type="dxa" w:w="80"/>
              <w:right w:type="dxa" w:w="100"/>
            </w:tcMar>
          </w:tcPr>
          <w:p>
            <w:r>
              <w:rPr>
                <w:b w:val="false"/>
                <w:bCs w:val="false"/>
                <w:sz w:val="20"/>
                <w:szCs w:val="20"/>
              </w:rPr>
              <w:t xml:space="preserve">15%</w:t>
            </w:r>
          </w:p>
        </w:tc>
        <w:tc>
          <w:tcPr>
            <w:tcW w:type="dxa" w:w="5700"/>
            <w:tcMar>
              <w:top w:type="dxa" w:w="80"/>
              <w:left w:type="dxa" w:w="100"/>
              <w:bottom w:type="dxa" w:w="80"/>
              <w:right w:type="dxa" w:w="100"/>
            </w:tcMar>
          </w:tcPr>
          <w:p>
            <w:r>
              <w:rPr>
                <w:b w:val="false"/>
                <w:bCs w:val="false"/>
                <w:sz w:val="20"/>
                <w:szCs w:val="20"/>
              </w:rPr>
              <w:t xml:space="preserve">Weighted distance to substation (50%), road (30%), and transmission line (20%); 0km = 100, 20km+ = 0 for each</w:t>
            </w:r>
          </w:p>
        </w:tc>
      </w:tr>
      <w:tr>
        <w:tc>
          <w:tcPr>
            <w:tcW w:type="dxa" w:w="2500"/>
            <w:shd w:fill="F4F6F5" w:val="clear"/>
            <w:tcMar>
              <w:top w:type="dxa" w:w="80"/>
              <w:left w:type="dxa" w:w="100"/>
              <w:bottom w:type="dxa" w:w="80"/>
              <w:right w:type="dxa" w:w="100"/>
            </w:tcMar>
          </w:tcPr>
          <w:p>
            <w:r>
              <w:rPr>
                <w:b w:val="false"/>
                <w:bCs w:val="false"/>
                <w:sz w:val="20"/>
                <w:szCs w:val="20"/>
              </w:rPr>
              <w:t xml:space="preserve">Environmental Impact</w:t>
            </w:r>
          </w:p>
        </w:tc>
        <w:tc>
          <w:tcPr>
            <w:tcW w:type="dxa" w:w="1200"/>
            <w:shd w:fill="F4F6F5" w:val="clear"/>
            <w:tcMar>
              <w:top w:type="dxa" w:w="80"/>
              <w:left w:type="dxa" w:w="100"/>
              <w:bottom w:type="dxa" w:w="80"/>
              <w:right w:type="dxa" w:w="100"/>
            </w:tcMar>
          </w:tcPr>
          <w:p>
            <w:r>
              <w:rPr>
                <w:b w:val="false"/>
                <w:bCs w:val="false"/>
                <w:sz w:val="20"/>
                <w:szCs w:val="20"/>
              </w:rPr>
              <w:t xml:space="preserve">15%</w:t>
            </w:r>
          </w:p>
        </w:tc>
        <w:tc>
          <w:tcPr>
            <w:tcW w:type="dxa" w:w="5700"/>
            <w:shd w:fill="F4F6F5" w:val="clear"/>
            <w:tcMar>
              <w:top w:type="dxa" w:w="80"/>
              <w:left w:type="dxa" w:w="100"/>
              <w:bottom w:type="dxa" w:w="80"/>
              <w:right w:type="dxa" w:w="100"/>
            </w:tcMar>
          </w:tcPr>
          <w:p>
            <w:r>
              <w:rPr>
                <w:b w:val="false"/>
                <w:bCs w:val="false"/>
                <w:sz w:val="20"/>
                <w:szCs w:val="20"/>
              </w:rPr>
              <w:t xml:space="preserve">Penalizes proximity to protected areas (scaling penalty inside 10km, steepest inside 2km), water bodies (flat penalty under 500m), and agricultural land nearby (flat penalty, added in this revision)</w:t>
            </w:r>
          </w:p>
        </w:tc>
      </w:tr>
      <w:tr>
        <w:tc>
          <w:tcPr>
            <w:tcW w:type="dxa" w:w="2500"/>
            <w:tcMar>
              <w:top w:type="dxa" w:w="80"/>
              <w:left w:type="dxa" w:w="100"/>
              <w:bottom w:type="dxa" w:w="80"/>
              <w:right w:type="dxa" w:w="100"/>
            </w:tcMar>
          </w:tcPr>
          <w:p>
            <w:r>
              <w:rPr>
                <w:b w:val="false"/>
                <w:bCs w:val="false"/>
                <w:sz w:val="20"/>
                <w:szCs w:val="20"/>
              </w:rPr>
              <w:t xml:space="preserve">Economic Feasibility</w:t>
            </w:r>
          </w:p>
        </w:tc>
        <w:tc>
          <w:tcPr>
            <w:tcW w:type="dxa" w:w="1200"/>
            <w:tcMar>
              <w:top w:type="dxa" w:w="80"/>
              <w:left w:type="dxa" w:w="100"/>
              <w:bottom w:type="dxa" w:w="80"/>
              <w:right w:type="dxa" w:w="100"/>
            </w:tcMar>
          </w:tcPr>
          <w:p>
            <w:r>
              <w:rPr>
                <w:b w:val="false"/>
                <w:bCs w:val="false"/>
                <w:sz w:val="20"/>
                <w:szCs w:val="20"/>
              </w:rPr>
              <w:t xml:space="preserve">10%</w:t>
            </w:r>
          </w:p>
        </w:tc>
        <w:tc>
          <w:tcPr>
            <w:tcW w:type="dxa" w:w="5700"/>
            <w:tcMar>
              <w:top w:type="dxa" w:w="80"/>
              <w:left w:type="dxa" w:w="100"/>
              <w:bottom w:type="dxa" w:w="80"/>
              <w:right w:type="dxa" w:w="100"/>
            </w:tcMar>
          </w:tcPr>
          <w:p>
            <w:r>
              <w:rPr>
                <w:b w:val="false"/>
                <w:bCs w:val="false"/>
                <w:sz w:val="20"/>
                <w:szCs w:val="20"/>
              </w:rPr>
              <w:t xml:space="preserve">Derived from IRR and LCOE once a financial analysis has been run for the site; falls back to the infrastructure-proximity score beforehand</w:t>
            </w:r>
          </w:p>
        </w:tc>
      </w:tr>
    </w:tbl>
    <w:p>
      <w:pPr>
        <w:spacing w:after="140"/>
      </w:pPr>
      <w:r>
        <w:t xml:space="preserve">The five weighted sub-scores sum to the Overall Deployment Score, which is mapped to a category: Excellent (≥85), Highly Suitable (≥70), Moderately Suitable (≥55), Low Suitability (≥35), or Unsuitable (below 35). Because each sub-score is a simple, auditable rule against stored columns — not a black box — any of the scoring functions can be swapped for a trained model later without touching the weighting logic.</w:t>
      </w:r>
    </w:p>
    <w:p>
      <w:pPr>
        <w:pStyle w:val="Heading2"/>
        <w:spacing w:after="120" w:before="260"/>
      </w:pPr>
      <w:r>
        <w:t xml:space="preserve">8.4 Investment Analytics (Financial Modeling)</w:t>
      </w:r>
    </w:p>
    <w:p>
      <w:pPr>
        <w:pStyle w:val="ListParagraph"/>
        <w:numPr>
          <w:ilvl w:val="0"/>
          <w:numId w:val="2"/>
        </w:numPr>
        <w:spacing w:after="60"/>
      </w:pPr>
      <w:r>
        <w:t xml:space="preserve">Net Present Value (NPV): standard discounted cash flow — initial CapEx as a negative cash flow at year 0, followed by annual net cash flow (energy revenue minus OpEx) for each year of the project lifetime, each discounted by the user-supplied discount rate.</w:t>
      </w:r>
    </w:p>
    <w:p>
      <w:pPr>
        <w:pStyle w:val="ListParagraph"/>
        <w:numPr>
          <w:ilvl w:val="0"/>
          <w:numId w:val="2"/>
        </w:numPr>
        <w:spacing w:after="60"/>
      </w:pPr>
      <w:r>
        <w:t xml:space="preserve">Internal Rate of Return (IRR): the discount rate at which NPV equals zero, solved numerically from the cash flow series.</w:t>
      </w:r>
    </w:p>
    <w:p>
      <w:pPr>
        <w:pStyle w:val="ListParagraph"/>
        <w:numPr>
          <w:ilvl w:val="0"/>
          <w:numId w:val="2"/>
        </w:numPr>
        <w:spacing w:after="60"/>
      </w:pPr>
      <w:r>
        <w:t xml:space="preserve">Levelized Cost of Energy (LCOE): total lifetime cost (CapEx plus total OpEx over the project lifetime) divided by total lifetime energy output.</w:t>
      </w:r>
    </w:p>
    <w:p>
      <w:pPr>
        <w:pStyle w:val="ListParagraph"/>
        <w:numPr>
          <w:ilvl w:val="0"/>
          <w:numId w:val="2"/>
        </w:numPr>
        <w:spacing w:after="60"/>
      </w:pPr>
      <w:r>
        <w:t xml:space="preserve">Payback period: the year at which cumulative net cash flow first turns positive, interpolated to a fractional year.</w:t>
      </w:r>
    </w:p>
    <w:p>
      <w:pPr>
        <w:pStyle w:val="Heading1"/>
        <w:spacing w:after="160" w:before="320"/>
      </w:pPr>
      <w:r>
        <w:t xml:space="preserve">9. Recommended Dataset</w:t>
      </w:r>
    </w:p>
    <w:p>
      <w:pPr>
        <w:spacing w:after="140"/>
      </w:pPr>
      <w:r>
        <w:t xml:space="preserve">Your mentor's note that no single suitable dataset was found is a completely normal outcome — no public dataset covers solar, wind, terrain, infrastructure, and land cover all at once. Even large commercial renewable-siting platforms combine several sources, the same way this project's architecture already does. But if the goal is one primary dataset to anchor the project on — the one thing to point to when someone asks “where does your data come from?” — the strongest choice, and the one this platform is already built around, is:</w:t>
      </w:r>
    </w:p>
    <w:p>
      <w:pPr>
        <w:spacing w:after="160" w:before="120"/>
      </w:pPr>
      <w:r>
        <w:rPr>
          <w:b/>
          <w:bCs/>
          <w:color w:val="1e6f4c"/>
          <w:sz w:val="26"/>
          <w:szCs w:val="26"/>
        </w:rPr>
        <w:t xml:space="preserve">NASA POWER (Prediction Of Worldwide Energy Resources)</w:t>
      </w:r>
    </w:p>
    <w:p>
      <w:pPr>
        <w:pStyle w:val="ListParagraph"/>
        <w:numPr>
          <w:ilvl w:val="0"/>
          <w:numId w:val="2"/>
        </w:numPr>
        <w:spacing w:after="60"/>
      </w:pPr>
      <w:r>
        <w:t xml:space="preserve">Covers both solar AND wind in one dataset: solar irradiance, wind speed at multiple heights, temperature, rainfall, and cloud cover — exactly the six variables this project's Environmental Factors list asks for.</w:t>
      </w:r>
    </w:p>
    <w:p>
      <w:pPr>
        <w:pStyle w:val="ListParagraph"/>
        <w:numPr>
          <w:ilvl w:val="0"/>
          <w:numId w:val="2"/>
        </w:numPr>
        <w:spacing w:after="60"/>
      </w:pPr>
      <w:r>
        <w:t xml:space="preserve">Global coverage, daily resolution, with records going back decades — enough history to compute meaningful annual averages for any site on Earth.</w:t>
      </w:r>
    </w:p>
    <w:p>
      <w:pPr>
        <w:pStyle w:val="ListParagraph"/>
        <w:numPr>
          <w:ilvl w:val="0"/>
          <w:numId w:val="2"/>
        </w:numPr>
        <w:spacing w:after="60"/>
      </w:pPr>
      <w:r>
        <w:t xml:space="preserve">Purpose-built for renewable energy: the “RE” (Renewable Energy) community parameter set was designed specifically for solar/wind resource assessment, not adapted from general climate data.</w:t>
      </w:r>
    </w:p>
    <w:p>
      <w:pPr>
        <w:pStyle w:val="ListParagraph"/>
        <w:numPr>
          <w:ilvl w:val="0"/>
          <w:numId w:val="2"/>
        </w:numPr>
        <w:spacing w:after="60"/>
      </w:pPr>
      <w:r>
        <w:t xml:space="preserve">Free, no API key, no meaningful rate-limit wall for this project's usage pattern — removes the single biggest blocker (“couldn't find/access a dataset”) since there's nothing to register for.</w:t>
      </w:r>
    </w:p>
    <w:p>
      <w:pPr>
        <w:pStyle w:val="ListParagraph"/>
        <w:numPr>
          <w:ilvl w:val="0"/>
          <w:numId w:val="2"/>
        </w:numPr>
        <w:spacing w:after="60"/>
      </w:pPr>
      <w:r>
        <w:t xml:space="preserve">Already the dataset this codebase is built around and verified against in this document — recommending it isn't a new integration, it's documenting what's already working.</w:t>
      </w:r>
    </w:p>
    <w:p>
      <w:pPr>
        <w:pStyle w:val="Heading3"/>
        <w:spacing w:after="100" w:before="200"/>
      </w:pPr>
      <w:r>
        <w:t xml:space="preserve">Recommended layering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800"/>
      </w:tblGrid>
      <w:tr>
        <w:trPr>
          <w:tblHeader/>
        </w:trPr>
        <w:tc>
          <w:tcPr>
            <w:tcW w:type="dxa" w:w="1600"/>
            <w:shd w:fill="1e6f4c" w:val="clear"/>
            <w:tcMar>
              <w:top w:type="dxa" w:w="80"/>
              <w:left w:type="dxa" w:w="100"/>
              <w:bottom w:type="dxa" w:w="80"/>
              <w:right w:type="dxa" w:w="100"/>
            </w:tcMar>
          </w:tcPr>
          <w:p>
            <w:r>
              <w:rPr>
                <w:b/>
                <w:bCs/>
                <w:color w:val="FFFFFF"/>
                <w:sz w:val="20"/>
                <w:szCs w:val="20"/>
              </w:rPr>
              <w:t xml:space="preserve">Priority</w:t>
            </w:r>
          </w:p>
        </w:tc>
        <w:tc>
          <w:tcPr>
            <w:tcW w:type="dxa" w:w="3000"/>
            <w:shd w:fill="1e6f4c" w:val="clear"/>
            <w:tcMar>
              <w:top w:type="dxa" w:w="80"/>
              <w:left w:type="dxa" w:w="100"/>
              <w:bottom w:type="dxa" w:w="80"/>
              <w:right w:type="dxa" w:w="100"/>
            </w:tcMar>
          </w:tcPr>
          <w:p>
            <w:r>
              <w:rPr>
                <w:b/>
                <w:bCs/>
                <w:color w:val="FFFFFF"/>
                <w:sz w:val="20"/>
                <w:szCs w:val="20"/>
              </w:rPr>
              <w:t xml:space="preserve">Dataset</w:t>
            </w:r>
          </w:p>
        </w:tc>
        <w:tc>
          <w:tcPr>
            <w:tcW w:type="dxa" w:w="4800"/>
            <w:shd w:fill="1e6f4c" w:val="clear"/>
            <w:tcMar>
              <w:top w:type="dxa" w:w="80"/>
              <w:left w:type="dxa" w:w="100"/>
              <w:bottom w:type="dxa" w:w="80"/>
              <w:right w:type="dxa" w:w="100"/>
            </w:tcMar>
          </w:tcPr>
          <w:p>
            <w:r>
              <w:rPr>
                <w:b/>
                <w:bCs/>
                <w:color w:val="FFFFFF"/>
                <w:sz w:val="20"/>
                <w:szCs w:val="20"/>
              </w:rPr>
              <w:t xml:space="preserve">Adds</w:t>
            </w:r>
          </w:p>
        </w:tc>
      </w:tr>
      <w:tr>
        <w:tc>
          <w:tcPr>
            <w:tcW w:type="dxa" w:w="1600"/>
            <w:tcMar>
              <w:top w:type="dxa" w:w="80"/>
              <w:left w:type="dxa" w:w="100"/>
              <w:bottom w:type="dxa" w:w="80"/>
              <w:right w:type="dxa" w:w="100"/>
            </w:tcMar>
          </w:tcPr>
          <w:p>
            <w:r>
              <w:rPr>
                <w:b w:val="false"/>
                <w:bCs w:val="false"/>
                <w:sz w:val="20"/>
                <w:szCs w:val="20"/>
              </w:rPr>
              <w:t xml:space="preserve">1 (required)</w:t>
            </w:r>
          </w:p>
        </w:tc>
        <w:tc>
          <w:tcPr>
            <w:tcW w:type="dxa" w:w="3000"/>
            <w:tcMar>
              <w:top w:type="dxa" w:w="80"/>
              <w:left w:type="dxa" w:w="100"/>
              <w:bottom w:type="dxa" w:w="80"/>
              <w:right w:type="dxa" w:w="100"/>
            </w:tcMar>
          </w:tcPr>
          <w:p>
            <w:r>
              <w:rPr>
                <w:b w:val="false"/>
                <w:bCs w:val="false"/>
                <w:sz w:val="20"/>
                <w:szCs w:val="20"/>
              </w:rPr>
              <w:t xml:space="preserve">NASA POWER</w:t>
            </w:r>
          </w:p>
        </w:tc>
        <w:tc>
          <w:tcPr>
            <w:tcW w:type="dxa" w:w="4800"/>
            <w:tcMar>
              <w:top w:type="dxa" w:w="80"/>
              <w:left w:type="dxa" w:w="100"/>
              <w:bottom w:type="dxa" w:w="80"/>
              <w:right w:type="dxa" w:w="100"/>
            </w:tcMar>
          </w:tcPr>
          <w:p>
            <w:r>
              <w:rPr>
                <w:b w:val="false"/>
                <w:bCs w:val="false"/>
                <w:sz w:val="20"/>
                <w:szCs w:val="20"/>
              </w:rPr>
              <w:t xml:space="preserve">Solar + wind + climate — the Resource Availability score (35% weight) depends entirely on this</w:t>
            </w:r>
          </w:p>
        </w:tc>
      </w:tr>
      <w:tr>
        <w:tc>
          <w:tcPr>
            <w:tcW w:type="dxa" w:w="1600"/>
            <w:shd w:fill="F4F6F5" w:val="clear"/>
            <w:tcMar>
              <w:top w:type="dxa" w:w="80"/>
              <w:left w:type="dxa" w:w="100"/>
              <w:bottom w:type="dxa" w:w="80"/>
              <w:right w:type="dxa" w:w="100"/>
            </w:tcMar>
          </w:tcPr>
          <w:p>
            <w:r>
              <w:rPr>
                <w:b w:val="false"/>
                <w:bCs w:val="false"/>
                <w:sz w:val="20"/>
                <w:szCs w:val="20"/>
              </w:rPr>
              <w:t xml:space="preserve">2</w:t>
            </w:r>
          </w:p>
        </w:tc>
        <w:tc>
          <w:tcPr>
            <w:tcW w:type="dxa" w:w="3000"/>
            <w:shd w:fill="F4F6F5" w:val="clear"/>
            <w:tcMar>
              <w:top w:type="dxa" w:w="80"/>
              <w:left w:type="dxa" w:w="100"/>
              <w:bottom w:type="dxa" w:w="80"/>
              <w:right w:type="dxa" w:w="100"/>
            </w:tcMar>
          </w:tcPr>
          <w:p>
            <w:r>
              <w:rPr>
                <w:b w:val="false"/>
                <w:bCs w:val="false"/>
                <w:sz w:val="20"/>
                <w:szCs w:val="20"/>
              </w:rPr>
              <w:t xml:space="preserve">Open-Elevation (SRTM-derived)</w:t>
            </w:r>
          </w:p>
        </w:tc>
        <w:tc>
          <w:tcPr>
            <w:tcW w:type="dxa" w:w="4800"/>
            <w:shd w:fill="F4F6F5" w:val="clear"/>
            <w:tcMar>
              <w:top w:type="dxa" w:w="80"/>
              <w:left w:type="dxa" w:w="100"/>
              <w:bottom w:type="dxa" w:w="80"/>
              <w:right w:type="dxa" w:w="100"/>
            </w:tcMar>
          </w:tcPr>
          <w:p>
            <w:r>
              <w:rPr>
                <w:b w:val="false"/>
                <w:bCs w:val="false"/>
                <w:sz w:val="20"/>
                <w:szCs w:val="20"/>
              </w:rPr>
              <w:t xml:space="preserve">Elevation &amp; slope — feeds the Geographic Suitability score (25% weight)</w:t>
            </w:r>
          </w:p>
        </w:tc>
      </w:tr>
      <w:tr>
        <w:tc>
          <w:tcPr>
            <w:tcW w:type="dxa" w:w="1600"/>
            <w:tcMar>
              <w:top w:type="dxa" w:w="80"/>
              <w:left w:type="dxa" w:w="100"/>
              <w:bottom w:type="dxa" w:w="80"/>
              <w:right w:type="dxa" w:w="100"/>
            </w:tcMar>
          </w:tcPr>
          <w:p>
            <w:r>
              <w:rPr>
                <w:b w:val="false"/>
                <w:bCs w:val="false"/>
                <w:sz w:val="20"/>
                <w:szCs w:val="20"/>
              </w:rPr>
              <w:t xml:space="preserve">3</w:t>
            </w:r>
          </w:p>
        </w:tc>
        <w:tc>
          <w:tcPr>
            <w:tcW w:type="dxa" w:w="3000"/>
            <w:tcMar>
              <w:top w:type="dxa" w:w="80"/>
              <w:left w:type="dxa" w:w="100"/>
              <w:bottom w:type="dxa" w:w="80"/>
              <w:right w:type="dxa" w:w="100"/>
            </w:tcMar>
          </w:tcPr>
          <w:p>
            <w:r>
              <w:rPr>
                <w:b w:val="false"/>
                <w:bCs w:val="false"/>
                <w:sz w:val="20"/>
                <w:szCs w:val="20"/>
              </w:rPr>
              <w:t xml:space="preserve">OpenStreetMap (Overpass API)</w:t>
            </w:r>
          </w:p>
        </w:tc>
        <w:tc>
          <w:tcPr>
            <w:tcW w:type="dxa" w:w="4800"/>
            <w:tcMar>
              <w:top w:type="dxa" w:w="80"/>
              <w:left w:type="dxa" w:w="100"/>
              <w:bottom w:type="dxa" w:w="80"/>
              <w:right w:type="dxa" w:w="100"/>
            </w:tcMar>
          </w:tcPr>
          <w:p>
            <w:r>
              <w:rPr>
                <w:b w:val="false"/>
                <w:bCs w:val="false"/>
                <w:sz w:val="20"/>
                <w:szCs w:val="20"/>
              </w:rPr>
              <w:t xml:space="preserve">Roads, substations, transmission lines, protected areas, water bodies — feeds Infrastructure (15%) and Environmental Impact (15%)</w:t>
            </w:r>
          </w:p>
        </w:tc>
      </w:tr>
      <w:tr>
        <w:tc>
          <w:tcPr>
            <w:tcW w:type="dxa" w:w="1600"/>
            <w:shd w:fill="F4F6F5" w:val="clear"/>
            <w:tcMar>
              <w:top w:type="dxa" w:w="80"/>
              <w:left w:type="dxa" w:w="100"/>
              <w:bottom w:type="dxa" w:w="80"/>
              <w:right w:type="dxa" w:w="100"/>
            </w:tcMar>
          </w:tcPr>
          <w:p>
            <w:r>
              <w:rPr>
                <w:b w:val="false"/>
                <w:bCs w:val="false"/>
                <w:sz w:val="20"/>
                <w:szCs w:val="20"/>
              </w:rPr>
              <w:t xml:space="preserve">4 (optional)</w:t>
            </w:r>
          </w:p>
        </w:tc>
        <w:tc>
          <w:tcPr>
            <w:tcW w:type="dxa" w:w="3000"/>
            <w:shd w:fill="F4F6F5" w:val="clear"/>
            <w:tcMar>
              <w:top w:type="dxa" w:w="80"/>
              <w:left w:type="dxa" w:w="100"/>
              <w:bottom w:type="dxa" w:w="80"/>
              <w:right w:type="dxa" w:w="100"/>
            </w:tcMar>
          </w:tcPr>
          <w:p>
            <w:r>
              <w:rPr>
                <w:b w:val="false"/>
                <w:bCs w:val="false"/>
                <w:sz w:val="20"/>
                <w:szCs w:val="20"/>
              </w:rPr>
              <w:t xml:space="preserve">Copernicus Sentinel Hub</w:t>
            </w:r>
          </w:p>
        </w:tc>
        <w:tc>
          <w:tcPr>
            <w:tcW w:type="dxa" w:w="4800"/>
            <w:shd w:fill="F4F6F5" w:val="clear"/>
            <w:tcMar>
              <w:top w:type="dxa" w:w="80"/>
              <w:left w:type="dxa" w:w="100"/>
              <w:bottom w:type="dxa" w:w="80"/>
              <w:right w:type="dxa" w:w="100"/>
            </w:tcMar>
          </w:tcPr>
          <w:p>
            <w:r>
              <w:rPr>
                <w:b w:val="false"/>
                <w:bCs w:val="false"/>
                <w:sz w:val="20"/>
                <w:szCs w:val="20"/>
              </w:rPr>
              <w:t xml:space="preserve">Satellite imagery, NDVI, land cover — refines the Environmental Impact score further</w:t>
            </w:r>
          </w:p>
        </w:tc>
      </w:tr>
    </w:tbl>
    <w:p>
      <w:pPr>
        <w:spacing w:after="140"/>
      </w:pPr>
      <w:r>
        <w:t xml:space="preserve">This sequencing means the project is demonstrably functional — and scoreable end-to-end — after integrating just NASA POWER and one free elevation source, which is a realistic milestone target rather than waiting to find one dataset that does everything.</w:t>
      </w:r>
    </w:p>
    <w:p>
      <w:pPr>
        <w:pStyle w:val="Heading1"/>
        <w:spacing w:after="160" w:before="320"/>
      </w:pPr>
      <w:r>
        <w:t xml:space="preserve">10. Summary</w:t>
      </w:r>
    </w:p>
    <w:p>
      <w:pPr>
        <w:pStyle w:val="ListParagraph"/>
        <w:numPr>
          <w:ilvl w:val="0"/>
          <w:numId w:val="2"/>
        </w:numPr>
        <w:spacing w:after="60"/>
      </w:pPr>
      <w:r>
        <w:t xml:space="preserve">Workflow: register site → pull external data → cache + archive raw → store structured rows → compute solar/wind potential → compute weighted suitability score → surface on dashboards.</w:t>
      </w:r>
    </w:p>
    <w:p>
      <w:pPr>
        <w:pStyle w:val="ListParagraph"/>
        <w:numPr>
          <w:ilvl w:val="0"/>
          <w:numId w:val="2"/>
        </w:numPr>
        <w:spacing w:after="60"/>
      </w:pPr>
      <w:r>
        <w:t xml:space="preserve">Core data source: NASA POWER (solar + wind + climate), supplemented by a free elevation API and OpenStreetMap for terrain, infrastructure, and environmental constraints.</w:t>
      </w:r>
    </w:p>
    <w:p>
      <w:pPr>
        <w:pStyle w:val="ListParagraph"/>
        <w:numPr>
          <w:ilvl w:val="0"/>
          <w:numId w:val="2"/>
        </w:numPr>
        <w:spacing w:after="60"/>
      </w:pPr>
      <w:r>
        <w:t xml:space="preserve">Storage: PostgreSQL + PostGIS as the structured store, with raw API payloads archived separately (MongoDB + optional data lake) so nothing is lost to a parsing bug.</w:t>
      </w:r>
    </w:p>
    <w:p>
      <w:pPr>
        <w:pStyle w:val="ListParagraph"/>
        <w:numPr>
          <w:ilvl w:val="0"/>
          <w:numId w:val="2"/>
        </w:numPr>
        <w:spacing w:after="60"/>
      </w:pPr>
      <w:r>
        <w:t xml:space="preserve">Prediction: explainable physics formulas today (NOCT, PVWatts-style output, wind-shear extrapolation, Rayleigh capacity-factor approximation, IEC turbine classing), designed so any single formula can be replaced by a trained ML model later without changing the rest of the pipeline.</w:t>
      </w:r>
    </w:p>
    <w:p>
      <w:pPr>
        <w:pStyle w:val="ListParagraph"/>
        <w:numPr>
          <w:ilvl w:val="0"/>
          <w:numId w:val="2"/>
        </w:numPr>
        <w:spacing w:after="60"/>
      </w:pPr>
      <w:r>
        <w:t xml:space="preserve">Suitability score: a transparent 35/25/15/15/10 weighted formula across resource, geography, infrastructure, environment, and economics — now including an agricultural-land penalty that was previously collected but not scored.</w:t>
      </w:r>
    </w:p>
    <w:p>
      <w:pPr>
        <w:pStyle w:val="ListParagraph"/>
        <w:numPr>
          <w:ilvl w:val="0"/>
          <w:numId w:val="2"/>
        </w:numPr>
        <w:spacing w:after="60"/>
      </w:pPr>
      <w:r>
        <w:t xml:space="preserve">Two corrections from the earlier draft, applied in this revision: Global Wind Atlas was removed from the API list (not implemented, disproportionate effort for a cross-validation-only signal), and the role data table was rewritten to describe actual current behavior rather than a future aspirational design.</w:t>
      </w:r>
    </w:p>
    <w:p>
      <w:pPr>
        <w:pStyle w:val="Heading1"/>
        <w:spacing w:after="160" w:before="320"/>
      </w:pPr>
      <w:r>
        <w:t xml:space="preserve">11. Change Log — What Changed Since the Last Revision</w:t>
      </w:r>
    </w:p>
    <w:p>
      <w:pPr>
        <w:spacing w:after="140"/>
      </w:pPr>
      <w:r>
        <w:t xml:space="preserve">Logged here for traceability, separate from the Section 9/10 documentation corrections above, which were about fixing what this document claimed — these are changes to the running application itself.</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00"/>
      </w:tblGrid>
      <w:tr>
        <w:trPr>
          <w:tblHeader/>
        </w:trPr>
        <w:tc>
          <w:tcPr>
            <w:tcW w:type="dxa" w:w="2600"/>
            <w:shd w:fill="1e6f4c" w:val="clear"/>
            <w:tcMar>
              <w:top w:type="dxa" w:w="80"/>
              <w:left w:type="dxa" w:w="100"/>
              <w:bottom w:type="dxa" w:w="80"/>
              <w:right w:type="dxa" w:w="100"/>
            </w:tcMar>
          </w:tcPr>
          <w:p>
            <w:r>
              <w:rPr>
                <w:b/>
                <w:bCs/>
                <w:color w:val="FFFFFF"/>
                <w:sz w:val="20"/>
                <w:szCs w:val="20"/>
              </w:rPr>
              <w:t xml:space="preserve">Change</w:t>
            </w:r>
          </w:p>
        </w:tc>
        <w:tc>
          <w:tcPr>
            <w:tcW w:type="dxa" w:w="2600"/>
            <w:shd w:fill="1e6f4c" w:val="clear"/>
            <w:tcMar>
              <w:top w:type="dxa" w:w="80"/>
              <w:left w:type="dxa" w:w="100"/>
              <w:bottom w:type="dxa" w:w="80"/>
              <w:right w:type="dxa" w:w="100"/>
            </w:tcMar>
          </w:tcPr>
          <w:p>
            <w:r>
              <w:rPr>
                <w:b/>
                <w:bCs/>
                <w:color w:val="FFFFFF"/>
                <w:sz w:val="20"/>
                <w:szCs w:val="20"/>
              </w:rPr>
              <w:t xml:space="preserve">What It Affects</w:t>
            </w:r>
          </w:p>
        </w:tc>
        <w:tc>
          <w:tcPr>
            <w:tcW w:type="dxa" w:w="3600"/>
            <w:shd w:fill="1e6f4c" w:val="clear"/>
            <w:tcMar>
              <w:top w:type="dxa" w:w="80"/>
              <w:left w:type="dxa" w:w="100"/>
              <w:bottom w:type="dxa" w:w="80"/>
              <w:right w:type="dxa" w:w="100"/>
            </w:tcMar>
          </w:tcPr>
          <w:p>
            <w:r>
              <w:rPr>
                <w:b/>
                <w:bCs/>
                <w:color w:val="FFFFFF"/>
                <w:sz w:val="20"/>
                <w:szCs w:val="20"/>
              </w:rPr>
              <w:t xml:space="preserve">Why</w:t>
            </w:r>
          </w:p>
        </w:tc>
      </w:tr>
      <w:tr>
        <w:tc>
          <w:tcPr>
            <w:tcW w:type="dxa" w:w="2600"/>
            <w:tcMar>
              <w:top w:type="dxa" w:w="80"/>
              <w:left w:type="dxa" w:w="100"/>
              <w:bottom w:type="dxa" w:w="80"/>
              <w:right w:type="dxa" w:w="100"/>
            </w:tcMar>
          </w:tcPr>
          <w:p>
            <w:r>
              <w:rPr>
                <w:b w:val="false"/>
                <w:bCs w:val="false"/>
                <w:sz w:val="20"/>
                <w:szCs w:val="20"/>
              </w:rPr>
              <w:t xml:space="preserve">All 6 roles are now self-service at registration</w:t>
            </w:r>
          </w:p>
        </w:tc>
        <w:tc>
          <w:tcPr>
            <w:tcW w:type="dxa" w:w="2600"/>
            <w:tcMar>
              <w:top w:type="dxa" w:w="80"/>
              <w:left w:type="dxa" w:w="100"/>
              <w:bottom w:type="dxa" w:w="80"/>
              <w:right w:type="dxa" w:w="100"/>
            </w:tcMar>
          </w:tcPr>
          <w:p>
            <w:r>
              <w:rPr>
                <w:b w:val="false"/>
                <w:bCs w:val="false"/>
                <w:sz w:val="20"/>
                <w:szCs w:val="20"/>
              </w:rPr>
              <w:t xml:space="preserve">Authentication &amp; Access Control</w:t>
            </w:r>
          </w:p>
        </w:tc>
        <w:tc>
          <w:tcPr>
            <w:tcW w:type="dxa" w:w="3600"/>
            <w:tcMar>
              <w:top w:type="dxa" w:w="80"/>
              <w:left w:type="dxa" w:w="100"/>
              <w:bottom w:type="dxa" w:w="80"/>
              <w:right w:type="dxa" w:w="100"/>
            </w:tcMar>
          </w:tcPr>
          <w:p>
            <w:r>
              <w:rPr>
                <w:b w:val="false"/>
                <w:bCs w:val="false"/>
                <w:sz w:val="20"/>
                <w:szCs w:val="20"/>
              </w:rPr>
              <w:t xml:space="preserve">The staff-PIN requirement for GIS Analyst, Project Manager, and Administrator was removed as a deliberate simplification. This is a real security tradeoff — anyone can now self-register as Administrator — not a cosmetic change, and should be revisited before any real/public deployment.</w:t>
            </w:r>
          </w:p>
        </w:tc>
      </w:tr>
      <w:tr>
        <w:tc>
          <w:tcPr>
            <w:tcW w:type="dxa" w:w="2600"/>
            <w:shd w:fill="F4F6F5" w:val="clear"/>
            <w:tcMar>
              <w:top w:type="dxa" w:w="80"/>
              <w:left w:type="dxa" w:w="100"/>
              <w:bottom w:type="dxa" w:w="80"/>
              <w:right w:type="dxa" w:w="100"/>
            </w:tcMar>
          </w:tcPr>
          <w:p>
            <w:r>
              <w:rPr>
                <w:b w:val="false"/>
                <w:bCs w:val="false"/>
                <w:sz w:val="20"/>
                <w:szCs w:val="20"/>
              </w:rPr>
              <w:t xml:space="preserve">Google Sign-In fully removed</w:t>
            </w:r>
          </w:p>
        </w:tc>
        <w:tc>
          <w:tcPr>
            <w:tcW w:type="dxa" w:w="2600"/>
            <w:shd w:fill="F4F6F5" w:val="clear"/>
            <w:tcMar>
              <w:top w:type="dxa" w:w="80"/>
              <w:left w:type="dxa" w:w="100"/>
              <w:bottom w:type="dxa" w:w="80"/>
              <w:right w:type="dxa" w:w="100"/>
            </w:tcMar>
          </w:tcPr>
          <w:p>
            <w:r>
              <w:rPr>
                <w:b w:val="false"/>
                <w:bCs w:val="false"/>
                <w:sz w:val="20"/>
                <w:szCs w:val="20"/>
              </w:rPr>
              <w:t xml:space="preserve">Authentication</w:t>
            </w:r>
          </w:p>
        </w:tc>
        <w:tc>
          <w:tcPr>
            <w:tcW w:type="dxa" w:w="3600"/>
            <w:shd w:fill="F4F6F5" w:val="clear"/>
            <w:tcMar>
              <w:top w:type="dxa" w:w="80"/>
              <w:left w:type="dxa" w:w="100"/>
              <w:bottom w:type="dxa" w:w="80"/>
              <w:right w:type="dxa" w:w="100"/>
            </w:tcMar>
          </w:tcPr>
          <w:p>
            <w:r>
              <w:rPr>
                <w:b w:val="false"/>
                <w:bCs w:val="false"/>
                <w:sz w:val="20"/>
                <w:szCs w:val="20"/>
              </w:rPr>
              <w:t xml:space="preserve">Removed end-to-end (frontend button, callback route, backend OAuth endpoints, and the database table behind it) rather than left half-configured.</w:t>
            </w:r>
          </w:p>
        </w:tc>
      </w:tr>
      <w:tr>
        <w:tc>
          <w:tcPr>
            <w:tcW w:type="dxa" w:w="2600"/>
            <w:tcMar>
              <w:top w:type="dxa" w:w="80"/>
              <w:left w:type="dxa" w:w="100"/>
              <w:bottom w:type="dxa" w:w="80"/>
              <w:right w:type="dxa" w:w="100"/>
            </w:tcMar>
          </w:tcPr>
          <w:p>
            <w:r>
              <w:rPr>
                <w:b w:val="false"/>
                <w:bCs w:val="false"/>
                <w:sz w:val="20"/>
                <w:szCs w:val="20"/>
              </w:rPr>
              <w:t xml:space="preserve">GIS View rebuilt with 4 tabs</w:t>
            </w:r>
          </w:p>
        </w:tc>
        <w:tc>
          <w:tcPr>
            <w:tcW w:type="dxa" w:w="2600"/>
            <w:tcMar>
              <w:top w:type="dxa" w:w="80"/>
              <w:left w:type="dxa" w:w="100"/>
              <w:bottom w:type="dxa" w:w="80"/>
              <w:right w:type="dxa" w:w="100"/>
            </w:tcMar>
          </w:tcPr>
          <w:p>
            <w:r>
              <w:rPr>
                <w:b w:val="false"/>
                <w:bCs w:val="false"/>
                <w:sz w:val="20"/>
                <w:szCs w:val="20"/>
              </w:rPr>
              <w:t xml:space="preserve">GIS Analyst Dashboard</w:t>
            </w:r>
          </w:p>
        </w:tc>
        <w:tc>
          <w:tcPr>
            <w:tcW w:type="dxa" w:w="3600"/>
            <w:tcMar>
              <w:top w:type="dxa" w:w="80"/>
              <w:left w:type="dxa" w:w="100"/>
              <w:bottom w:type="dxa" w:w="80"/>
              <w:right w:type="dxa" w:w="100"/>
            </w:tcMar>
          </w:tcPr>
          <w:p>
            <w:r>
              <w:rPr>
                <w:b w:val="false"/>
                <w:bCs w:val="false"/>
                <w:sz w:val="20"/>
                <w:szCs w:val="20"/>
              </w:rPr>
              <w:t xml:space="preserve">Previously a single map with no terrain, environmental, or comparison views. Now covers GIS Visualization, Terrain Maps, Environmental Analytics, and Site Comparison — matching the GIS Analyst Dashboard module in the architecture spec.</w:t>
            </w:r>
          </w:p>
        </w:tc>
      </w:tr>
      <w:tr>
        <w:tc>
          <w:tcPr>
            <w:tcW w:type="dxa" w:w="2600"/>
            <w:shd w:fill="F4F6F5" w:val="clear"/>
            <w:tcMar>
              <w:top w:type="dxa" w:w="80"/>
              <w:left w:type="dxa" w:w="100"/>
              <w:bottom w:type="dxa" w:w="80"/>
              <w:right w:type="dxa" w:w="100"/>
            </w:tcMar>
          </w:tcPr>
          <w:p>
            <w:r>
              <w:rPr>
                <w:b w:val="false"/>
                <w:bCs w:val="false"/>
                <w:sz w:val="20"/>
                <w:szCs w:val="20"/>
              </w:rPr>
              <w:t xml:space="preserve">Agricultural land now scored</w:t>
            </w:r>
          </w:p>
        </w:tc>
        <w:tc>
          <w:tcPr>
            <w:tcW w:type="dxa" w:w="2600"/>
            <w:shd w:fill="F4F6F5" w:val="clear"/>
            <w:tcMar>
              <w:top w:type="dxa" w:w="80"/>
              <w:left w:type="dxa" w:w="100"/>
              <w:bottom w:type="dxa" w:w="80"/>
              <w:right w:type="dxa" w:w="100"/>
            </w:tcMar>
          </w:tcPr>
          <w:p>
            <w:r>
              <w:rPr>
                <w:b w:val="false"/>
                <w:bCs w:val="false"/>
                <w:sz w:val="20"/>
                <w:szCs w:val="20"/>
              </w:rPr>
              <w:t xml:space="preserve">Site Suitability Scoring Engine</w:t>
            </w:r>
          </w:p>
        </w:tc>
        <w:tc>
          <w:tcPr>
            <w:tcW w:type="dxa" w:w="3600"/>
            <w:shd w:fill="F4F6F5" w:val="clear"/>
            <w:tcMar>
              <w:top w:type="dxa" w:w="80"/>
              <w:left w:type="dxa" w:w="100"/>
              <w:bottom w:type="dxa" w:w="80"/>
              <w:right w:type="dxa" w:w="100"/>
            </w:tcMar>
          </w:tcPr>
          <w:p>
            <w:r>
              <w:rPr>
                <w:b w:val="false"/>
                <w:bCs w:val="false"/>
                <w:sz w:val="20"/>
                <w:szCs w:val="20"/>
              </w:rPr>
              <w:t xml:space="preserve">Fixes the gap identified during fact-checking (Section 8.3): the data was already being collected but never used in the Environmental Impact sub-score.</w:t>
            </w:r>
          </w:p>
        </w:tc>
      </w:tr>
      <w:tr>
        <w:tc>
          <w:tcPr>
            <w:tcW w:type="dxa" w:w="2600"/>
            <w:tcMar>
              <w:top w:type="dxa" w:w="80"/>
              <w:left w:type="dxa" w:w="100"/>
              <w:bottom w:type="dxa" w:w="80"/>
              <w:right w:type="dxa" w:w="100"/>
            </w:tcMar>
          </w:tcPr>
          <w:p>
            <w:r>
              <w:rPr>
                <w:b w:val="false"/>
                <w:bCs w:val="false"/>
                <w:sz w:val="20"/>
                <w:szCs w:val="20"/>
              </w:rPr>
              <w:t xml:space="preserve">Full codebase verification pass</w:t>
            </w:r>
          </w:p>
        </w:tc>
        <w:tc>
          <w:tcPr>
            <w:tcW w:type="dxa" w:w="2600"/>
            <w:tcMar>
              <w:top w:type="dxa" w:w="80"/>
              <w:left w:type="dxa" w:w="100"/>
              <w:bottom w:type="dxa" w:w="80"/>
              <w:right w:type="dxa" w:w="100"/>
            </w:tcMar>
          </w:tcPr>
          <w:p>
            <w:r>
              <w:rPr>
                <w:b w:val="false"/>
                <w:bCs w:val="false"/>
                <w:sz w:val="20"/>
                <w:szCs w:val="20"/>
              </w:rPr>
              <w:t xml:space="preserve">Whole platform</w:t>
            </w:r>
          </w:p>
        </w:tc>
        <w:tc>
          <w:tcPr>
            <w:tcW w:type="dxa" w:w="3600"/>
            <w:tcMar>
              <w:top w:type="dxa" w:w="80"/>
              <w:left w:type="dxa" w:w="100"/>
              <w:bottom w:type="dxa" w:w="80"/>
              <w:right w:type="dxa" w:w="100"/>
            </w:tcMar>
          </w:tcPr>
          <w:p>
            <w:r>
              <w:rPr>
                <w:b w:val="false"/>
                <w:bCs w:val="false"/>
                <w:sz w:val="20"/>
                <w:szCs w:val="20"/>
              </w:rPr>
              <w:t xml:space="preserve">Every backend file compiles; every frontend import resolves; all 58 backend API routes were cross-checked against all 39 frontend calls with zero mismatches; Docker Compose configuration and dependency pins validated.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2026-08-21T09:38:12.228Z</dcterms:created>
  <dcterms:modified xsi:type="dcterms:W3CDTF">2026-08-21T09:38:12.240Z</dcterms:modified>
</cp:coreProperties>
</file>

<file path=docProps/custom.xml><?xml version="1.0" encoding="utf-8"?>
<Properties xmlns="http://schemas.openxmlformats.org/officeDocument/2006/custom-properties" xmlns:vt="http://schemas.openxmlformats.org/officeDocument/2006/docPropsVTypes"/>
</file>