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E42C" w14:textId="77777777" w:rsidR="00152D1A" w:rsidRPr="009206AF" w:rsidRDefault="00152D1A" w:rsidP="00152D1A">
      <w:pPr>
        <w:jc w:val="center"/>
        <w:rPr>
          <w:rFonts w:ascii="Times New Roman" w:eastAsia="Arial" w:hAnsi="Times New Roman" w:cs="Times New Roman"/>
          <w:b/>
          <w:bCs/>
          <w:color w:val="222222"/>
          <w:sz w:val="40"/>
          <w:szCs w:val="40"/>
        </w:rPr>
      </w:pPr>
      <w:r w:rsidRPr="009206AF">
        <w:rPr>
          <w:rFonts w:ascii="Times New Roman" w:eastAsia="Arial" w:hAnsi="Times New Roman" w:cs="Times New Roman"/>
          <w:b/>
          <w:bCs/>
          <w:color w:val="222222"/>
          <w:sz w:val="40"/>
          <w:szCs w:val="40"/>
        </w:rPr>
        <w:t>SafetyEye – AI-Powered Workplace Occupancy &amp; Safety Monitor</w:t>
      </w:r>
    </w:p>
    <w:p w14:paraId="1ADC6E70" w14:textId="7F272044" w:rsidR="00152D1A" w:rsidRPr="009206AF" w:rsidRDefault="00152D1A" w:rsidP="00152D1A">
      <w:pPr>
        <w:jc w:val="center"/>
        <w:rPr>
          <w:rFonts w:ascii="Times New Roman" w:eastAsia="Arial" w:hAnsi="Times New Roman" w:cs="Times New Roman"/>
          <w:color w:val="222222"/>
          <w:sz w:val="36"/>
          <w:szCs w:val="36"/>
        </w:rPr>
      </w:pPr>
      <w:r w:rsidRPr="009206AF">
        <w:rPr>
          <w:rFonts w:ascii="Times New Roman" w:eastAsia="Arial" w:hAnsi="Times New Roman" w:cs="Times New Roman"/>
          <w:color w:val="222222"/>
          <w:sz w:val="36"/>
          <w:szCs w:val="36"/>
        </w:rPr>
        <w:t xml:space="preserve">Milestone </w:t>
      </w:r>
      <w:r>
        <w:rPr>
          <w:rFonts w:ascii="Times New Roman" w:eastAsia="Arial" w:hAnsi="Times New Roman" w:cs="Times New Roman"/>
          <w:color w:val="222222"/>
          <w:sz w:val="36"/>
          <w:szCs w:val="36"/>
        </w:rPr>
        <w:t>4</w:t>
      </w:r>
      <w:r w:rsidRPr="009206AF">
        <w:rPr>
          <w:rFonts w:ascii="Times New Roman" w:eastAsia="Arial" w:hAnsi="Times New Roman" w:cs="Times New Roman"/>
          <w:color w:val="222222"/>
          <w:sz w:val="36"/>
          <w:szCs w:val="36"/>
        </w:rPr>
        <w:t xml:space="preserve"> REPORT</w:t>
      </w:r>
    </w:p>
    <w:p w14:paraId="4D4817A9" w14:textId="77777777"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Abstract</w:t>
      </w:r>
    </w:p>
    <w:p w14:paraId="61C08B61"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This report encapsulates the final deliverables generated during Milestone 4 of the SafetyEye architecture setup. It documents the complete system integration enveloping the deep learning pipeline algorithms, the continuous spatial rule engine, and persistent relational logging databases neatly behind a modern interactive React and Flask-based functional frontend client application.</w:t>
      </w:r>
    </w:p>
    <w:p w14:paraId="32AFF20A" w14:textId="77777777" w:rsidR="00152D1A" w:rsidRPr="00152D1A" w:rsidRDefault="00152D1A" w:rsidP="00152D1A">
      <w:pPr>
        <w:rPr>
          <w:rFonts w:ascii="Times New Roman" w:hAnsi="Times New Roman" w:cs="Times New Roman"/>
          <w:sz w:val="22"/>
          <w:szCs w:val="22"/>
          <w:lang w:val="en-IN"/>
        </w:rPr>
      </w:pPr>
    </w:p>
    <w:p w14:paraId="22E52F65" w14:textId="20503186"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 xml:space="preserve"> Introduction</w:t>
      </w:r>
    </w:p>
    <w:p w14:paraId="4D57ED4A"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To complete the software engineering lifecycle, automated intelligence systems must be wrapped securely in user-accessible structures granting administrators clear interfaces mitigating complicated execution tasks entirely. Abstracting API inference connections through seamless data-streams while retaining persistent backend tracking allows worksite supervisors to accurately enforce protocols passively yielding high reliability without possessing computational engineering knowledge.</w:t>
      </w:r>
    </w:p>
    <w:p w14:paraId="4137012E" w14:textId="77777777" w:rsidR="00152D1A" w:rsidRPr="00152D1A" w:rsidRDefault="00152D1A" w:rsidP="00152D1A">
      <w:pPr>
        <w:rPr>
          <w:rFonts w:ascii="Times New Roman" w:hAnsi="Times New Roman" w:cs="Times New Roman"/>
          <w:sz w:val="22"/>
          <w:szCs w:val="22"/>
          <w:lang w:val="en-IN"/>
        </w:rPr>
      </w:pPr>
    </w:p>
    <w:p w14:paraId="76351E9E" w14:textId="1D53DB8C"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 xml:space="preserve"> Problem Statement</w:t>
      </w:r>
    </w:p>
    <w:p w14:paraId="6EE49C97"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The execution bounds finalized within Milestone 3 operated flawlessly isolated exclusively within Python terminal boundaries and rudimentary OpenCV window wrappers. This severely restricts large-scale deployment scaling as multiple camera endpoints cannot be efficiently monitored nor can historical compliance metrics be actively graphed or accessed retrospectively. A robust integrated platform with UI-driven dashboards mapping multi-stream variables alongside database historical tracking was severely missing.</w:t>
      </w:r>
    </w:p>
    <w:p w14:paraId="53583D2C" w14:textId="77777777" w:rsidR="00152D1A" w:rsidRPr="00152D1A" w:rsidRDefault="00152D1A" w:rsidP="00152D1A">
      <w:pPr>
        <w:rPr>
          <w:rFonts w:ascii="Times New Roman" w:hAnsi="Times New Roman" w:cs="Times New Roman"/>
          <w:sz w:val="22"/>
          <w:szCs w:val="22"/>
          <w:lang w:val="en-IN"/>
        </w:rPr>
      </w:pPr>
    </w:p>
    <w:p w14:paraId="7B2FA59C" w14:textId="51BDFD76"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 xml:space="preserve"> Requirement Specifications</w:t>
      </w:r>
    </w:p>
    <w:p w14:paraId="6DF14FB3"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w:t>
      </w:r>
      <w:r w:rsidRPr="00152D1A">
        <w:rPr>
          <w:rFonts w:ascii="Times New Roman" w:hAnsi="Times New Roman" w:cs="Times New Roman"/>
          <w:b/>
          <w:bCs/>
          <w:sz w:val="22"/>
          <w:szCs w:val="22"/>
          <w:lang w:val="en-IN"/>
        </w:rPr>
        <w:t>**Graphical Client Interface:**</w:t>
      </w:r>
      <w:r w:rsidRPr="00152D1A">
        <w:rPr>
          <w:rFonts w:ascii="Times New Roman" w:hAnsi="Times New Roman" w:cs="Times New Roman"/>
          <w:sz w:val="22"/>
          <w:szCs w:val="22"/>
          <w:lang w:val="en-IN"/>
        </w:rPr>
        <w:t xml:space="preserve"> A structured responsive Single Page Application (SPA).</w:t>
      </w:r>
    </w:p>
    <w:p w14:paraId="5D8B73F2"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w:t>
      </w:r>
      <w:r w:rsidRPr="00152D1A">
        <w:rPr>
          <w:rFonts w:ascii="Times New Roman" w:hAnsi="Times New Roman" w:cs="Times New Roman"/>
          <w:b/>
          <w:bCs/>
          <w:sz w:val="22"/>
          <w:szCs w:val="22"/>
          <w:lang w:val="en-IN"/>
        </w:rPr>
        <w:t>**Backend Routing Layer:**</w:t>
      </w:r>
      <w:r w:rsidRPr="00152D1A">
        <w:rPr>
          <w:rFonts w:ascii="Times New Roman" w:hAnsi="Times New Roman" w:cs="Times New Roman"/>
          <w:sz w:val="22"/>
          <w:szCs w:val="22"/>
          <w:lang w:val="en-IN"/>
        </w:rPr>
        <w:t xml:space="preserve"> Active connection configurations executing HTTP multiparty video broadcasts securely.</w:t>
      </w:r>
    </w:p>
    <w:p w14:paraId="49EBF6BC"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w:t>
      </w:r>
      <w:r w:rsidRPr="00152D1A">
        <w:rPr>
          <w:rFonts w:ascii="Times New Roman" w:hAnsi="Times New Roman" w:cs="Times New Roman"/>
          <w:b/>
          <w:bCs/>
          <w:sz w:val="22"/>
          <w:szCs w:val="22"/>
          <w:lang w:val="en-IN"/>
        </w:rPr>
        <w:t>**Storage Infrastructure:**</w:t>
      </w:r>
      <w:r w:rsidRPr="00152D1A">
        <w:rPr>
          <w:rFonts w:ascii="Times New Roman" w:hAnsi="Times New Roman" w:cs="Times New Roman"/>
          <w:sz w:val="22"/>
          <w:szCs w:val="22"/>
          <w:lang w:val="en-IN"/>
        </w:rPr>
        <w:t xml:space="preserve"> Persistent localized schema design maintaining historical tracking sequences.</w:t>
      </w:r>
    </w:p>
    <w:p w14:paraId="7C6572BE"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w:t>
      </w:r>
      <w:r w:rsidRPr="00152D1A">
        <w:rPr>
          <w:rFonts w:ascii="Times New Roman" w:hAnsi="Times New Roman" w:cs="Times New Roman"/>
          <w:b/>
          <w:bCs/>
          <w:sz w:val="22"/>
          <w:szCs w:val="22"/>
          <w:lang w:val="en-IN"/>
        </w:rPr>
        <w:t>**Metric Analytics Display:**</w:t>
      </w:r>
      <w:r w:rsidRPr="00152D1A">
        <w:rPr>
          <w:rFonts w:ascii="Times New Roman" w:hAnsi="Times New Roman" w:cs="Times New Roman"/>
          <w:sz w:val="22"/>
          <w:szCs w:val="22"/>
          <w:lang w:val="en-IN"/>
        </w:rPr>
        <w:t xml:space="preserve"> Processing arrays to map real-world visual logic representations securely showing statistical timelines.</w:t>
      </w:r>
    </w:p>
    <w:p w14:paraId="5AEFEB2B" w14:textId="77777777" w:rsidR="00152D1A" w:rsidRPr="00152D1A" w:rsidRDefault="00152D1A" w:rsidP="00152D1A">
      <w:pPr>
        <w:rPr>
          <w:rFonts w:ascii="Times New Roman" w:hAnsi="Times New Roman" w:cs="Times New Roman"/>
          <w:sz w:val="22"/>
          <w:szCs w:val="22"/>
          <w:lang w:val="en-IN"/>
        </w:rPr>
      </w:pPr>
    </w:p>
    <w:p w14:paraId="411DAC1C" w14:textId="0F80D019"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lastRenderedPageBreak/>
        <w:t xml:space="preserve"> Methodology</w:t>
      </w:r>
    </w:p>
    <w:p w14:paraId="2A607FB2" w14:textId="77777777" w:rsidR="00152D1A" w:rsidRPr="00152D1A" w:rsidRDefault="00152D1A" w:rsidP="00152D1A">
      <w:pPr>
        <w:rPr>
          <w:rFonts w:ascii="Times New Roman" w:hAnsi="Times New Roman" w:cs="Times New Roman"/>
          <w:sz w:val="22"/>
          <w:szCs w:val="22"/>
          <w:lang w:val="en-IN"/>
        </w:rPr>
      </w:pPr>
    </w:p>
    <w:p w14:paraId="530F9B1E" w14:textId="43AEFD06"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Phase 1: Client Graphical Dashboard Structuring</w:t>
      </w:r>
    </w:p>
    <w:p w14:paraId="18BEA45E"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A modern UI architecture was implemented utilizing the React framework binding multiple responsive pages including a multi-channel Camera Setup viewer and a centralized Live Monitor viewer core connecting DOM elements referencing state configurations interacting cleanly inside `frontend/src/`.</w:t>
      </w:r>
    </w:p>
    <w:p w14:paraId="64B47526" w14:textId="77777777" w:rsidR="00152D1A" w:rsidRPr="00152D1A" w:rsidRDefault="00152D1A" w:rsidP="00152D1A">
      <w:pPr>
        <w:rPr>
          <w:rFonts w:ascii="Times New Roman" w:hAnsi="Times New Roman" w:cs="Times New Roman"/>
          <w:sz w:val="22"/>
          <w:szCs w:val="22"/>
          <w:lang w:val="en-IN"/>
        </w:rPr>
      </w:pPr>
    </w:p>
    <w:p w14:paraId="79FF2C2F" w14:textId="0A1D4AA5"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Phase 2: Live Video Endpoints &amp; Flask Middleware</w:t>
      </w:r>
    </w:p>
    <w:p w14:paraId="4D4F112B"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To transition Python OpenCV streams securely onto HTML endpoints dynamically, a Flask server logic wrapper (`backend/app.py`) was formulated routing HTTP endpoints utilizing multi-part bytes continuously broadcasting array frames mimicking server-side push architectures cleanly routing inference tracking directly into client networks seamlessly.</w:t>
      </w:r>
    </w:p>
    <w:p w14:paraId="6D526F77" w14:textId="77777777" w:rsidR="00152D1A" w:rsidRPr="00152D1A" w:rsidRDefault="00152D1A" w:rsidP="00152D1A">
      <w:pPr>
        <w:rPr>
          <w:rFonts w:ascii="Times New Roman" w:hAnsi="Times New Roman" w:cs="Times New Roman"/>
          <w:sz w:val="22"/>
          <w:szCs w:val="22"/>
          <w:lang w:val="en-IN"/>
        </w:rPr>
      </w:pPr>
    </w:p>
    <w:p w14:paraId="0E8B2810" w14:textId="2CE9971B"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Phase 3: Analytical Component Mapping</w:t>
      </w:r>
    </w:p>
    <w:p w14:paraId="0B8C9CCC"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Numerical states produced directly from the backend compliance algorithm were parsed mapping data strings out via arrays rendering localized analytical features visualizing data summaries dynamically displaying graphs, compliance proportions, and immediate incident logs instantly tracking PPE workflows inside structured user dashboards natively. </w:t>
      </w:r>
    </w:p>
    <w:p w14:paraId="2C67ED51" w14:textId="77777777" w:rsidR="00152D1A" w:rsidRPr="00152D1A" w:rsidRDefault="00152D1A" w:rsidP="00152D1A">
      <w:pPr>
        <w:rPr>
          <w:rFonts w:ascii="Times New Roman" w:hAnsi="Times New Roman" w:cs="Times New Roman"/>
          <w:sz w:val="22"/>
          <w:szCs w:val="22"/>
          <w:lang w:val="en-IN"/>
        </w:rPr>
      </w:pPr>
    </w:p>
    <w:p w14:paraId="2A08008A" w14:textId="53340339"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 xml:space="preserve"> Phase 4: SQLite Database Logging System Hook</w:t>
      </w:r>
    </w:p>
    <w:p w14:paraId="100965E2"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To securely construct an archival tracking foundation recording alerts properly, `backend/database.py` was modeled managing SQLite logic constraints creating `violations.db`. Data generated from spatial inference algorithms automatically injects database lines accurately logging explicit classification metrics, confidence scales, visual snapshots, and occurrence timestamp signatures enabling reliable future compliance reporting metrics.</w:t>
      </w:r>
    </w:p>
    <w:p w14:paraId="539647F9" w14:textId="77777777" w:rsidR="00152D1A" w:rsidRPr="00152D1A" w:rsidRDefault="00152D1A" w:rsidP="00152D1A">
      <w:pPr>
        <w:rPr>
          <w:rFonts w:ascii="Times New Roman" w:hAnsi="Times New Roman" w:cs="Times New Roman"/>
          <w:sz w:val="22"/>
          <w:szCs w:val="22"/>
          <w:lang w:val="en-IN"/>
        </w:rPr>
      </w:pPr>
    </w:p>
    <w:p w14:paraId="4753F020" w14:textId="26156110"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 xml:space="preserve"> Results</w:t>
      </w:r>
    </w:p>
    <w:p w14:paraId="7A2FDF34"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Full multi-system integration testing definitively exhibited supreme stability processing intense multi-layer logic accurately. The dashboard application dynamically tracks the continuous bounding models routing graphical interfaces flawlessly against high frame rate live executions. The analytical outputs calculate accurately handling high-resolution queries simultaneously scaling database operations autonomously recording all non-compliant anomalies precisely into SQLite schemas without transaction delays or missing components.</w:t>
      </w:r>
    </w:p>
    <w:p w14:paraId="1992B718" w14:textId="77777777" w:rsidR="00152D1A" w:rsidRPr="00152D1A" w:rsidRDefault="00152D1A" w:rsidP="00152D1A">
      <w:pPr>
        <w:rPr>
          <w:rFonts w:ascii="Times New Roman" w:hAnsi="Times New Roman" w:cs="Times New Roman"/>
          <w:sz w:val="22"/>
          <w:szCs w:val="22"/>
          <w:lang w:val="en-IN"/>
        </w:rPr>
      </w:pPr>
    </w:p>
    <w:p w14:paraId="2C86C818" w14:textId="6BD225BE"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b/>
          <w:bCs/>
          <w:sz w:val="32"/>
          <w:szCs w:val="32"/>
          <w:lang w:val="en-IN"/>
        </w:rPr>
        <w:t xml:space="preserve"> Conclusion</w:t>
      </w:r>
    </w:p>
    <w:p w14:paraId="49B71949"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lastRenderedPageBreak/>
        <w:t>The SafetyEye system pipeline is formally finalized fully wrapping optimized artificial intelligence modeling with an active analytical logging schema perfectly executed against an interactive frontend distribution client capable of mapping secure and complex worksite variables efficiently rendering the complete end-to-end autonomous integration lifecycle complete.</w:t>
      </w:r>
    </w:p>
    <w:p w14:paraId="1051D3D3" w14:textId="77777777" w:rsidR="00152D1A" w:rsidRPr="00152D1A" w:rsidRDefault="00152D1A" w:rsidP="00152D1A">
      <w:pPr>
        <w:rPr>
          <w:rFonts w:ascii="Times New Roman" w:hAnsi="Times New Roman" w:cs="Times New Roman"/>
          <w:sz w:val="22"/>
          <w:szCs w:val="22"/>
          <w:lang w:val="en-IN"/>
        </w:rPr>
      </w:pPr>
    </w:p>
    <w:p w14:paraId="2E37F203" w14:textId="30B22964" w:rsidR="00152D1A" w:rsidRPr="00152D1A" w:rsidRDefault="00152D1A" w:rsidP="00152D1A">
      <w:pPr>
        <w:rPr>
          <w:rFonts w:ascii="Times New Roman" w:hAnsi="Times New Roman" w:cs="Times New Roman"/>
          <w:b/>
          <w:bCs/>
          <w:sz w:val="32"/>
          <w:szCs w:val="32"/>
          <w:lang w:val="en-IN"/>
        </w:rPr>
      </w:pPr>
      <w:r w:rsidRPr="00152D1A">
        <w:rPr>
          <w:rFonts w:ascii="Times New Roman" w:hAnsi="Times New Roman" w:cs="Times New Roman"/>
          <w:sz w:val="22"/>
          <w:szCs w:val="22"/>
          <w:lang w:val="en-IN"/>
        </w:rPr>
        <w:t xml:space="preserve"> </w:t>
      </w:r>
      <w:r w:rsidRPr="00152D1A">
        <w:rPr>
          <w:rFonts w:ascii="Times New Roman" w:hAnsi="Times New Roman" w:cs="Times New Roman"/>
          <w:b/>
          <w:bCs/>
          <w:sz w:val="32"/>
          <w:szCs w:val="32"/>
          <w:lang w:val="en-IN"/>
        </w:rPr>
        <w:t>References</w:t>
      </w:r>
    </w:p>
    <w:p w14:paraId="334C24F2"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1. Front-End Web Framework Execution Documentation (React.js).</w:t>
      </w:r>
    </w:p>
    <w:p w14:paraId="0B32392D"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2. Python Flask HTTP Application Scaling API Standards.</w:t>
      </w:r>
    </w:p>
    <w:p w14:paraId="20C81DFC" w14:textId="77777777" w:rsidR="00152D1A" w:rsidRPr="00152D1A" w:rsidRDefault="00152D1A" w:rsidP="00152D1A">
      <w:pPr>
        <w:rPr>
          <w:rFonts w:ascii="Times New Roman" w:hAnsi="Times New Roman" w:cs="Times New Roman"/>
          <w:sz w:val="22"/>
          <w:szCs w:val="22"/>
          <w:lang w:val="en-IN"/>
        </w:rPr>
      </w:pPr>
      <w:r w:rsidRPr="00152D1A">
        <w:rPr>
          <w:rFonts w:ascii="Times New Roman" w:hAnsi="Times New Roman" w:cs="Times New Roman"/>
          <w:sz w:val="22"/>
          <w:szCs w:val="22"/>
          <w:lang w:val="en-IN"/>
        </w:rPr>
        <w:t>3. Structuring SQLite Database Integrations.</w:t>
      </w:r>
    </w:p>
    <w:p w14:paraId="38330D96" w14:textId="77777777" w:rsidR="00152D1A" w:rsidRPr="00152D1A" w:rsidRDefault="00152D1A" w:rsidP="00152D1A">
      <w:pPr>
        <w:rPr>
          <w:rFonts w:ascii="Times New Roman" w:hAnsi="Times New Roman" w:cs="Times New Roman"/>
          <w:sz w:val="22"/>
          <w:szCs w:val="22"/>
          <w:lang w:val="en-IN"/>
        </w:rPr>
      </w:pPr>
    </w:p>
    <w:p w14:paraId="2D3B1828" w14:textId="77777777" w:rsidR="00B45D31" w:rsidRPr="00152D1A" w:rsidRDefault="00B45D31">
      <w:pPr>
        <w:rPr>
          <w:rFonts w:ascii="Times New Roman" w:hAnsi="Times New Roman" w:cs="Times New Roman"/>
          <w:sz w:val="22"/>
          <w:szCs w:val="22"/>
        </w:rPr>
      </w:pPr>
    </w:p>
    <w:sectPr w:rsidR="00B45D31" w:rsidRPr="00152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1A"/>
    <w:rsid w:val="00152D1A"/>
    <w:rsid w:val="0055041D"/>
    <w:rsid w:val="00B45D31"/>
    <w:rsid w:val="00E84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861D3"/>
  <w15:chartTrackingRefBased/>
  <w15:docId w15:val="{D23806CF-C0FA-49E8-BACD-A4CDEB61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D1A"/>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152D1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152D1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152D1A"/>
    <w:pPr>
      <w:keepNext/>
      <w:keepLines/>
      <w:spacing w:before="160" w:after="80" w:line="259" w:lineRule="auto"/>
      <w:outlineLvl w:val="2"/>
    </w:pPr>
    <w:rPr>
      <w:rFonts w:eastAsiaTheme="majorEastAsia"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152D1A"/>
    <w:pPr>
      <w:keepNext/>
      <w:keepLines/>
      <w:spacing w:before="80" w:after="40" w:line="259" w:lineRule="auto"/>
      <w:outlineLvl w:val="3"/>
    </w:pPr>
    <w:rPr>
      <w:rFonts w:eastAsiaTheme="majorEastAsia"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iPriority w:val="9"/>
    <w:semiHidden/>
    <w:unhideWhenUsed/>
    <w:qFormat/>
    <w:rsid w:val="00152D1A"/>
    <w:pPr>
      <w:keepNext/>
      <w:keepLines/>
      <w:spacing w:before="80" w:after="40" w:line="259" w:lineRule="auto"/>
      <w:outlineLvl w:val="4"/>
    </w:pPr>
    <w:rPr>
      <w:rFonts w:eastAsiaTheme="majorEastAsia"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152D1A"/>
    <w:pPr>
      <w:keepNext/>
      <w:keepLines/>
      <w:spacing w:before="40" w:after="0" w:line="259" w:lineRule="auto"/>
      <w:outlineLvl w:val="5"/>
    </w:pPr>
    <w:rPr>
      <w:rFonts w:eastAsiaTheme="majorEastAsia"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152D1A"/>
    <w:pPr>
      <w:keepNext/>
      <w:keepLines/>
      <w:spacing w:before="40" w:after="0" w:line="259" w:lineRule="auto"/>
      <w:outlineLvl w:val="6"/>
    </w:pPr>
    <w:rPr>
      <w:rFonts w:eastAsiaTheme="majorEastAsia"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152D1A"/>
    <w:pPr>
      <w:keepNext/>
      <w:keepLines/>
      <w:spacing w:after="0" w:line="259" w:lineRule="auto"/>
      <w:outlineLvl w:val="7"/>
    </w:pPr>
    <w:rPr>
      <w:rFonts w:eastAsiaTheme="majorEastAsia"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152D1A"/>
    <w:pPr>
      <w:keepNext/>
      <w:keepLines/>
      <w:spacing w:after="0" w:line="259" w:lineRule="auto"/>
      <w:outlineLvl w:val="8"/>
    </w:pPr>
    <w:rPr>
      <w:rFonts w:eastAsiaTheme="majorEastAsia"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1A"/>
    <w:rPr>
      <w:rFonts w:eastAsiaTheme="majorEastAsia" w:cstheme="majorBidi"/>
      <w:color w:val="272727" w:themeColor="text1" w:themeTint="D8"/>
    </w:rPr>
  </w:style>
  <w:style w:type="paragraph" w:styleId="Title">
    <w:name w:val="Title"/>
    <w:basedOn w:val="Normal"/>
    <w:next w:val="Normal"/>
    <w:link w:val="TitleChar"/>
    <w:uiPriority w:val="10"/>
    <w:qFormat/>
    <w:rsid w:val="00152D1A"/>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15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1A"/>
    <w:pPr>
      <w:numPr>
        <w:ilvl w:val="1"/>
      </w:numPr>
      <w:spacing w:line="259"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15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1A"/>
    <w:pPr>
      <w:spacing w:before="160" w:line="259" w:lineRule="auto"/>
      <w:jc w:val="center"/>
    </w:pPr>
    <w:rPr>
      <w:rFonts w:eastAsiaTheme="minorHAns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152D1A"/>
    <w:rPr>
      <w:i/>
      <w:iCs/>
      <w:color w:val="404040" w:themeColor="text1" w:themeTint="BF"/>
    </w:rPr>
  </w:style>
  <w:style w:type="paragraph" w:styleId="ListParagraph">
    <w:name w:val="List Paragraph"/>
    <w:basedOn w:val="Normal"/>
    <w:uiPriority w:val="34"/>
    <w:qFormat/>
    <w:rsid w:val="00152D1A"/>
    <w:pPr>
      <w:spacing w:line="259" w:lineRule="auto"/>
      <w:ind w:left="720"/>
      <w:contextualSpacing/>
    </w:pPr>
    <w:rPr>
      <w:rFonts w:eastAsiaTheme="minorHAnsi"/>
      <w:kern w:val="2"/>
      <w:sz w:val="22"/>
      <w:szCs w:val="22"/>
      <w:lang w:val="en-IN" w:eastAsia="en-US"/>
      <w14:ligatures w14:val="standardContextual"/>
    </w:rPr>
  </w:style>
  <w:style w:type="character" w:styleId="IntenseEmphasis">
    <w:name w:val="Intense Emphasis"/>
    <w:basedOn w:val="DefaultParagraphFont"/>
    <w:uiPriority w:val="21"/>
    <w:qFormat/>
    <w:rsid w:val="00152D1A"/>
    <w:rPr>
      <w:i/>
      <w:iCs/>
      <w:color w:val="2F5496" w:themeColor="accent1" w:themeShade="BF"/>
    </w:rPr>
  </w:style>
  <w:style w:type="paragraph" w:styleId="IntenseQuote">
    <w:name w:val="Intense Quote"/>
    <w:basedOn w:val="Normal"/>
    <w:next w:val="Normal"/>
    <w:link w:val="IntenseQuoteChar"/>
    <w:uiPriority w:val="30"/>
    <w:qFormat/>
    <w:rsid w:val="00152D1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152D1A"/>
    <w:rPr>
      <w:i/>
      <w:iCs/>
      <w:color w:val="2F5496" w:themeColor="accent1" w:themeShade="BF"/>
    </w:rPr>
  </w:style>
  <w:style w:type="character" w:styleId="IntenseReference">
    <w:name w:val="Intense Reference"/>
    <w:basedOn w:val="DefaultParagraphFont"/>
    <w:uiPriority w:val="32"/>
    <w:qFormat/>
    <w:rsid w:val="00152D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AP23110010873</dc:creator>
  <cp:keywords/>
  <dc:description/>
  <cp:lastModifiedBy>ABHINAY AP23110010873</cp:lastModifiedBy>
  <cp:revision>1</cp:revision>
  <dcterms:created xsi:type="dcterms:W3CDTF">2026-04-10T00:06:00Z</dcterms:created>
  <dcterms:modified xsi:type="dcterms:W3CDTF">2026-04-10T00:09:00Z</dcterms:modified>
</cp:coreProperties>
</file>