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157746">
      <w:pPr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ScreenSense: Kids’ Screentime Visualization</w:t>
      </w:r>
    </w:p>
    <w:p w14:paraId="4D499BD9">
      <w:pPr>
        <w:jc w:val="center"/>
        <w:rPr>
          <w:rFonts w:hint="default" w:ascii="Times New Roman" w:hAnsi="Times New Roman" w:cs="Times New Roman"/>
          <w:sz w:val="40"/>
          <w:szCs w:val="40"/>
          <w:lang w:val="en-IN"/>
        </w:rPr>
      </w:pPr>
      <w:r>
        <w:rPr>
          <w:rFonts w:ascii="Times New Roman" w:hAnsi="Times New Roman" w:cs="Times New Roman"/>
          <w:sz w:val="40"/>
          <w:szCs w:val="40"/>
        </w:rPr>
        <w:t xml:space="preserve">Report on: Milestone </w:t>
      </w:r>
      <w:r>
        <w:rPr>
          <w:rFonts w:hint="default" w:ascii="Times New Roman" w:hAnsi="Times New Roman" w:cs="Times New Roman"/>
          <w:sz w:val="40"/>
          <w:szCs w:val="40"/>
          <w:lang w:val="en-IN"/>
        </w:rPr>
        <w:t>3</w:t>
      </w:r>
      <w:bookmarkStart w:id="0" w:name="_GoBack"/>
      <w:bookmarkEnd w:id="0"/>
    </w:p>
    <w:p w14:paraId="5A1C3A2B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(week-5,6)</w:t>
      </w:r>
    </w:p>
    <w:p w14:paraId="07F0620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Week 5: Cohort and Segment Analysis</w:t>
      </w:r>
    </w:p>
    <w:p w14:paraId="4DCD88A6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5.1 Objective:</w:t>
      </w:r>
    </w:p>
    <w:p w14:paraId="6100333A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Identify top user cohorts by combining demographic and device features (e.g., Age_Band × Primary_Device).</w:t>
      </w:r>
    </w:p>
    <w:p w14:paraId="5FBA19A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Compare cohorts using heatmaps and stacked charts across demographic or location segments.</w:t>
      </w:r>
    </w:p>
    <w:p w14:paraId="0175FC00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Produce cohort-level insights to prioritise digital-wellness interventions.</w:t>
      </w:r>
    </w:p>
    <w:p w14:paraId="511CB29F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5.2 Methods:</w:t>
      </w:r>
    </w:p>
    <w:p w14:paraId="54FD620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Created cohort label: Age_Band | Primary_Device | Urban_or_Rural | High_Screen_Time to capture demographic + behavior.</w:t>
      </w:r>
    </w:p>
    <w:p w14:paraId="17A60EA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Calculated cohort-level metrics: average screen time, proportion exceeding recommended limits, mean educational-to-recreational ratio, count.</w:t>
      </w:r>
    </w:p>
    <w:p w14:paraId="3D043351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Visuals: heatmap (Avg screen time), stacked bar (device share within age bands), sorted bar chart for top cohorts.</w:t>
      </w:r>
    </w:p>
    <w:p w14:paraId="318F85C2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5.3 Visuals:</w:t>
      </w:r>
    </w:p>
    <w:p w14:paraId="1BF1E629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4514850" cy="3208020"/>
            <wp:effectExtent l="0" t="0" r="0" b="0"/>
            <wp:docPr id="1429835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835477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15495" cy="320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F4887">
      <w:pPr>
        <w:ind w:left="720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Fig : Top Cohorts</w:t>
      </w:r>
    </w:p>
    <w:p w14:paraId="29D2876D">
      <w:r>
        <w:drawing>
          <wp:inline distT="0" distB="0" distL="0" distR="0">
            <wp:extent cx="5514975" cy="3520440"/>
            <wp:effectExtent l="0" t="0" r="9525" b="3810"/>
            <wp:docPr id="366505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505727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8445" cy="35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096F3">
      <w:pPr>
        <w:jc w:val="center"/>
        <w:rPr>
          <w:i/>
          <w:iCs/>
        </w:rPr>
      </w:pPr>
      <w:r>
        <w:rPr>
          <w:i/>
          <w:iCs/>
        </w:rPr>
        <w:t>Fig : Primary device used based on gender</w:t>
      </w:r>
    </w:p>
    <w:p w14:paraId="702E993B">
      <w:pPr>
        <w:jc w:val="center"/>
        <w:rPr>
          <w:i/>
          <w:iCs/>
        </w:rPr>
      </w:pPr>
    </w:p>
    <w:p w14:paraId="1C535058">
      <w:r>
        <w:drawing>
          <wp:inline distT="0" distB="0" distL="0" distR="0">
            <wp:extent cx="5570220" cy="3840480"/>
            <wp:effectExtent l="0" t="0" r="0" b="7620"/>
            <wp:docPr id="146238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386280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6188" cy="38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93ED">
      <w:pPr>
        <w:jc w:val="center"/>
        <w:rPr>
          <w:i/>
          <w:iCs/>
        </w:rPr>
      </w:pPr>
      <w:r>
        <w:rPr>
          <w:i/>
          <w:iCs/>
        </w:rPr>
        <w:t>Fig : Age band based on locations</w:t>
      </w:r>
    </w:p>
    <w:p w14:paraId="79538EEA">
      <w:pPr>
        <w:jc w:val="center"/>
        <w:rPr>
          <w:i/>
          <w:iCs/>
        </w:rPr>
      </w:pPr>
    </w:p>
    <w:p w14:paraId="03D4C51C">
      <w:pPr>
        <w:jc w:val="center"/>
      </w:pPr>
      <w:r>
        <w:drawing>
          <wp:inline distT="0" distB="0" distL="0" distR="0">
            <wp:extent cx="5731510" cy="3726180"/>
            <wp:effectExtent l="0" t="0" r="2540" b="7620"/>
            <wp:docPr id="82206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062896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65096">
      <w:pPr>
        <w:jc w:val="center"/>
        <w:rPr>
          <w:i/>
          <w:iCs/>
        </w:rPr>
      </w:pPr>
      <w:r>
        <w:rPr>
          <w:i/>
          <w:iCs/>
        </w:rPr>
        <w:t>Fig : High screen time based on age bands</w:t>
      </w:r>
    </w:p>
    <w:p w14:paraId="0F60053C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5.4 Key Insights:</w:t>
      </w:r>
    </w:p>
    <w:p w14:paraId="71B5839E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11–15 | Smartphone | Urban | High_Screen_Time cohort ranks among the highest average screen time — suggesting smartphone access + urban lifestyle raises exposure.</w:t>
      </w:r>
    </w:p>
    <w:p w14:paraId="5B8746C6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Laptops contribute more to education-heavy screen time (higher Educational_to_Recreational_Ratio) while smartphones skew recreational.</w:t>
      </w:r>
    </w:p>
    <w:p w14:paraId="100A8590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Smartphone is the most used device contributing to high screentimes.</w:t>
      </w:r>
    </w:p>
    <w:p w14:paraId="39432853"/>
    <w:p w14:paraId="1B99342E"/>
    <w:p w14:paraId="6D2AE6B3"/>
    <w:p w14:paraId="5E6485DE"/>
    <w:p w14:paraId="619CFE24"/>
    <w:p w14:paraId="35F8C415"/>
    <w:p w14:paraId="1646E354"/>
    <w:p w14:paraId="63FC0781"/>
    <w:p w14:paraId="0B36F7D8"/>
    <w:p w14:paraId="59EEEB2D"/>
    <w:p w14:paraId="2F53588D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Week 6: Seasonal/Calendar or Habit Patterns (if applicable)</w:t>
      </w:r>
    </w:p>
    <w:p w14:paraId="7034E82D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6.1 Objective:</w:t>
      </w:r>
    </w:p>
    <w:p w14:paraId="7F3F5F27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Monthly or term-time comparisons (if dates exist)</w:t>
      </w:r>
    </w:p>
    <w:p w14:paraId="63301CC4">
      <w:pPr>
        <w:pStyle w:val="29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Summarize segment-wise insights and possible drivers Deliverables: Seasonal/segment summaries and cohort insights</w:t>
      </w:r>
    </w:p>
    <w:p w14:paraId="3CD64F3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Imp :</w:t>
      </w:r>
      <w:r>
        <w:rPr>
          <w:rFonts w:ascii="Times New Roman" w:hAnsi="Times New Roman" w:cs="Times New Roman"/>
          <w:sz w:val="24"/>
          <w:szCs w:val="24"/>
        </w:rPr>
        <w:t xml:space="preserve"> The dataset does not contain a date or time column, so calendar-based seasonality such as monthly or term-time comparisons could not be performed. Instead, we analyzed </w:t>
      </w:r>
      <w:r>
        <w:rPr>
          <w:rFonts w:ascii="Times New Roman" w:hAnsi="Times New Roman" w:cs="Times New Roman"/>
          <w:i/>
          <w:iCs/>
          <w:sz w:val="24"/>
          <w:szCs w:val="24"/>
        </w:rPr>
        <w:t>habit-</w:t>
      </w:r>
      <w:r>
        <w:rPr>
          <w:rFonts w:ascii="Times New Roman" w:hAnsi="Times New Roman" w:cs="Times New Roman"/>
          <w:sz w:val="24"/>
          <w:szCs w:val="24"/>
        </w:rPr>
        <w:t>based seasonal patterns by studying repetitive behavioral trends across demographic and device-based segments. These patterns reveal how different groups consistently behave, similar to seasonal trends.</w:t>
      </w:r>
    </w:p>
    <w:p w14:paraId="1F16A2B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6.2 Methodology:</w:t>
      </w:r>
    </w:p>
    <w:p w14:paraId="426CE6E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Since dates are not available, we analyzed seasonal-like patterns using the following recurring segments:</w:t>
      </w:r>
    </w:p>
    <w:p w14:paraId="66E3DE86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1. Age-Based Habit Cycles</w:t>
      </w:r>
    </w:p>
    <w:p w14:paraId="4EDC9F0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Age bands were treated as developmental stages, showing growth in screen-time usage similar to seasonal progression.</w:t>
      </w:r>
    </w:p>
    <w:p w14:paraId="7E8A3E4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459480"/>
            <wp:effectExtent l="0" t="0" r="2540" b="7620"/>
            <wp:docPr id="509802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02994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F1E3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 Device-Based Habit Patterns</w:t>
      </w:r>
    </w:p>
    <w:p w14:paraId="10DCDED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Devices exhibit consistent usage trends </w:t>
      </w:r>
    </w:p>
    <w:p w14:paraId="1D888C82">
      <w:pPr>
        <w:pStyle w:val="2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Smartphones show the highest average screen time and lowest educational ratio.  </w:t>
      </w:r>
    </w:p>
    <w:p w14:paraId="57876C30">
      <w:pPr>
        <w:pStyle w:val="29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Laptops show higher academic usage, with balanced educational-to-recreational ratios.</w:t>
      </w:r>
    </w:p>
    <w:p w14:paraId="3021040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144135" cy="1981200"/>
            <wp:effectExtent l="0" t="0" r="0" b="0"/>
            <wp:docPr id="205260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603710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EE697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3. Gender-Based Behavioral Differences</w:t>
      </w:r>
    </w:p>
    <w:p w14:paraId="0A5EC4A0">
      <w:pPr>
        <w:rPr>
          <w:rFonts w:ascii="Times New Roman" w:hAnsi="Times New Roman" w:eastAsia="Times New Roman" w:cs="Times New Roman"/>
          <w:kern w:val="0"/>
          <w:sz w:val="24"/>
          <w:szCs w:val="24"/>
          <w:lang w:eastAsia="en-IN"/>
          <w14:ligatures w14:val="none"/>
        </w:rPr>
      </w:pPr>
      <w:r>
        <w:rPr>
          <w:rFonts w:ascii="Times New Roman" w:hAnsi="Times New Roman" w:cs="Times New Roman"/>
          <w:sz w:val="24"/>
          <w:szCs w:val="24"/>
        </w:rPr>
        <w:t>Recurring patterns between male and female screen habits were used as a pseudo-seasonal pattern.</w:t>
      </w:r>
      <w:r>
        <w:rPr>
          <w:rFonts w:ascii="Times New Roman" w:hAnsi="Times New Roman" w:eastAsia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</w:p>
    <w:p w14:paraId="414356FA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Females may show higher communication-based screen time. </w:t>
      </w:r>
    </w:p>
    <w:p w14:paraId="468EAD76">
      <w:pPr>
        <w:pStyle w:val="29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Males show higher recreational/gaming hours. These differences appear consistently across most segments.</w:t>
      </w:r>
    </w:p>
    <w:p w14:paraId="59928535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648960" cy="1343025"/>
            <wp:effectExtent l="0" t="0" r="8890" b="9525"/>
            <wp:docPr id="54111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118887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0E568">
      <w:pPr>
        <w:rPr>
          <w:rFonts w:ascii="Times New Roman" w:hAnsi="Times New Roman" w:cs="Times New Roman"/>
          <w:sz w:val="24"/>
          <w:szCs w:val="24"/>
        </w:rPr>
      </w:pPr>
    </w:p>
    <w:p w14:paraId="2DAD8340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4. Location-Based (Urban/Rural) Recurrence</w:t>
      </w:r>
    </w:p>
    <w:p w14:paraId="1123998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Urban users consistently exhibit higher screen usage due to device availability and network access. </w:t>
      </w:r>
    </w:p>
    <w:p w14:paraId="282028E5">
      <w:pPr>
        <w:pStyle w:val="29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Urban cohorts exhibit consistently higher screen usage.</w:t>
      </w:r>
    </w:p>
    <w:p w14:paraId="795C4C19">
      <w:pPr>
        <w:pStyle w:val="29"/>
        <w:numPr>
          <w:ilvl w:val="0"/>
          <w:numId w:val="7"/>
        </w:numPr>
        <w:spacing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Rural cohorts show more controlled screen habits due to shared device environments.</w:t>
      </w:r>
    </w:p>
    <w:p w14:paraId="65ED367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2905125" cy="1990725"/>
            <wp:effectExtent l="0" t="0" r="0" b="9525"/>
            <wp:docPr id="1577740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740670" name="Picture 2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0F820">
      <w:pPr>
        <w:rPr>
          <w:rFonts w:ascii="Times New Roman" w:hAnsi="Times New Roman" w:cs="Times New Roman"/>
          <w:sz w:val="24"/>
          <w:szCs w:val="24"/>
        </w:rPr>
      </w:pPr>
    </w:p>
    <w:p w14:paraId="788BE792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5. Cohort-Level Heatmap Patterns</w:t>
      </w:r>
    </w:p>
    <w:p w14:paraId="2A3FC74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Cohorts such as "Age Band × Device × Location × High Screen Time" were used to identify repeated high-intensity usage groups.</w:t>
      </w:r>
    </w:p>
    <w:p w14:paraId="5CF79B3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drawing>
          <wp:inline distT="0" distB="0" distL="0" distR="0">
            <wp:extent cx="5731510" cy="3807460"/>
            <wp:effectExtent l="0" t="0" r="2540" b="2540"/>
            <wp:docPr id="16420511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051161" name="Picture 3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5EF84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6.3 Insights:</w:t>
      </w:r>
    </w:p>
    <w:p w14:paraId="2197EC8E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Older age bands show consistently higher screen-time, indicating a developmental rise in usage.</w:t>
      </w:r>
    </w:p>
    <w:p w14:paraId="5C5AD70E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Smartphone users display the highest screen-time, driven mainly by recreational use.</w:t>
      </w:r>
    </w:p>
    <w:p w14:paraId="23F91B44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Laptop users maintain a better educational-to-recreational balance than smartphone users.</w:t>
      </w:r>
    </w:p>
    <w:p w14:paraId="2697B7C0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Urban students show higher screen-time than rural students due to better device and internet access.</w:t>
      </w:r>
    </w:p>
    <w:p w14:paraId="2571157F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High-screen-time cohorts show the lowest educational ratio, indicating more recreational screen habits.</w:t>
      </w:r>
    </w:p>
    <w:p w14:paraId="7E526D51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Female users tend to have slightly higher educational usage, while males lean more toward recreation.</w:t>
      </w:r>
    </w:p>
    <w:p w14:paraId="3B38C7DE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“11–15 | Smartphone | Urban” cohort repeatedly appears among the highest usage groups.</w:t>
      </w:r>
    </w:p>
    <w:p w14:paraId="0C586AD7">
      <w:pPr>
        <w:pStyle w:val="29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Screen-time patterns remain consistent across segments, forming strong habit-driven seasonal trends.</w:t>
      </w:r>
    </w:p>
    <w:p w14:paraId="66C04297">
      <w:pPr>
        <w:rPr>
          <w:rFonts w:ascii="Times New Roman" w:hAnsi="Times New Roman" w:cs="Times New Roman"/>
          <w:sz w:val="24"/>
          <w:szCs w:val="24"/>
        </w:rPr>
      </w:pPr>
    </w:p>
    <w:p w14:paraId="6605BB80">
      <w:pPr>
        <w:rPr>
          <w:rFonts w:ascii="Times New Roman" w:hAnsi="Times New Roman" w:cs="Times New Roman"/>
          <w:sz w:val="24"/>
          <w:szCs w:val="24"/>
        </w:rPr>
      </w:pPr>
    </w:p>
    <w:p w14:paraId="29DAA957">
      <w:pPr>
        <w:rPr>
          <w:rFonts w:ascii="Times New Roman" w:hAnsi="Times New Roman" w:cs="Times New Roman"/>
          <w:sz w:val="24"/>
          <w:szCs w:val="24"/>
        </w:rPr>
      </w:pPr>
    </w:p>
    <w:p w14:paraId="2824F039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6.7 Conclusion:</w:t>
      </w:r>
    </w:p>
    <w:p w14:paraId="2C20888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Although the dataset lacked date or calendar fields, meaningful habit-based seasonal patterns were identified by analyzing </w:t>
      </w:r>
      <w:r>
        <w:rPr>
          <w:rFonts w:ascii="Times New Roman" w:hAnsi="Times New Roman" w:cs="Times New Roman"/>
          <w:b/>
          <w:bCs/>
          <w:sz w:val="24"/>
          <w:szCs w:val="24"/>
        </w:rPr>
        <w:t>recurring demographic and device-related behaviors</w:t>
      </w:r>
      <w:r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br w:type="textWrapping"/>
      </w:r>
      <w:r>
        <w:rPr>
          <w:rFonts w:ascii="Times New Roman" w:hAnsi="Times New Roman" w:cs="Times New Roman"/>
          <w:sz w:val="24"/>
          <w:szCs w:val="24"/>
        </w:rPr>
        <w:t>This approach serves as an effective alternative to classical seasonal analysis and provides deep insights into how children’s screen-time habits evolve across age, device preference, gender, and location.</w:t>
      </w:r>
    </w:p>
    <w:p w14:paraId="0BE7596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Done by :</w:t>
      </w:r>
    </w:p>
    <w:p w14:paraId="649D37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Name : Devarasi Bhavani</w:t>
      </w:r>
    </w:p>
    <w:p w14:paraId="4FB9DC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Email Id : devarasibhavani@gmail.com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0D38E1"/>
    <w:multiLevelType w:val="multilevel"/>
    <w:tmpl w:val="420D38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43572AD7"/>
    <w:multiLevelType w:val="multilevel"/>
    <w:tmpl w:val="43572AD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>
    <w:nsid w:val="4394422D"/>
    <w:multiLevelType w:val="multilevel"/>
    <w:tmpl w:val="439442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5411515C"/>
    <w:multiLevelType w:val="multilevel"/>
    <w:tmpl w:val="5411515C"/>
    <w:lvl w:ilvl="0" w:tentative="0">
      <w:start w:val="1"/>
      <w:numFmt w:val="bullet"/>
      <w:lvlText w:val=""/>
      <w:lvlJc w:val="left"/>
      <w:pPr>
        <w:ind w:left="144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w:abstractNumId="4">
    <w:nsid w:val="5F4A6B5F"/>
    <w:multiLevelType w:val="multilevel"/>
    <w:tmpl w:val="5F4A6B5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617D49D6"/>
    <w:multiLevelType w:val="multilevel"/>
    <w:tmpl w:val="617D49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764C2162"/>
    <w:multiLevelType w:val="multilevel"/>
    <w:tmpl w:val="764C2162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3"/>
  </w:num>
  <w:num w:numId="5">
    <w:abstractNumId w:val="4"/>
  </w:num>
  <w:num w:numId="6">
    <w:abstractNumId w:val="6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28C8"/>
    <w:rsid w:val="00535F23"/>
    <w:rsid w:val="006422D2"/>
    <w:rsid w:val="00855DB0"/>
    <w:rsid w:val="008E07A6"/>
    <w:rsid w:val="00A628C8"/>
    <w:rsid w:val="00B96D68"/>
    <w:rsid w:val="00C805F8"/>
    <w:rsid w:val="00CA2829"/>
    <w:rsid w:val="13216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en-IN" w:eastAsia="en-US" w:bidi="ar-SA"/>
      <w14:ligatures w14:val="standardContextual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2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4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paragraph" w:styleId="14">
    <w:name w:val="Subtitle"/>
    <w:basedOn w:val="1"/>
    <w:next w:val="1"/>
    <w:link w:val="26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5">
    <w:name w:val="Title"/>
    <w:basedOn w:val="1"/>
    <w:next w:val="1"/>
    <w:link w:val="25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6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19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0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1">
    <w:name w:val="Heading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5">
    <w:name w:val="Title Char"/>
    <w:basedOn w:val="11"/>
    <w:link w:val="15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6">
    <w:name w:val="Subtitle Char"/>
    <w:basedOn w:val="11"/>
    <w:link w:val="1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Quote"/>
    <w:basedOn w:val="1"/>
    <w:next w:val="1"/>
    <w:link w:val="28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8">
    <w:name w:val="Quote Char"/>
    <w:basedOn w:val="11"/>
    <w:link w:val="27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9">
    <w:name w:val="List Paragraph"/>
    <w:basedOn w:val="1"/>
    <w:qFormat/>
    <w:uiPriority w:val="34"/>
    <w:pPr>
      <w:ind w:left="720"/>
      <w:contextualSpacing/>
    </w:pPr>
  </w:style>
  <w:style w:type="character" w:customStyle="1" w:styleId="30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1">
    <w:name w:val="Intense Quote"/>
    <w:basedOn w:val="1"/>
    <w:next w:val="1"/>
    <w:link w:val="32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2">
    <w:name w:val="Intense Quote Char"/>
    <w:basedOn w:val="11"/>
    <w:link w:val="31"/>
    <w:qFormat/>
    <w:uiPriority w:val="30"/>
    <w:rPr>
      <w:i/>
      <w:iCs/>
      <w:color w:val="2F5597" w:themeColor="accent1" w:themeShade="BF"/>
    </w:rPr>
  </w:style>
  <w:style w:type="character" w:customStyle="1" w:styleId="33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669</Words>
  <Characters>3818</Characters>
  <Lines>31</Lines>
  <Paragraphs>8</Paragraphs>
  <TotalTime>1</TotalTime>
  <ScaleCrop>false</ScaleCrop>
  <LinksUpToDate>false</LinksUpToDate>
  <CharactersWithSpaces>4479</CharactersWithSpaces>
  <Application>WPS Office_12.2.0.18639_F1E327BC-269C-435d-A152-05C5408002CA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2025-12-03T05:37:00Z</dcterms:created>
  <dc:creator>bhavani reddy</dc:creator>
  <cp:lastModifiedBy>Devarasi bhavani</cp:lastModifiedBy>
  <dcterms:modified xsi:type="dcterms:W3CDTF">2025-12-05T16:33:26Z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1033-12.2.0.18639</vt:lpwstr>
  </property>
  <property fmtid="{D5CDD505-2E9C-101B-9397-08002B2CF9AE}" pid="3" name="ICV">
    <vt:lpwstr>23C9975B26E342D491A64927B808E7E6_12</vt:lpwstr>
  </property>
</Properties>
</file>