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13531" w14:textId="77777777" w:rsidR="00F9204C" w:rsidRPr="00F9204C" w:rsidRDefault="00F9204C" w:rsidP="00F9204C">
      <w:pPr>
        <w:rPr>
          <w:rFonts w:ascii="Times New Roman" w:hAnsi="Times New Roman" w:cs="Times New Roman"/>
          <w:sz w:val="36"/>
          <w:szCs w:val="36"/>
          <w:u w:val="single"/>
        </w:rPr>
      </w:pPr>
      <w:r w:rsidRPr="00F9204C">
        <w:rPr>
          <w:rFonts w:ascii="Times New Roman" w:hAnsi="Times New Roman" w:cs="Times New Roman"/>
          <w:sz w:val="36"/>
          <w:szCs w:val="36"/>
          <w:u w:val="single"/>
        </w:rPr>
        <w:t>10. Conclusion &amp; Next Steps</w:t>
      </w:r>
    </w:p>
    <w:p w14:paraId="21F24563" w14:textId="77777777" w:rsidR="00F9204C" w:rsidRPr="00F9204C" w:rsidRDefault="00F9204C" w:rsidP="00F9204C">
      <w:pPr>
        <w:rPr>
          <w:rFonts w:ascii="Times New Roman" w:hAnsi="Times New Roman" w:cs="Times New Roman"/>
          <w:sz w:val="28"/>
          <w:szCs w:val="28"/>
        </w:rPr>
      </w:pPr>
      <w:r w:rsidRPr="00F9204C">
        <w:rPr>
          <w:rFonts w:ascii="Times New Roman" w:hAnsi="Times New Roman" w:cs="Times New Roman"/>
          <w:sz w:val="28"/>
          <w:szCs w:val="28"/>
        </w:rPr>
        <w:t xml:space="preserve">The modernization of VXML-based IVR systems through integration with Conversational AI platforms (ACS and BAP) presents a strategic opportunity to enhance customer engagement, improve operational efficiency, and future-proof the contact </w:t>
      </w:r>
      <w:proofErr w:type="spellStart"/>
      <w:r w:rsidRPr="00F9204C">
        <w:rPr>
          <w:rFonts w:ascii="Times New Roman" w:hAnsi="Times New Roman" w:cs="Times New Roman"/>
          <w:sz w:val="28"/>
          <w:szCs w:val="28"/>
        </w:rPr>
        <w:t>center</w:t>
      </w:r>
      <w:proofErr w:type="spellEnd"/>
      <w:r w:rsidRPr="00F9204C">
        <w:rPr>
          <w:rFonts w:ascii="Times New Roman" w:hAnsi="Times New Roman" w:cs="Times New Roman"/>
          <w:sz w:val="28"/>
          <w:szCs w:val="28"/>
        </w:rPr>
        <w:t xml:space="preserve"> ecosystem. By adopting a hybrid approach, organizations can preserve existing VXML assets while gradually introducing conversational capabilities, minimizing redevelopment costs and operational risks.</w:t>
      </w:r>
    </w:p>
    <w:p w14:paraId="665C9D5C" w14:textId="77777777" w:rsidR="00F9204C" w:rsidRPr="00F9204C" w:rsidRDefault="00F9204C" w:rsidP="00F9204C">
      <w:pPr>
        <w:rPr>
          <w:rFonts w:ascii="Times New Roman" w:hAnsi="Times New Roman" w:cs="Times New Roman"/>
          <w:sz w:val="28"/>
          <w:szCs w:val="28"/>
        </w:rPr>
      </w:pPr>
      <w:r w:rsidRPr="00F9204C">
        <w:rPr>
          <w:rFonts w:ascii="Times New Roman" w:hAnsi="Times New Roman" w:cs="Times New Roman"/>
          <w:sz w:val="28"/>
          <w:szCs w:val="28"/>
        </w:rPr>
        <w:t>Key findings highlight that while legacy IVR systems remain reliable for structured call flows, they lack the flexibility, personalization, and scalability required to meet evolving customer expectations. ACS brings advanced natural language understanding, speech recognition, and contextual intelligence, while BAP enables conversational workflow orchestration—together providing a powerful foundation for a next-generation IVR experience.</w:t>
      </w:r>
    </w:p>
    <w:p w14:paraId="0A0DCDAF" w14:textId="77777777" w:rsidR="00F9204C" w:rsidRPr="00F9204C" w:rsidRDefault="00F9204C" w:rsidP="00F9204C">
      <w:pPr>
        <w:rPr>
          <w:rFonts w:ascii="Times New Roman" w:hAnsi="Times New Roman" w:cs="Times New Roman"/>
          <w:sz w:val="28"/>
          <w:szCs w:val="28"/>
        </w:rPr>
      </w:pPr>
      <w:r w:rsidRPr="00F9204C">
        <w:rPr>
          <w:rFonts w:ascii="Times New Roman" w:hAnsi="Times New Roman" w:cs="Times New Roman"/>
          <w:sz w:val="28"/>
          <w:szCs w:val="28"/>
        </w:rPr>
        <w:t>The recommended strategy involves a phased migration plan, starting with selective use cases where conversational AI adds immediate value, followed by progressive expansion across broader workflows. This approach ensures business continuity, reduces migration risks, and provides measurable ROI at each stage.</w:t>
      </w:r>
    </w:p>
    <w:p w14:paraId="4E985E55" w14:textId="77777777" w:rsidR="00F9204C" w:rsidRPr="00F9204C" w:rsidRDefault="00F9204C" w:rsidP="00F9204C">
      <w:pPr>
        <w:rPr>
          <w:rFonts w:ascii="Times New Roman" w:hAnsi="Times New Roman" w:cs="Times New Roman"/>
          <w:sz w:val="32"/>
          <w:szCs w:val="32"/>
          <w:u w:val="single"/>
        </w:rPr>
      </w:pPr>
      <w:r w:rsidRPr="00F9204C">
        <w:rPr>
          <w:rFonts w:ascii="Times New Roman" w:hAnsi="Times New Roman" w:cs="Times New Roman"/>
          <w:sz w:val="32"/>
          <w:szCs w:val="32"/>
          <w:u w:val="single"/>
        </w:rPr>
        <w:t>Next Steps include:</w:t>
      </w:r>
    </w:p>
    <w:p w14:paraId="4667BFB7" w14:textId="77777777" w:rsidR="00F9204C" w:rsidRPr="00F9204C" w:rsidRDefault="00F9204C" w:rsidP="00F9204C">
      <w:pPr>
        <w:numPr>
          <w:ilvl w:val="0"/>
          <w:numId w:val="7"/>
        </w:numPr>
        <w:rPr>
          <w:rFonts w:ascii="Times New Roman" w:hAnsi="Times New Roman" w:cs="Times New Roman"/>
          <w:sz w:val="28"/>
          <w:szCs w:val="28"/>
        </w:rPr>
      </w:pPr>
      <w:r w:rsidRPr="00F9204C">
        <w:rPr>
          <w:rFonts w:ascii="Times New Roman" w:hAnsi="Times New Roman" w:cs="Times New Roman"/>
          <w:sz w:val="28"/>
          <w:szCs w:val="28"/>
          <w:u w:val="single"/>
        </w:rPr>
        <w:t>Detailed Assessment</w:t>
      </w:r>
      <w:r w:rsidRPr="00F9204C">
        <w:rPr>
          <w:rFonts w:ascii="Times New Roman" w:hAnsi="Times New Roman" w:cs="Times New Roman"/>
          <w:sz w:val="28"/>
          <w:szCs w:val="28"/>
        </w:rPr>
        <w:t xml:space="preserve"> – Conduct a deep dive into existing VXML scripts, dependencies, and integration points.</w:t>
      </w:r>
    </w:p>
    <w:p w14:paraId="1532AB58" w14:textId="77777777" w:rsidR="00F9204C" w:rsidRPr="00F9204C" w:rsidRDefault="00F9204C" w:rsidP="00F9204C">
      <w:pPr>
        <w:numPr>
          <w:ilvl w:val="0"/>
          <w:numId w:val="7"/>
        </w:numPr>
        <w:rPr>
          <w:rFonts w:ascii="Times New Roman" w:hAnsi="Times New Roman" w:cs="Times New Roman"/>
          <w:sz w:val="28"/>
          <w:szCs w:val="28"/>
        </w:rPr>
      </w:pPr>
      <w:r w:rsidRPr="00F9204C">
        <w:rPr>
          <w:rFonts w:ascii="Times New Roman" w:hAnsi="Times New Roman" w:cs="Times New Roman"/>
          <w:sz w:val="28"/>
          <w:szCs w:val="28"/>
          <w:u w:val="single"/>
        </w:rPr>
        <w:t>Pilot Implementation</w:t>
      </w:r>
      <w:r w:rsidRPr="00F9204C">
        <w:rPr>
          <w:rFonts w:ascii="Times New Roman" w:hAnsi="Times New Roman" w:cs="Times New Roman"/>
          <w:sz w:val="28"/>
          <w:szCs w:val="28"/>
        </w:rPr>
        <w:t xml:space="preserve"> – Deploy a hybrid IVR model with ACS/BAP for a limited set of call flows.</w:t>
      </w:r>
    </w:p>
    <w:p w14:paraId="53E41CF8" w14:textId="77777777" w:rsidR="00F9204C" w:rsidRPr="00F9204C" w:rsidRDefault="00F9204C" w:rsidP="00F9204C">
      <w:pPr>
        <w:numPr>
          <w:ilvl w:val="0"/>
          <w:numId w:val="7"/>
        </w:numPr>
        <w:rPr>
          <w:rFonts w:ascii="Times New Roman" w:hAnsi="Times New Roman" w:cs="Times New Roman"/>
          <w:sz w:val="28"/>
          <w:szCs w:val="28"/>
        </w:rPr>
      </w:pPr>
      <w:r w:rsidRPr="00F9204C">
        <w:rPr>
          <w:rFonts w:ascii="Times New Roman" w:hAnsi="Times New Roman" w:cs="Times New Roman"/>
          <w:sz w:val="28"/>
          <w:szCs w:val="28"/>
          <w:u w:val="single"/>
        </w:rPr>
        <w:t>Testing &amp; Validation</w:t>
      </w:r>
      <w:r w:rsidRPr="00F9204C">
        <w:rPr>
          <w:rFonts w:ascii="Times New Roman" w:hAnsi="Times New Roman" w:cs="Times New Roman"/>
          <w:sz w:val="28"/>
          <w:szCs w:val="28"/>
        </w:rPr>
        <w:t xml:space="preserve"> – Measure performance, accuracy, and user experience improvements before scaling.</w:t>
      </w:r>
    </w:p>
    <w:p w14:paraId="7138334D" w14:textId="77777777" w:rsidR="00F9204C" w:rsidRPr="00F9204C" w:rsidRDefault="00F9204C" w:rsidP="00F9204C">
      <w:pPr>
        <w:numPr>
          <w:ilvl w:val="0"/>
          <w:numId w:val="7"/>
        </w:numPr>
        <w:rPr>
          <w:rFonts w:ascii="Times New Roman" w:hAnsi="Times New Roman" w:cs="Times New Roman"/>
          <w:sz w:val="28"/>
          <w:szCs w:val="28"/>
        </w:rPr>
      </w:pPr>
      <w:r w:rsidRPr="00F9204C">
        <w:rPr>
          <w:rFonts w:ascii="Times New Roman" w:hAnsi="Times New Roman" w:cs="Times New Roman"/>
          <w:sz w:val="28"/>
          <w:szCs w:val="28"/>
          <w:u w:val="single"/>
        </w:rPr>
        <w:t>Training &amp; Enablement</w:t>
      </w:r>
      <w:r w:rsidRPr="00F9204C">
        <w:rPr>
          <w:rFonts w:ascii="Times New Roman" w:hAnsi="Times New Roman" w:cs="Times New Roman"/>
          <w:sz w:val="28"/>
          <w:szCs w:val="28"/>
        </w:rPr>
        <w:t xml:space="preserve"> – Upskill IVR and operations teams to manage conversational workflows.</w:t>
      </w:r>
    </w:p>
    <w:p w14:paraId="14150FAE" w14:textId="77777777" w:rsidR="00F9204C" w:rsidRPr="00F9204C" w:rsidRDefault="00F9204C" w:rsidP="00F9204C">
      <w:pPr>
        <w:numPr>
          <w:ilvl w:val="0"/>
          <w:numId w:val="7"/>
        </w:numPr>
        <w:rPr>
          <w:rFonts w:ascii="Times New Roman" w:hAnsi="Times New Roman" w:cs="Times New Roman"/>
          <w:sz w:val="28"/>
          <w:szCs w:val="28"/>
        </w:rPr>
      </w:pPr>
      <w:r w:rsidRPr="00F9204C">
        <w:rPr>
          <w:rFonts w:ascii="Times New Roman" w:hAnsi="Times New Roman" w:cs="Times New Roman"/>
          <w:sz w:val="28"/>
          <w:szCs w:val="28"/>
          <w:u w:val="single"/>
        </w:rPr>
        <w:t>Roadmap Execution</w:t>
      </w:r>
      <w:r w:rsidRPr="00F9204C">
        <w:rPr>
          <w:rFonts w:ascii="Times New Roman" w:hAnsi="Times New Roman" w:cs="Times New Roman"/>
          <w:sz w:val="28"/>
          <w:szCs w:val="28"/>
        </w:rPr>
        <w:t xml:space="preserve"> – Roll out phased modernization, integrating analytics, reporting, and omnichannel capabilities.</w:t>
      </w:r>
    </w:p>
    <w:p w14:paraId="07073FAF" w14:textId="77777777" w:rsidR="00F9204C" w:rsidRPr="00F9204C" w:rsidRDefault="00F9204C" w:rsidP="00F9204C">
      <w:pPr>
        <w:rPr>
          <w:rFonts w:ascii="Times New Roman" w:hAnsi="Times New Roman" w:cs="Times New Roman"/>
          <w:sz w:val="28"/>
          <w:szCs w:val="28"/>
        </w:rPr>
      </w:pPr>
      <w:r w:rsidRPr="00F9204C">
        <w:rPr>
          <w:rFonts w:ascii="Times New Roman" w:hAnsi="Times New Roman" w:cs="Times New Roman"/>
          <w:sz w:val="28"/>
          <w:szCs w:val="28"/>
        </w:rPr>
        <w:t>Looking ahead, the modernization journey should extend beyond IVR, evolving into an omnichannel engagement strategy powered by AI-driven analytics, personalization, and seamless integration with digital channels. This positions the enterprise to deliver consistent, intelligent, and customer-centric experiences across all points of interaction.</w:t>
      </w:r>
    </w:p>
    <w:p w14:paraId="3B378DCE" w14:textId="77777777" w:rsidR="00AE2AF0" w:rsidRPr="00F9204C" w:rsidRDefault="00AE2AF0" w:rsidP="00F9204C">
      <w:pPr>
        <w:rPr>
          <w:sz w:val="16"/>
          <w:szCs w:val="16"/>
        </w:rPr>
      </w:pPr>
    </w:p>
    <w:sectPr w:rsidR="00AE2AF0" w:rsidRPr="00F92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7B54"/>
    <w:multiLevelType w:val="multilevel"/>
    <w:tmpl w:val="0DA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D1E23"/>
    <w:multiLevelType w:val="multilevel"/>
    <w:tmpl w:val="AC12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97CF7"/>
    <w:multiLevelType w:val="multilevel"/>
    <w:tmpl w:val="D1A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0624E"/>
    <w:multiLevelType w:val="multilevel"/>
    <w:tmpl w:val="0B1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2EB5"/>
    <w:multiLevelType w:val="multilevel"/>
    <w:tmpl w:val="13B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26F0A"/>
    <w:multiLevelType w:val="multilevel"/>
    <w:tmpl w:val="27F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658FC"/>
    <w:multiLevelType w:val="multilevel"/>
    <w:tmpl w:val="146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90702">
    <w:abstractNumId w:val="3"/>
  </w:num>
  <w:num w:numId="2" w16cid:durableId="1623263818">
    <w:abstractNumId w:val="1"/>
  </w:num>
  <w:num w:numId="3" w16cid:durableId="1202667146">
    <w:abstractNumId w:val="6"/>
  </w:num>
  <w:num w:numId="4" w16cid:durableId="937102010">
    <w:abstractNumId w:val="5"/>
  </w:num>
  <w:num w:numId="5" w16cid:durableId="386077725">
    <w:abstractNumId w:val="2"/>
  </w:num>
  <w:num w:numId="6" w16cid:durableId="1489638937">
    <w:abstractNumId w:val="4"/>
  </w:num>
  <w:num w:numId="7" w16cid:durableId="51507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22"/>
    <w:rsid w:val="000D0C22"/>
    <w:rsid w:val="003E5D71"/>
    <w:rsid w:val="005C38CA"/>
    <w:rsid w:val="00AE2AF0"/>
    <w:rsid w:val="00F9204C"/>
    <w:rsid w:val="00FF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17E7"/>
  <w15:chartTrackingRefBased/>
  <w15:docId w15:val="{7DDCBDED-93CB-4A74-869B-85A61E30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C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D0C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0C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0C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D0C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D0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D0C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0C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0C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D0C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D0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C22"/>
    <w:rPr>
      <w:rFonts w:eastAsiaTheme="majorEastAsia" w:cstheme="majorBidi"/>
      <w:color w:val="272727" w:themeColor="text1" w:themeTint="D8"/>
    </w:rPr>
  </w:style>
  <w:style w:type="paragraph" w:styleId="Title">
    <w:name w:val="Title"/>
    <w:basedOn w:val="Normal"/>
    <w:next w:val="Normal"/>
    <w:link w:val="TitleChar"/>
    <w:uiPriority w:val="10"/>
    <w:qFormat/>
    <w:rsid w:val="000D0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C22"/>
    <w:pPr>
      <w:spacing w:before="160"/>
      <w:jc w:val="center"/>
    </w:pPr>
    <w:rPr>
      <w:i/>
      <w:iCs/>
      <w:color w:val="404040" w:themeColor="text1" w:themeTint="BF"/>
    </w:rPr>
  </w:style>
  <w:style w:type="character" w:customStyle="1" w:styleId="QuoteChar">
    <w:name w:val="Quote Char"/>
    <w:basedOn w:val="DefaultParagraphFont"/>
    <w:link w:val="Quote"/>
    <w:uiPriority w:val="29"/>
    <w:rsid w:val="000D0C22"/>
    <w:rPr>
      <w:i/>
      <w:iCs/>
      <w:color w:val="404040" w:themeColor="text1" w:themeTint="BF"/>
    </w:rPr>
  </w:style>
  <w:style w:type="paragraph" w:styleId="ListParagraph">
    <w:name w:val="List Paragraph"/>
    <w:basedOn w:val="Normal"/>
    <w:uiPriority w:val="34"/>
    <w:qFormat/>
    <w:rsid w:val="000D0C22"/>
    <w:pPr>
      <w:ind w:left="720"/>
      <w:contextualSpacing/>
    </w:pPr>
  </w:style>
  <w:style w:type="character" w:styleId="IntenseEmphasis">
    <w:name w:val="Intense Emphasis"/>
    <w:basedOn w:val="DefaultParagraphFont"/>
    <w:uiPriority w:val="21"/>
    <w:qFormat/>
    <w:rsid w:val="000D0C22"/>
    <w:rPr>
      <w:i/>
      <w:iCs/>
      <w:color w:val="2E74B5" w:themeColor="accent1" w:themeShade="BF"/>
    </w:rPr>
  </w:style>
  <w:style w:type="paragraph" w:styleId="IntenseQuote">
    <w:name w:val="Intense Quote"/>
    <w:basedOn w:val="Normal"/>
    <w:next w:val="Normal"/>
    <w:link w:val="IntenseQuoteChar"/>
    <w:uiPriority w:val="30"/>
    <w:qFormat/>
    <w:rsid w:val="000D0C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D0C22"/>
    <w:rPr>
      <w:i/>
      <w:iCs/>
      <w:color w:val="2E74B5" w:themeColor="accent1" w:themeShade="BF"/>
    </w:rPr>
  </w:style>
  <w:style w:type="character" w:styleId="IntenseReference">
    <w:name w:val="Intense Reference"/>
    <w:basedOn w:val="DefaultParagraphFont"/>
    <w:uiPriority w:val="32"/>
    <w:qFormat/>
    <w:rsid w:val="000D0C22"/>
    <w:rPr>
      <w:b/>
      <w:bCs/>
      <w:smallCaps/>
      <w:color w:val="2E74B5" w:themeColor="accent1" w:themeShade="BF"/>
      <w:spacing w:val="5"/>
    </w:rPr>
  </w:style>
  <w:style w:type="table" w:styleId="TableGrid">
    <w:name w:val="Table Grid"/>
    <w:basedOn w:val="TableNormal"/>
    <w:uiPriority w:val="39"/>
    <w:rsid w:val="000D0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Mondal</dc:creator>
  <cp:keywords/>
  <dc:description/>
  <cp:lastModifiedBy>Animesh Mondal</cp:lastModifiedBy>
  <cp:revision>2</cp:revision>
  <dcterms:created xsi:type="dcterms:W3CDTF">2025-08-22T13:40:00Z</dcterms:created>
  <dcterms:modified xsi:type="dcterms:W3CDTF">2025-08-22T14:28:00Z</dcterms:modified>
</cp:coreProperties>
</file>