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MediStock</w:t>
      </w:r>
    </w:p>
    <w:p>
      <w:pPr>
        <w:spacing w:after="100"/>
        <w:jc w:val="center"/>
      </w:pPr>
      <w:r>
        <w:rPr>
          <w:color w:val="3D3D3A"/>
          <w:sz w:val="28"/>
          <w:szCs w:val="28"/>
        </w:rPr>
        <w:t xml:space="preserve">Medical Inventory Management Platform</w:t>
      </w:r>
    </w:p>
    <w:p>
      <w:pPr>
        <w:spacing w:after="2000"/>
        <w:jc w:val="center"/>
      </w:pPr>
      <w:r>
        <w:rPr>
          <w:i/>
          <w:iCs/>
          <w:color w:val="6B6A63"/>
          <w:sz w:val="24"/>
          <w:szCs w:val="24"/>
        </w:rPr>
        <w:t xml:space="preserve">Project Understanding, Requirements &amp; Design Document</w:t>
      </w:r>
    </w:p>
    <w:p>
      <w:r>
        <w:br w:type="page"/>
      </w:r>
    </w:p>
    <w:p>
      <w:pPr>
        <w:pStyle w:val="Heading1"/>
        <w:spacing w:after="160" w:before="320"/>
      </w:pPr>
      <w:r>
        <w:t xml:space="preserve">Table of Contents</w:t>
      </w:r>
    </w:p>
    <w:p>
      <w:pPr>
        <w:pStyle w:val="ListParagraph"/>
        <w:numPr>
          <w:ilvl w:val="0"/>
          <w:numId w:val="1"/>
        </w:numPr>
        <w:spacing w:after="60"/>
      </w:pPr>
      <w:r>
        <w:t xml:space="preserve">1. Project Understanding and Objectives</w:t>
      </w:r>
    </w:p>
    <w:p>
      <w:pPr>
        <w:pStyle w:val="ListParagraph"/>
        <w:numPr>
          <w:ilvl w:val="0"/>
          <w:numId w:val="1"/>
        </w:numPr>
        <w:spacing w:after="60"/>
      </w:pPr>
      <w:r>
        <w:t xml:space="preserve">2. Problem Statement</w:t>
      </w:r>
    </w:p>
    <w:p>
      <w:pPr>
        <w:pStyle w:val="ListParagraph"/>
        <w:numPr>
          <w:ilvl w:val="0"/>
          <w:numId w:val="1"/>
        </w:numPr>
        <w:spacing w:after="60"/>
      </w:pPr>
      <w:r>
        <w:t xml:space="preserve">3. User Roles and Permissions</w:t>
      </w:r>
    </w:p>
    <w:p>
      <w:pPr>
        <w:pStyle w:val="ListParagraph"/>
        <w:numPr>
          <w:ilvl w:val="0"/>
          <w:numId w:val="1"/>
        </w:numPr>
        <w:spacing w:after="60"/>
      </w:pPr>
      <w:r>
        <w:t xml:space="preserve">4. Functional Requirements</w:t>
      </w:r>
    </w:p>
    <w:p>
      <w:pPr>
        <w:pStyle w:val="ListParagraph"/>
        <w:numPr>
          <w:ilvl w:val="0"/>
          <w:numId w:val="1"/>
        </w:numPr>
        <w:spacing w:after="60"/>
      </w:pPr>
      <w:r>
        <w:t xml:space="preserve">5. Non-Functional Requirements</w:t>
      </w:r>
    </w:p>
    <w:p>
      <w:pPr>
        <w:pStyle w:val="ListParagraph"/>
        <w:numPr>
          <w:ilvl w:val="0"/>
          <w:numId w:val="1"/>
        </w:numPr>
        <w:spacing w:after="60"/>
      </w:pPr>
      <w:r>
        <w:t xml:space="preserve">6. Workflow Diagram</w:t>
      </w:r>
    </w:p>
    <w:p>
      <w:pPr>
        <w:pStyle w:val="ListParagraph"/>
        <w:numPr>
          <w:ilvl w:val="0"/>
          <w:numId w:val="1"/>
        </w:numPr>
        <w:spacing w:after="60"/>
      </w:pPr>
      <w:r>
        <w:t xml:space="preserve">7. System Architecture Diagram</w:t>
      </w:r>
    </w:p>
    <w:p>
      <w:pPr>
        <w:pStyle w:val="ListParagraph"/>
        <w:numPr>
          <w:ilvl w:val="0"/>
          <w:numId w:val="1"/>
        </w:numPr>
        <w:spacing w:after="60"/>
      </w:pPr>
      <w:r>
        <w:t xml:space="preserve">8. Database Schema (ER Diagram)</w:t>
      </w:r>
    </w:p>
    <w:p>
      <w:pPr>
        <w:pStyle w:val="ListParagraph"/>
        <w:numPr>
          <w:ilvl w:val="0"/>
          <w:numId w:val="1"/>
        </w:numPr>
        <w:spacing w:after="60"/>
      </w:pPr>
      <w:r>
        <w:t xml:space="preserve">9. UI Wireframes</w:t>
      </w:r>
    </w:p>
    <w:p>
      <w:r>
        <w:br w:type="page"/>
      </w:r>
    </w:p>
    <w:p>
      <w:pPr>
        <w:pStyle w:val="Heading1"/>
        <w:spacing w:after="160" w:before="320"/>
      </w:pPr>
      <w:r>
        <w:t xml:space="preserve">1. Project Understanding and Objectives</w:t>
      </w:r>
    </w:p>
    <w:p>
      <w:pPr>
        <w:spacing w:after="160"/>
      </w:pPr>
      <w:r>
        <w:t xml:space="preserve">MediStock is a full-stack medical inventory management platform (React.js frontend + Spring Boot backend) built for pharmacies, hospitals, and healthcare organizations. The platform centralizes medicine stock tracking, expiry monitoring, supplier management, and inventory analytics so that healthcare facilities can avoid stockouts, reduce wastage from expired medicine, and make data-driven purchasing decisions.</w:t>
      </w:r>
    </w:p>
    <w:p>
      <w:pPr>
        <w:pStyle w:val="Heading2"/>
        <w:spacing w:after="120" w:before="240"/>
      </w:pPr>
      <w:r>
        <w:t xml:space="preserve">Objectives</w:t>
      </w:r>
    </w:p>
    <w:p>
      <w:pPr>
        <w:pStyle w:val="ListParagraph"/>
        <w:numPr>
          <w:ilvl w:val="0"/>
          <w:numId w:val="1"/>
        </w:numPr>
        <w:spacing w:after="60"/>
      </w:pPr>
      <w:r>
        <w:t xml:space="preserve">Provide real-time visibility into medicine stock levels across categories and batches.</w:t>
      </w:r>
    </w:p>
    <w:p>
      <w:pPr>
        <w:pStyle w:val="ListParagraph"/>
        <w:numPr>
          <w:ilvl w:val="0"/>
          <w:numId w:val="1"/>
        </w:numPr>
        <w:spacing w:after="60"/>
      </w:pPr>
      <w:r>
        <w:t xml:space="preserve">Proactively surface low-stock and expiry risks before they become operational problems.</w:t>
      </w:r>
    </w:p>
    <w:p>
      <w:pPr>
        <w:pStyle w:val="ListParagraph"/>
        <w:numPr>
          <w:ilvl w:val="0"/>
          <w:numId w:val="1"/>
        </w:numPr>
        <w:spacing w:after="60"/>
      </w:pPr>
      <w:r>
        <w:t xml:space="preserve">Centralize supplier records, purchase history, and performance tracking.</w:t>
      </w:r>
    </w:p>
    <w:p>
      <w:pPr>
        <w:pStyle w:val="ListParagraph"/>
        <w:numPr>
          <w:ilvl w:val="0"/>
          <w:numId w:val="1"/>
        </w:numPr>
        <w:spacing w:after="60"/>
      </w:pPr>
      <w:r>
        <w:t xml:space="preserve">Offer role-based dashboards with analytics for pharmacists and admins.</w:t>
      </w:r>
    </w:p>
    <w:p>
      <w:pPr>
        <w:pStyle w:val="ListParagraph"/>
        <w:numPr>
          <w:ilvl w:val="0"/>
          <w:numId w:val="1"/>
        </w:numPr>
        <w:spacing w:after="60"/>
      </w:pPr>
      <w:r>
        <w:t xml:space="preserve">Deliver a secure, scalable, production-deployable system with proper authentication, notifications, and reporting.</w:t>
      </w:r>
    </w:p>
    <w:p>
      <w:pPr>
        <w:pStyle w:val="Heading1"/>
        <w:spacing w:after="160" w:before="320"/>
      </w:pPr>
      <w:r>
        <w:t xml:space="preserve">2. Problem Statement</w:t>
      </w:r>
    </w:p>
    <w:p>
      <w:pPr>
        <w:spacing w:after="160"/>
      </w:pPr>
      <w:r>
        <w:t xml:space="preserve">Pharmacies, hospitals, and clinics frequently manage medicine inventory using manual registers or disconnected spreadsheets. This creates several recurring problems:</w:t>
      </w:r>
    </w:p>
    <w:p>
      <w:pPr>
        <w:pStyle w:val="ListParagraph"/>
        <w:numPr>
          <w:ilvl w:val="0"/>
          <w:numId w:val="1"/>
        </w:numPr>
        <w:spacing w:after="60"/>
      </w:pPr>
      <w:r>
        <w:t xml:space="preserve">No real-time visibility — staff don't know current stock levels until a physical count, leading to stockouts of critical medicines or over-ordering of others.</w:t>
      </w:r>
    </w:p>
    <w:p>
      <w:pPr>
        <w:pStyle w:val="ListParagraph"/>
        <w:numPr>
          <w:ilvl w:val="0"/>
          <w:numId w:val="1"/>
        </w:numPr>
        <w:spacing w:after="60"/>
      </w:pPr>
      <w:r>
        <w:t xml:space="preserve">Expiry losses go undetected — without automated tracking, medicines expire on shelves unnoticed, resulting in financial loss and, in worst cases, risk of dispensing expired medicine.</w:t>
      </w:r>
    </w:p>
    <w:p>
      <w:pPr>
        <w:pStyle w:val="ListParagraph"/>
        <w:numPr>
          <w:ilvl w:val="0"/>
          <w:numId w:val="1"/>
        </w:numPr>
        <w:spacing w:after="60"/>
      </w:pPr>
      <w:r>
        <w:t xml:space="preserve">Fragmented supplier management — supplier contacts, purchase history, and performance are tracked informally (or not at all), making it hard to evaluate reliability or negotiate better terms.</w:t>
      </w:r>
    </w:p>
    <w:p>
      <w:pPr>
        <w:pStyle w:val="ListParagraph"/>
        <w:numPr>
          <w:ilvl w:val="0"/>
          <w:numId w:val="1"/>
        </w:numPr>
        <w:spacing w:after="60"/>
      </w:pPr>
      <w:r>
        <w:t xml:space="preserve">No actionable insights — decision-makers lack dashboards or reports to understand stock movement trends, category-wise consumption, or supplier performance.</w:t>
      </w:r>
    </w:p>
    <w:p>
      <w:pPr>
        <w:pStyle w:val="ListParagraph"/>
        <w:numPr>
          <w:ilvl w:val="0"/>
          <w:numId w:val="1"/>
        </w:numPr>
        <w:spacing w:after="60"/>
      </w:pPr>
      <w:r>
        <w:t xml:space="preserve">Manual, error-prone processes — searching for a specific medicine batch, checking expiry, or reconciling stock is slow and error-prone when done manually.</w:t>
      </w:r>
    </w:p>
    <w:p>
      <w:pPr>
        <w:spacing w:after="160"/>
      </w:pPr>
      <w:r>
        <w:rPr>
          <w:i/>
          <w:iCs/>
        </w:rPr>
        <w:t xml:space="preserve">MediStock solves this by providing a single, role-based, web-based platform that automates stock tracking, expiry alerts, supplier workflows, notifications, and analytics — reducing waste, preventing stockouts, and giving healthcare organizations a reliable system of record for their medicine inventory.</w:t>
      </w:r>
    </w:p>
    <w:p>
      <w:pPr>
        <w:pStyle w:val="Heading1"/>
        <w:spacing w:after="160" w:before="320"/>
      </w:pPr>
      <w:r>
        <w:t xml:space="preserve">3. User Roles and Permissions</w:t>
      </w:r>
    </w:p>
    <w:p>
      <w:pPr>
        <w:pStyle w:val="Heading2"/>
        <w:spacing w:after="120" w:before="240"/>
      </w:pPr>
      <w:r>
        <w:t xml:space="preserve">Role Descriptions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40"/>
      </w:tblGrid>
      <w:tr>
        <w:trPr>
          <w:tblHeader/>
        </w:trPr>
        <w:tc>
          <w:tcPr>
            <w:tcW w:type="dxa" w:w="1600"/>
            <w:shd w:fill="D9E6F5" w:val="clear"/>
            <w:tcMar>
              <w:top w:type="dxa" w:w="80"/>
              <w:left w:type="dxa" w:w="120"/>
              <w:bottom w:type="dxa" w:w="80"/>
              <w:right w:type="dxa" w:w="120"/>
            </w:tcMar>
            <w:vAlign w:val="center"/>
          </w:tcPr>
          <w:p>
            <w:r>
              <w:rPr>
                <w:b/>
                <w:bCs/>
                <w:sz w:val="20"/>
                <w:szCs w:val="20"/>
              </w:rPr>
              <w:t xml:space="preserve">Role</w:t>
            </w:r>
          </w:p>
        </w:tc>
        <w:tc>
          <w:tcPr>
            <w:tcW w:type="dxa" w:w="3400"/>
            <w:shd w:fill="D9E6F5" w:val="clear"/>
            <w:tcMar>
              <w:top w:type="dxa" w:w="80"/>
              <w:left w:type="dxa" w:w="120"/>
              <w:bottom w:type="dxa" w:w="80"/>
              <w:right w:type="dxa" w:w="120"/>
            </w:tcMar>
            <w:vAlign w:val="center"/>
          </w:tcPr>
          <w:p>
            <w:r>
              <w:rPr>
                <w:b/>
                <w:bCs/>
                <w:sz w:val="20"/>
                <w:szCs w:val="20"/>
              </w:rPr>
              <w:t xml:space="preserve">Description</w:t>
            </w:r>
          </w:p>
        </w:tc>
        <w:tc>
          <w:tcPr>
            <w:tcW w:type="dxa" w:w="4340"/>
            <w:shd w:fill="D9E6F5" w:val="clear"/>
            <w:tcMar>
              <w:top w:type="dxa" w:w="80"/>
              <w:left w:type="dxa" w:w="120"/>
              <w:bottom w:type="dxa" w:w="80"/>
              <w:right w:type="dxa" w:w="120"/>
            </w:tcMar>
            <w:vAlign w:val="center"/>
          </w:tcPr>
          <w:p>
            <w:r>
              <w:rPr>
                <w:b/>
                <w:bCs/>
                <w:sz w:val="20"/>
                <w:szCs w:val="20"/>
              </w:rPr>
              <w:t xml:space="preserve">Key Permissions</w:t>
            </w:r>
          </w:p>
        </w:tc>
      </w:tr>
      <w:tr>
        <w:tc>
          <w:tcPr>
            <w:tcW w:type="dxa" w:w="1600"/>
            <w:tcMar>
              <w:top w:type="dxa" w:w="80"/>
              <w:left w:type="dxa" w:w="120"/>
              <w:bottom w:type="dxa" w:w="80"/>
              <w:right w:type="dxa" w:w="120"/>
            </w:tcMar>
            <w:vAlign w:val="center"/>
          </w:tcPr>
          <w:p>
            <w:r>
              <w:rPr>
                <w:b w:val="false"/>
                <w:bCs w:val="false"/>
                <w:sz w:val="19"/>
                <w:szCs w:val="19"/>
              </w:rPr>
              <w:t xml:space="preserve">Admin</w:t>
            </w:r>
          </w:p>
        </w:tc>
        <w:tc>
          <w:tcPr>
            <w:tcW w:type="dxa" w:w="3400"/>
            <w:tcMar>
              <w:top w:type="dxa" w:w="80"/>
              <w:left w:type="dxa" w:w="120"/>
              <w:bottom w:type="dxa" w:w="80"/>
              <w:right w:type="dxa" w:w="120"/>
            </w:tcMar>
            <w:vAlign w:val="center"/>
          </w:tcPr>
          <w:p>
            <w:r>
              <w:rPr>
                <w:b w:val="false"/>
                <w:bCs w:val="false"/>
                <w:sz w:val="19"/>
                <w:szCs w:val="19"/>
              </w:rPr>
              <w:t xml:space="preserve">Full system owner/administrator</w:t>
            </w:r>
          </w:p>
        </w:tc>
        <w:tc>
          <w:tcPr>
            <w:tcW w:type="dxa" w:w="4340"/>
            <w:tcMar>
              <w:top w:type="dxa" w:w="80"/>
              <w:left w:type="dxa" w:w="120"/>
              <w:bottom w:type="dxa" w:w="80"/>
              <w:right w:type="dxa" w:w="120"/>
            </w:tcMar>
            <w:vAlign w:val="center"/>
          </w:tcPr>
          <w:p>
            <w:r>
              <w:rPr>
                <w:b w:val="false"/>
                <w:bCs w:val="false"/>
                <w:sz w:val="19"/>
                <w:szCs w:val="19"/>
              </w:rPr>
              <w:t xml:space="preserve">Manage all users and roles; view system-wide analytics and monitoring; manage suppliers, medicines, and categories; access all reports and audit/activity logs; configure system settings</w:t>
            </w:r>
          </w:p>
        </w:tc>
      </w:tr>
      <w:tr>
        <w:tc>
          <w:tcPr>
            <w:tcW w:type="dxa" w:w="1600"/>
            <w:tcMar>
              <w:top w:type="dxa" w:w="80"/>
              <w:left w:type="dxa" w:w="120"/>
              <w:bottom w:type="dxa" w:w="80"/>
              <w:right w:type="dxa" w:w="120"/>
            </w:tcMar>
            <w:vAlign w:val="center"/>
          </w:tcPr>
          <w:p>
            <w:r>
              <w:rPr>
                <w:b w:val="false"/>
                <w:bCs w:val="false"/>
                <w:sz w:val="19"/>
                <w:szCs w:val="19"/>
              </w:rPr>
              <w:t xml:space="preserve">Pharmacist</w:t>
            </w:r>
          </w:p>
        </w:tc>
        <w:tc>
          <w:tcPr>
            <w:tcW w:type="dxa" w:w="3400"/>
            <w:tcMar>
              <w:top w:type="dxa" w:w="80"/>
              <w:left w:type="dxa" w:w="120"/>
              <w:bottom w:type="dxa" w:w="80"/>
              <w:right w:type="dxa" w:w="120"/>
            </w:tcMar>
            <w:vAlign w:val="center"/>
          </w:tcPr>
          <w:p>
            <w:r>
              <w:rPr>
                <w:b w:val="false"/>
                <w:bCs w:val="false"/>
                <w:sz w:val="19"/>
                <w:szCs w:val="19"/>
              </w:rPr>
              <w:t xml:space="preserve">Manages day-to-day pharmacy operations</w:t>
            </w:r>
          </w:p>
        </w:tc>
        <w:tc>
          <w:tcPr>
            <w:tcW w:type="dxa" w:w="4340"/>
            <w:tcMar>
              <w:top w:type="dxa" w:w="80"/>
              <w:left w:type="dxa" w:w="120"/>
              <w:bottom w:type="dxa" w:w="80"/>
              <w:right w:type="dxa" w:w="120"/>
            </w:tcMar>
            <w:vAlign w:val="center"/>
          </w:tcPr>
          <w:p>
            <w:r>
              <w:rPr>
                <w:b w:val="false"/>
                <w:bCs w:val="false"/>
                <w:sz w:val="19"/>
                <w:szCs w:val="19"/>
              </w:rPr>
              <w:t xml:space="preserve">Add/update/delete medicines and batches; manage stock and purchase orders; view inventory dashboard, low-stock and expiry alerts; manage suppliers and purchase history; generate and export reports</w:t>
            </w:r>
          </w:p>
        </w:tc>
      </w:tr>
      <w:tr>
        <w:tc>
          <w:tcPr>
            <w:tcW w:type="dxa" w:w="1600"/>
            <w:tcMar>
              <w:top w:type="dxa" w:w="80"/>
              <w:left w:type="dxa" w:w="120"/>
              <w:bottom w:type="dxa" w:w="80"/>
              <w:right w:type="dxa" w:w="120"/>
            </w:tcMar>
            <w:vAlign w:val="center"/>
          </w:tcPr>
          <w:p>
            <w:r>
              <w:rPr>
                <w:b w:val="false"/>
                <w:bCs w:val="false"/>
                <w:sz w:val="19"/>
                <w:szCs w:val="19"/>
              </w:rPr>
              <w:t xml:space="preserve">Staff</w:t>
            </w:r>
          </w:p>
        </w:tc>
        <w:tc>
          <w:tcPr>
            <w:tcW w:type="dxa" w:w="3400"/>
            <w:tcMar>
              <w:top w:type="dxa" w:w="80"/>
              <w:left w:type="dxa" w:w="120"/>
              <w:bottom w:type="dxa" w:w="80"/>
              <w:right w:type="dxa" w:w="120"/>
            </w:tcMar>
            <w:vAlign w:val="center"/>
          </w:tcPr>
          <w:p>
            <w:r>
              <w:rPr>
                <w:b w:val="false"/>
                <w:bCs w:val="false"/>
                <w:sz w:val="19"/>
                <w:szCs w:val="19"/>
              </w:rPr>
              <w:t xml:space="preserve">Front-line operational user</w:t>
            </w:r>
          </w:p>
        </w:tc>
        <w:tc>
          <w:tcPr>
            <w:tcW w:type="dxa" w:w="4340"/>
            <w:tcMar>
              <w:top w:type="dxa" w:w="80"/>
              <w:left w:type="dxa" w:w="120"/>
              <w:bottom w:type="dxa" w:w="80"/>
              <w:right w:type="dxa" w:w="120"/>
            </w:tcMar>
            <w:vAlign w:val="center"/>
          </w:tcPr>
          <w:p>
            <w:r>
              <w:rPr>
                <w:b w:val="false"/>
                <w:bCs w:val="false"/>
                <w:sz w:val="19"/>
                <w:szCs w:val="19"/>
              </w:rPr>
              <w:t xml:space="preserve">View medicine inventory and stock status; search/filter medicines; record stock usage/dispensing; receive low-stock and expiry notifications (read-only on analytics and supplier management)</w:t>
            </w:r>
          </w:p>
        </w:tc>
      </w:tr>
    </w:tbl>
    <w:p>
      <w:pPr>
        <w:pStyle w:val="Heading2"/>
        <w:spacing w:after="120" w:before="240"/>
      </w:pPr>
      <w:r>
        <w:t xml:space="preserve">Permission Matrix</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40"/>
      </w:tblGrid>
      <w:tr>
        <w:trPr>
          <w:tblHeader/>
        </w:trPr>
        <w:tc>
          <w:tcPr>
            <w:tcW w:type="dxa" w:w="3200"/>
            <w:shd w:fill="D9E6F5" w:val="clear"/>
            <w:tcMar>
              <w:top w:type="dxa" w:w="80"/>
              <w:left w:type="dxa" w:w="120"/>
              <w:bottom w:type="dxa" w:w="80"/>
              <w:right w:type="dxa" w:w="120"/>
            </w:tcMar>
            <w:vAlign w:val="center"/>
          </w:tcPr>
          <w:p>
            <w:r>
              <w:rPr>
                <w:b/>
                <w:bCs/>
                <w:sz w:val="20"/>
                <w:szCs w:val="20"/>
              </w:rPr>
              <w:t xml:space="preserve">Capability</w:t>
            </w:r>
          </w:p>
        </w:tc>
        <w:tc>
          <w:tcPr>
            <w:tcW w:type="dxa" w:w="2050"/>
            <w:shd w:fill="D9E6F5" w:val="clear"/>
            <w:tcMar>
              <w:top w:type="dxa" w:w="80"/>
              <w:left w:type="dxa" w:w="120"/>
              <w:bottom w:type="dxa" w:w="80"/>
              <w:right w:type="dxa" w:w="120"/>
            </w:tcMar>
            <w:vAlign w:val="center"/>
          </w:tcPr>
          <w:p>
            <w:r>
              <w:rPr>
                <w:b/>
                <w:bCs/>
                <w:sz w:val="20"/>
                <w:szCs w:val="20"/>
              </w:rPr>
              <w:t xml:space="preserve">Admin</w:t>
            </w:r>
          </w:p>
        </w:tc>
        <w:tc>
          <w:tcPr>
            <w:tcW w:type="dxa" w:w="2050"/>
            <w:shd w:fill="D9E6F5" w:val="clear"/>
            <w:tcMar>
              <w:top w:type="dxa" w:w="80"/>
              <w:left w:type="dxa" w:w="120"/>
              <w:bottom w:type="dxa" w:w="80"/>
              <w:right w:type="dxa" w:w="120"/>
            </w:tcMar>
            <w:vAlign w:val="center"/>
          </w:tcPr>
          <w:p>
            <w:r>
              <w:rPr>
                <w:b/>
                <w:bCs/>
                <w:sz w:val="20"/>
                <w:szCs w:val="20"/>
              </w:rPr>
              <w:t xml:space="preserve">Pharmacist</w:t>
            </w:r>
          </w:p>
        </w:tc>
        <w:tc>
          <w:tcPr>
            <w:tcW w:type="dxa" w:w="2040"/>
            <w:shd w:fill="D9E6F5" w:val="clear"/>
            <w:tcMar>
              <w:top w:type="dxa" w:w="80"/>
              <w:left w:type="dxa" w:w="120"/>
              <w:bottom w:type="dxa" w:w="80"/>
              <w:right w:type="dxa" w:w="120"/>
            </w:tcMar>
            <w:vAlign w:val="center"/>
          </w:tcPr>
          <w:p>
            <w:r>
              <w:rPr>
                <w:b/>
                <w:bCs/>
                <w:sz w:val="20"/>
                <w:szCs w:val="20"/>
              </w:rPr>
              <w:t xml:space="preserve">Staff</w:t>
            </w:r>
          </w:p>
        </w:tc>
      </w:tr>
      <w:tr>
        <w:tc>
          <w:tcPr>
            <w:tcW w:type="dxa" w:w="3200"/>
            <w:tcMar>
              <w:top w:type="dxa" w:w="80"/>
              <w:left w:type="dxa" w:w="120"/>
              <w:bottom w:type="dxa" w:w="80"/>
              <w:right w:type="dxa" w:w="120"/>
            </w:tcMar>
            <w:vAlign w:val="center"/>
          </w:tcPr>
          <w:p>
            <w:r>
              <w:rPr>
                <w:b w:val="false"/>
                <w:bCs w:val="false"/>
                <w:sz w:val="19"/>
                <w:szCs w:val="19"/>
              </w:rPr>
              <w:t xml:space="preserve">User &amp; role management</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No</w:t>
            </w:r>
          </w:p>
        </w:tc>
        <w:tc>
          <w:tcPr>
            <w:tcW w:type="dxa" w:w="2040"/>
            <w:tcMar>
              <w:top w:type="dxa" w:w="80"/>
              <w:left w:type="dxa" w:w="120"/>
              <w:bottom w:type="dxa" w:w="80"/>
              <w:right w:type="dxa" w:w="120"/>
            </w:tcMar>
            <w:vAlign w:val="center"/>
          </w:tcPr>
          <w:p>
            <w:r>
              <w:rPr>
                <w:b w:val="false"/>
                <w:bCs w:val="false"/>
                <w:sz w:val="19"/>
                <w:szCs w:val="19"/>
              </w:rPr>
              <w:t xml:space="preserve">No</w:t>
            </w:r>
          </w:p>
        </w:tc>
      </w:tr>
      <w:tr>
        <w:tc>
          <w:tcPr>
            <w:tcW w:type="dxa" w:w="3200"/>
            <w:tcMar>
              <w:top w:type="dxa" w:w="80"/>
              <w:left w:type="dxa" w:w="120"/>
              <w:bottom w:type="dxa" w:w="80"/>
              <w:right w:type="dxa" w:w="120"/>
            </w:tcMar>
            <w:vAlign w:val="center"/>
          </w:tcPr>
          <w:p>
            <w:r>
              <w:rPr>
                <w:b w:val="false"/>
                <w:bCs w:val="false"/>
                <w:sz w:val="19"/>
                <w:szCs w:val="19"/>
              </w:rPr>
              <w:t xml:space="preserve">Add/edit/delete medicines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40"/>
            <w:tcMar>
              <w:top w:type="dxa" w:w="80"/>
              <w:left w:type="dxa" w:w="120"/>
              <w:bottom w:type="dxa" w:w="80"/>
              <w:right w:type="dxa" w:w="120"/>
            </w:tcMar>
            <w:vAlign w:val="center"/>
          </w:tcPr>
          <w:p>
            <w:r>
              <w:rPr>
                <w:b w:val="false"/>
                <w:bCs w:val="false"/>
                <w:sz w:val="19"/>
                <w:szCs w:val="19"/>
              </w:rPr>
              <w:t xml:space="preserve">No</w:t>
            </w:r>
          </w:p>
        </w:tc>
      </w:tr>
      <w:tr>
        <w:tc>
          <w:tcPr>
            <w:tcW w:type="dxa" w:w="3200"/>
            <w:tcMar>
              <w:top w:type="dxa" w:w="80"/>
              <w:left w:type="dxa" w:w="120"/>
              <w:bottom w:type="dxa" w:w="80"/>
              <w:right w:type="dxa" w:w="120"/>
            </w:tcMar>
            <w:vAlign w:val="center"/>
          </w:tcPr>
          <w:p>
            <w:r>
              <w:rPr>
                <w:b w:val="false"/>
                <w:bCs w:val="false"/>
                <w:sz w:val="19"/>
                <w:szCs w:val="19"/>
              </w:rPr>
              <w:t xml:space="preserve">Update stock quantities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40"/>
            <w:tcMar>
              <w:top w:type="dxa" w:w="80"/>
              <w:left w:type="dxa" w:w="120"/>
              <w:bottom w:type="dxa" w:w="80"/>
              <w:right w:type="dxa" w:w="120"/>
            </w:tcMar>
            <w:vAlign w:val="center"/>
          </w:tcPr>
          <w:p>
            <w:r>
              <w:rPr>
                <w:b w:val="false"/>
                <w:bCs w:val="false"/>
                <w:sz w:val="19"/>
                <w:szCs w:val="19"/>
              </w:rPr>
              <w:t xml:space="preserve">Limited</w:t>
            </w:r>
          </w:p>
        </w:tc>
      </w:tr>
      <w:tr>
        <w:tc>
          <w:tcPr>
            <w:tcW w:type="dxa" w:w="3200"/>
            <w:tcMar>
              <w:top w:type="dxa" w:w="80"/>
              <w:left w:type="dxa" w:w="120"/>
              <w:bottom w:type="dxa" w:w="80"/>
              <w:right w:type="dxa" w:w="120"/>
            </w:tcMar>
            <w:vAlign w:val="center"/>
          </w:tcPr>
          <w:p>
            <w:r>
              <w:rPr>
                <w:b w:val="false"/>
                <w:bCs w:val="false"/>
                <w:sz w:val="19"/>
                <w:szCs w:val="19"/>
              </w:rPr>
              <w:t xml:space="preserve">Manage suppliers &amp; purchase orders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40"/>
            <w:tcMar>
              <w:top w:type="dxa" w:w="80"/>
              <w:left w:type="dxa" w:w="120"/>
              <w:bottom w:type="dxa" w:w="80"/>
              <w:right w:type="dxa" w:w="120"/>
            </w:tcMar>
            <w:vAlign w:val="center"/>
          </w:tcPr>
          <w:p>
            <w:r>
              <w:rPr>
                <w:b w:val="false"/>
                <w:bCs w:val="false"/>
                <w:sz w:val="19"/>
                <w:szCs w:val="19"/>
              </w:rPr>
              <w:t xml:space="preserve">View only</w:t>
            </w:r>
          </w:p>
        </w:tc>
      </w:tr>
      <w:tr>
        <w:tc>
          <w:tcPr>
            <w:tcW w:type="dxa" w:w="3200"/>
            <w:tcMar>
              <w:top w:type="dxa" w:w="80"/>
              <w:left w:type="dxa" w:w="120"/>
              <w:bottom w:type="dxa" w:w="80"/>
              <w:right w:type="dxa" w:w="120"/>
            </w:tcMar>
            <w:vAlign w:val="center"/>
          </w:tcPr>
          <w:p>
            <w:r>
              <w:rPr>
                <w:b w:val="false"/>
                <w:bCs w:val="false"/>
                <w:sz w:val="19"/>
                <w:szCs w:val="19"/>
              </w:rPr>
              <w:t xml:space="preserve">Expiry &amp; low-stock alerts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40"/>
            <w:tcMar>
              <w:top w:type="dxa" w:w="80"/>
              <w:left w:type="dxa" w:w="120"/>
              <w:bottom w:type="dxa" w:w="80"/>
              <w:right w:type="dxa" w:w="120"/>
            </w:tcMar>
            <w:vAlign w:val="center"/>
          </w:tcPr>
          <w:p>
            <w:r>
              <w:rPr>
                <w:b w:val="false"/>
                <w:bCs w:val="false"/>
                <w:sz w:val="19"/>
                <w:szCs w:val="19"/>
              </w:rPr>
              <w:t xml:space="preserve">Yes</w:t>
            </w:r>
          </w:p>
        </w:tc>
      </w:tr>
      <w:tr>
        <w:tc>
          <w:tcPr>
            <w:tcW w:type="dxa" w:w="3200"/>
            <w:tcMar>
              <w:top w:type="dxa" w:w="80"/>
              <w:left w:type="dxa" w:w="120"/>
              <w:bottom w:type="dxa" w:w="80"/>
              <w:right w:type="dxa" w:w="120"/>
            </w:tcMar>
            <w:vAlign w:val="center"/>
          </w:tcPr>
          <w:p>
            <w:r>
              <w:rPr>
                <w:b w:val="false"/>
                <w:bCs w:val="false"/>
                <w:sz w:val="19"/>
                <w:szCs w:val="19"/>
              </w:rPr>
              <w:t xml:space="preserve">Analytics dashboards</w:t>
            </w:r>
          </w:p>
        </w:tc>
        <w:tc>
          <w:tcPr>
            <w:tcW w:type="dxa" w:w="2050"/>
            <w:tcMar>
              <w:top w:type="dxa" w:w="80"/>
              <w:left w:type="dxa" w:w="120"/>
              <w:bottom w:type="dxa" w:w="80"/>
              <w:right w:type="dxa" w:w="120"/>
            </w:tcMar>
            <w:vAlign w:val="center"/>
          </w:tcPr>
          <w:p>
            <w:r>
              <w:rPr>
                <w:b w:val="false"/>
                <w:bCs w:val="false"/>
                <w:sz w:val="19"/>
                <w:szCs w:val="19"/>
              </w:rPr>
              <w:t xml:space="preserve">System-wide</w:t>
            </w:r>
          </w:p>
        </w:tc>
        <w:tc>
          <w:tcPr>
            <w:tcW w:type="dxa" w:w="2050"/>
            <w:tcMar>
              <w:top w:type="dxa" w:w="80"/>
              <w:left w:type="dxa" w:w="120"/>
              <w:bottom w:type="dxa" w:w="80"/>
              <w:right w:type="dxa" w:w="120"/>
            </w:tcMar>
            <w:vAlign w:val="center"/>
          </w:tcPr>
          <w:p>
            <w:r>
              <w:rPr>
                <w:b w:val="false"/>
                <w:bCs w:val="false"/>
                <w:sz w:val="19"/>
                <w:szCs w:val="19"/>
              </w:rPr>
              <w:t xml:space="preserve">Operational</w:t>
            </w:r>
          </w:p>
        </w:tc>
        <w:tc>
          <w:tcPr>
            <w:tcW w:type="dxa" w:w="2040"/>
            <w:tcMar>
              <w:top w:type="dxa" w:w="80"/>
              <w:left w:type="dxa" w:w="120"/>
              <w:bottom w:type="dxa" w:w="80"/>
              <w:right w:type="dxa" w:w="120"/>
            </w:tcMar>
            <w:vAlign w:val="center"/>
          </w:tcPr>
          <w:p>
            <w:r>
              <w:rPr>
                <w:b w:val="false"/>
                <w:bCs w:val="false"/>
                <w:sz w:val="19"/>
                <w:szCs w:val="19"/>
              </w:rPr>
              <w:t xml:space="preserve">No</w:t>
            </w:r>
          </w:p>
        </w:tc>
      </w:tr>
      <w:tr>
        <w:tc>
          <w:tcPr>
            <w:tcW w:type="dxa" w:w="3200"/>
            <w:tcMar>
              <w:top w:type="dxa" w:w="80"/>
              <w:left w:type="dxa" w:w="120"/>
              <w:bottom w:type="dxa" w:w="80"/>
              <w:right w:type="dxa" w:w="120"/>
            </w:tcMar>
            <w:vAlign w:val="center"/>
          </w:tcPr>
          <w:p>
            <w:r>
              <w:rPr>
                <w:b w:val="false"/>
                <w:bCs w:val="false"/>
                <w:sz w:val="19"/>
                <w:szCs w:val="19"/>
              </w:rPr>
              <w:t xml:space="preserve">Reports &amp; data export</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40"/>
            <w:tcMar>
              <w:top w:type="dxa" w:w="80"/>
              <w:left w:type="dxa" w:w="120"/>
              <w:bottom w:type="dxa" w:w="80"/>
              <w:right w:type="dxa" w:w="120"/>
            </w:tcMar>
            <w:vAlign w:val="center"/>
          </w:tcPr>
          <w:p>
            <w:r>
              <w:rPr>
                <w:b w:val="false"/>
                <w:bCs w:val="false"/>
                <w:sz w:val="19"/>
                <w:szCs w:val="19"/>
              </w:rPr>
              <w:t xml:space="preserve">No</w:t>
            </w:r>
          </w:p>
        </w:tc>
      </w:tr>
      <w:tr>
        <w:tc>
          <w:tcPr>
            <w:tcW w:type="dxa" w:w="3200"/>
            <w:tcMar>
              <w:top w:type="dxa" w:w="80"/>
              <w:left w:type="dxa" w:w="120"/>
              <w:bottom w:type="dxa" w:w="80"/>
              <w:right w:type="dxa" w:w="120"/>
            </w:tcMar>
            <w:vAlign w:val="center"/>
          </w:tcPr>
          <w:p>
            <w:r>
              <w:rPr>
                <w:b w:val="false"/>
                <w:bCs w:val="false"/>
                <w:sz w:val="19"/>
                <w:szCs w:val="19"/>
              </w:rPr>
              <w:t xml:space="preserve">System monitoring/logs</w:t>
            </w:r>
          </w:p>
        </w:tc>
        <w:tc>
          <w:tcPr>
            <w:tcW w:type="dxa" w:w="2050"/>
            <w:tcMar>
              <w:top w:type="dxa" w:w="80"/>
              <w:left w:type="dxa" w:w="120"/>
              <w:bottom w:type="dxa" w:w="80"/>
              <w:right w:type="dxa" w:w="120"/>
            </w:tcMar>
            <w:vAlign w:val="center"/>
          </w:tcPr>
          <w:p>
            <w:r>
              <w:rPr>
                <w:b w:val="false"/>
                <w:bCs w:val="false"/>
                <w:sz w:val="19"/>
                <w:szCs w:val="19"/>
              </w:rPr>
              <w:t xml:space="preserve">Yes</w:t>
            </w:r>
          </w:p>
        </w:tc>
        <w:tc>
          <w:tcPr>
            <w:tcW w:type="dxa" w:w="2050"/>
            <w:tcMar>
              <w:top w:type="dxa" w:w="80"/>
              <w:left w:type="dxa" w:w="120"/>
              <w:bottom w:type="dxa" w:w="80"/>
              <w:right w:type="dxa" w:w="120"/>
            </w:tcMar>
            <w:vAlign w:val="center"/>
          </w:tcPr>
          <w:p>
            <w:r>
              <w:rPr>
                <w:b w:val="false"/>
                <w:bCs w:val="false"/>
                <w:sz w:val="19"/>
                <w:szCs w:val="19"/>
              </w:rPr>
              <w:t xml:space="preserve">No</w:t>
            </w:r>
          </w:p>
        </w:tc>
        <w:tc>
          <w:tcPr>
            <w:tcW w:type="dxa" w:w="2040"/>
            <w:tcMar>
              <w:top w:type="dxa" w:w="80"/>
              <w:left w:type="dxa" w:w="120"/>
              <w:bottom w:type="dxa" w:w="80"/>
              <w:right w:type="dxa" w:w="120"/>
            </w:tcMar>
            <w:vAlign w:val="center"/>
          </w:tcPr>
          <w:p>
            <w:r>
              <w:rPr>
                <w:b w:val="false"/>
                <w:bCs w:val="false"/>
                <w:sz w:val="19"/>
                <w:szCs w:val="19"/>
              </w:rPr>
              <w:t xml:space="preserve">No</w:t>
            </w:r>
          </w:p>
        </w:tc>
      </w:tr>
    </w:tbl>
    <w:p>
      <w:pPr>
        <w:pStyle w:val="Heading1"/>
        <w:spacing w:after="160" w:before="320"/>
      </w:pPr>
      <w:r>
        <w:t xml:space="preserve">4. Functional Requirements</w:t>
      </w:r>
    </w:p>
    <w:p>
      <w:pPr>
        <w:pStyle w:val="Heading3"/>
        <w:spacing w:after="100" w:before="200"/>
      </w:pPr>
      <w:r>
        <w:t xml:space="preserve">4.1 Authentication &amp; Access Control</w:t>
      </w:r>
    </w:p>
    <w:p>
      <w:pPr>
        <w:pStyle w:val="ListParagraph"/>
        <w:numPr>
          <w:ilvl w:val="0"/>
          <w:numId w:val="1"/>
        </w:numPr>
        <w:spacing w:after="60"/>
      </w:pPr>
      <w:r>
        <w:t xml:space="preserve">JWT-based login and session management; OAuth2 (Google) login.</w:t>
      </w:r>
    </w:p>
    <w:p>
      <w:pPr>
        <w:pStyle w:val="ListParagraph"/>
        <w:numPr>
          <w:ilvl w:val="0"/>
          <w:numId w:val="1"/>
        </w:numPr>
        <w:spacing w:after="60"/>
      </w:pPr>
      <w:r>
        <w:t xml:space="preserve">Password reset and user profile management.</w:t>
      </w:r>
    </w:p>
    <w:p>
      <w:pPr>
        <w:pStyle w:val="ListParagraph"/>
        <w:numPr>
          <w:ilvl w:val="0"/>
          <w:numId w:val="1"/>
        </w:numPr>
        <w:spacing w:after="60"/>
      </w:pPr>
      <w:r>
        <w:t xml:space="preserve">Role-based access control (Admin, Pharmacist, Staff).</w:t>
      </w:r>
    </w:p>
    <w:p>
      <w:pPr>
        <w:pStyle w:val="Heading3"/>
        <w:spacing w:after="100" w:before="200"/>
      </w:pPr>
      <w:r>
        <w:t xml:space="preserve">4.2 Medicine Inventory Management</w:t>
      </w:r>
    </w:p>
    <w:p>
      <w:pPr>
        <w:pStyle w:val="ListParagraph"/>
        <w:numPr>
          <w:ilvl w:val="0"/>
          <w:numId w:val="1"/>
        </w:numPr>
        <w:spacing w:after="60"/>
      </w:pPr>
      <w:r>
        <w:t xml:space="preserve">Add, update, and delete medicines; manage categories.</w:t>
      </w:r>
    </w:p>
    <w:p>
      <w:pPr>
        <w:pStyle w:val="ListParagraph"/>
        <w:numPr>
          <w:ilvl w:val="0"/>
          <w:numId w:val="1"/>
        </w:numPr>
        <w:spacing w:after="60"/>
      </w:pPr>
      <w:r>
        <w:t xml:space="preserve">Track medicine batches (batch number, manufacturing date, expiry date, quantity, price, supplier).</w:t>
      </w:r>
    </w:p>
    <w:p>
      <w:pPr>
        <w:pStyle w:val="ListParagraph"/>
        <w:numPr>
          <w:ilvl w:val="0"/>
          <w:numId w:val="1"/>
        </w:numPr>
        <w:spacing w:after="60"/>
      </w:pPr>
      <w:r>
        <w:t xml:space="preserve">Maintain inventory change history.</w:t>
      </w:r>
    </w:p>
    <w:p>
      <w:pPr>
        <w:pStyle w:val="Heading3"/>
        <w:spacing w:after="100" w:before="200"/>
      </w:pPr>
      <w:r>
        <w:t xml:space="preserve">4.3 Supplier Management</w:t>
      </w:r>
    </w:p>
    <w:p>
      <w:pPr>
        <w:pStyle w:val="ListParagraph"/>
        <w:numPr>
          <w:ilvl w:val="0"/>
          <w:numId w:val="1"/>
        </w:numPr>
        <w:spacing w:after="60"/>
      </w:pPr>
      <w:r>
        <w:t xml:space="preserve">Add/manage supplier details (name, contact, email, address, supplied medicines).</w:t>
      </w:r>
    </w:p>
    <w:p>
      <w:pPr>
        <w:pStyle w:val="ListParagraph"/>
        <w:numPr>
          <w:ilvl w:val="0"/>
          <w:numId w:val="1"/>
        </w:numPr>
        <w:spacing w:after="60"/>
      </w:pPr>
      <w:r>
        <w:t xml:space="preserve">Track purchase orders and supplier history.</w:t>
      </w:r>
    </w:p>
    <w:p>
      <w:pPr>
        <w:pStyle w:val="ListParagraph"/>
        <w:numPr>
          <w:ilvl w:val="0"/>
          <w:numId w:val="1"/>
        </w:numPr>
        <w:spacing w:after="60"/>
      </w:pPr>
      <w:r>
        <w:t xml:space="preserve">Track supplier performance metrics.</w:t>
      </w:r>
    </w:p>
    <w:p>
      <w:pPr>
        <w:pStyle w:val="Heading3"/>
        <w:spacing w:after="100" w:before="200"/>
      </w:pPr>
      <w:r>
        <w:t xml:space="preserve">4.4 Stock Monitoring &amp; Alerts</w:t>
      </w:r>
    </w:p>
    <w:p>
      <w:pPr>
        <w:pStyle w:val="ListParagraph"/>
        <w:numPr>
          <w:ilvl w:val="0"/>
          <w:numId w:val="1"/>
        </w:numPr>
        <w:spacing w:after="60"/>
      </w:pPr>
      <w:r>
        <w:t xml:space="preserve">Real-time stock level tracking with automatic updates on transactions.</w:t>
      </w:r>
    </w:p>
    <w:p>
      <w:pPr>
        <w:pStyle w:val="ListParagraph"/>
        <w:numPr>
          <w:ilvl w:val="0"/>
          <w:numId w:val="1"/>
        </w:numPr>
        <w:spacing w:after="60"/>
      </w:pPr>
      <w:r>
        <w:t xml:space="preserve">Low-stock and out-of-stock alerts.</w:t>
      </w:r>
    </w:p>
    <w:p>
      <w:pPr>
        <w:pStyle w:val="ListParagraph"/>
        <w:numPr>
          <w:ilvl w:val="0"/>
          <w:numId w:val="1"/>
        </w:numPr>
        <w:spacing w:after="60"/>
      </w:pPr>
      <w:r>
        <w:t xml:space="preserve">Inventory movement/audit trail.</w:t>
      </w:r>
    </w:p>
    <w:p>
      <w:pPr>
        <w:pStyle w:val="Heading3"/>
        <w:spacing w:after="100" w:before="200"/>
      </w:pPr>
      <w:r>
        <w:t xml:space="preserve">4.5 Expiry Tracking</w:t>
      </w:r>
    </w:p>
    <w:p>
      <w:pPr>
        <w:pStyle w:val="ListParagraph"/>
        <w:numPr>
          <w:ilvl w:val="0"/>
          <w:numId w:val="1"/>
        </w:numPr>
        <w:spacing w:after="60"/>
      </w:pPr>
      <w:r>
        <w:t xml:space="preserve">Monitor expiry dates per batch; flag near-expiry and expired stock.</w:t>
      </w:r>
    </w:p>
    <w:p>
      <w:pPr>
        <w:pStyle w:val="ListParagraph"/>
        <w:numPr>
          <w:ilvl w:val="0"/>
          <w:numId w:val="1"/>
        </w:numPr>
        <w:spacing w:after="60"/>
      </w:pPr>
      <w:r>
        <w:t xml:space="preserve">Generate expiry reports and notifications.</w:t>
      </w:r>
    </w:p>
    <w:p>
      <w:pPr>
        <w:pStyle w:val="Heading3"/>
        <w:spacing w:after="100" w:before="200"/>
      </w:pPr>
      <w:r>
        <w:t xml:space="preserve">4.6 Search &amp; Filtering</w:t>
      </w:r>
    </w:p>
    <w:p>
      <w:pPr>
        <w:pStyle w:val="ListParagraph"/>
        <w:numPr>
          <w:ilvl w:val="0"/>
          <w:numId w:val="1"/>
        </w:numPr>
        <w:spacing w:after="60"/>
      </w:pPr>
      <w:r>
        <w:t xml:space="preserve">Search/filter medicines by name, category, supplier, batch number, expiry date, and stock status.</w:t>
      </w:r>
    </w:p>
    <w:p>
      <w:pPr>
        <w:pStyle w:val="Heading3"/>
        <w:spacing w:after="100" w:before="200"/>
      </w:pPr>
      <w:r>
        <w:t xml:space="preserve">4.7 Dashboards &amp; Analytics</w:t>
      </w:r>
    </w:p>
    <w:p>
      <w:pPr>
        <w:pStyle w:val="ListParagraph"/>
        <w:numPr>
          <w:ilvl w:val="0"/>
          <w:numId w:val="1"/>
        </w:numPr>
        <w:spacing w:after="60"/>
      </w:pPr>
      <w:r>
        <w:t xml:space="preserve">Pharmacist dashboard: inventory overview, low-stock items, expiring medicines, purchase summary, supplier insights.</w:t>
      </w:r>
    </w:p>
    <w:p>
      <w:pPr>
        <w:pStyle w:val="ListParagraph"/>
        <w:numPr>
          <w:ilvl w:val="0"/>
          <w:numId w:val="1"/>
        </w:numPr>
        <w:spacing w:after="60"/>
      </w:pPr>
      <w:r>
        <w:t xml:space="preserve">Admin dashboard: inventory analytics, user activity, supplier analytics, stock movement reports, system monitoring.</w:t>
      </w:r>
    </w:p>
    <w:p>
      <w:pPr>
        <w:pStyle w:val="Heading3"/>
        <w:spacing w:after="100" w:before="200"/>
      </w:pPr>
      <w:r>
        <w:t xml:space="preserve">4.8 Notifications</w:t>
      </w:r>
    </w:p>
    <w:p>
      <w:pPr>
        <w:pStyle w:val="ListParagraph"/>
        <w:numPr>
          <w:ilvl w:val="0"/>
          <w:numId w:val="1"/>
        </w:numPr>
        <w:spacing w:after="60"/>
      </w:pPr>
      <w:r>
        <w:t xml:space="preserve">Email, SMS, and push notifications for low-stock, expiry, and purchase alerts.</w:t>
      </w:r>
    </w:p>
    <w:p>
      <w:pPr>
        <w:pStyle w:val="Heading3"/>
        <w:spacing w:after="100" w:before="200"/>
      </w:pPr>
      <w:r>
        <w:t xml:space="preserve">4.9 Reports &amp; Data Export</w:t>
      </w:r>
    </w:p>
    <w:p>
      <w:pPr>
        <w:pStyle w:val="ListParagraph"/>
        <w:numPr>
          <w:ilvl w:val="0"/>
          <w:numId w:val="1"/>
        </w:numPr>
        <w:spacing w:after="60"/>
      </w:pPr>
      <w:r>
        <w:t xml:space="preserve">Generate and download inventory, purchase history, and expiry reports as PDF/Excel.</w:t>
      </w:r>
    </w:p>
    <w:p>
      <w:pPr>
        <w:pStyle w:val="Heading3"/>
        <w:spacing w:after="100" w:before="200"/>
      </w:pPr>
      <w:r>
        <w:t xml:space="preserve">4.10 Purchase Order Management</w:t>
      </w:r>
    </w:p>
    <w:p>
      <w:pPr>
        <w:pStyle w:val="ListParagraph"/>
        <w:numPr>
          <w:ilvl w:val="0"/>
          <w:numId w:val="1"/>
        </w:numPr>
        <w:spacing w:after="60"/>
      </w:pPr>
      <w:r>
        <w:t xml:space="preserve">Create, track, and receive purchase orders from suppliers.</w:t>
      </w:r>
    </w:p>
    <w:p>
      <w:pPr>
        <w:pStyle w:val="Heading1"/>
        <w:spacing w:after="160" w:before="320"/>
      </w:pPr>
      <w:r>
        <w:t xml:space="preserve">5. Non-Functional Requirements</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2400"/>
        <w:gridCol w:w="7940"/>
      </w:tblGrid>
      <w:tr>
        <w:trPr>
          <w:tblHeader/>
        </w:trPr>
        <w:tc>
          <w:tcPr>
            <w:tcW w:type="dxa" w:w="2400"/>
            <w:shd w:fill="D9E6F5" w:val="clear"/>
            <w:tcMar>
              <w:top w:type="dxa" w:w="80"/>
              <w:left w:type="dxa" w:w="120"/>
              <w:bottom w:type="dxa" w:w="80"/>
              <w:right w:type="dxa" w:w="120"/>
            </w:tcMar>
            <w:vAlign w:val="center"/>
          </w:tcPr>
          <w:p>
            <w:r>
              <w:rPr>
                <w:b/>
                <w:bCs/>
                <w:sz w:val="20"/>
                <w:szCs w:val="20"/>
              </w:rPr>
              <w:t xml:space="preserve">Category</w:t>
            </w:r>
          </w:p>
        </w:tc>
        <w:tc>
          <w:tcPr>
            <w:tcW w:type="dxa" w:w="7940"/>
            <w:shd w:fill="D9E6F5" w:val="clear"/>
            <w:tcMar>
              <w:top w:type="dxa" w:w="80"/>
              <w:left w:type="dxa" w:w="120"/>
              <w:bottom w:type="dxa" w:w="80"/>
              <w:right w:type="dxa" w:w="120"/>
            </w:tcMar>
            <w:vAlign w:val="center"/>
          </w:tcPr>
          <w:p>
            <w:r>
              <w:rPr>
                <w:b/>
                <w:bCs/>
                <w:sz w:val="20"/>
                <w:szCs w:val="20"/>
              </w:rPr>
              <w:t xml:space="preserve">Requirement</w:t>
            </w:r>
          </w:p>
        </w:tc>
      </w:tr>
      <w:tr>
        <w:tc>
          <w:tcPr>
            <w:tcW w:type="dxa" w:w="2400"/>
            <w:tcMar>
              <w:top w:type="dxa" w:w="80"/>
              <w:left w:type="dxa" w:w="120"/>
              <w:bottom w:type="dxa" w:w="80"/>
              <w:right w:type="dxa" w:w="120"/>
            </w:tcMar>
            <w:vAlign w:val="center"/>
          </w:tcPr>
          <w:p>
            <w:r>
              <w:rPr>
                <w:b w:val="false"/>
                <w:bCs w:val="false"/>
                <w:sz w:val="19"/>
                <w:szCs w:val="19"/>
              </w:rPr>
              <w:t xml:space="preserve">Security</w:t>
            </w:r>
          </w:p>
        </w:tc>
        <w:tc>
          <w:tcPr>
            <w:tcW w:type="dxa" w:w="7940"/>
            <w:tcMar>
              <w:top w:type="dxa" w:w="80"/>
              <w:left w:type="dxa" w:w="120"/>
              <w:bottom w:type="dxa" w:w="80"/>
              <w:right w:type="dxa" w:w="120"/>
            </w:tcMar>
            <w:vAlign w:val="center"/>
          </w:tcPr>
          <w:p>
            <w:r>
              <w:rPr>
                <w:b w:val="false"/>
                <w:bCs w:val="false"/>
                <w:sz w:val="19"/>
                <w:szCs w:val="19"/>
              </w:rPr>
              <w:t xml:space="preserve">JWT + OAuth2 authentication, role-based authorization, encrypted credentials, input validation, CORS/SSL configuration</w:t>
            </w:r>
          </w:p>
        </w:tc>
      </w:tr>
      <w:tr>
        <w:tc>
          <w:tcPr>
            <w:tcW w:type="dxa" w:w="2400"/>
            <w:tcMar>
              <w:top w:type="dxa" w:w="80"/>
              <w:left w:type="dxa" w:w="120"/>
              <w:bottom w:type="dxa" w:w="80"/>
              <w:right w:type="dxa" w:w="120"/>
            </w:tcMar>
            <w:vAlign w:val="center"/>
          </w:tcPr>
          <w:p>
            <w:r>
              <w:rPr>
                <w:b w:val="false"/>
                <w:bCs w:val="false"/>
                <w:sz w:val="19"/>
                <w:szCs w:val="19"/>
              </w:rPr>
              <w:t xml:space="preserve">Performance</w:t>
            </w:r>
          </w:p>
        </w:tc>
        <w:tc>
          <w:tcPr>
            <w:tcW w:type="dxa" w:w="7940"/>
            <w:tcMar>
              <w:top w:type="dxa" w:w="80"/>
              <w:left w:type="dxa" w:w="120"/>
              <w:bottom w:type="dxa" w:w="80"/>
              <w:right w:type="dxa" w:w="120"/>
            </w:tcMar>
            <w:vAlign w:val="center"/>
          </w:tcPr>
          <w:p>
            <w:r>
              <w:rPr>
                <w:b w:val="false"/>
                <w:bCs w:val="false"/>
                <w:sz w:val="19"/>
                <w:szCs w:val="19"/>
              </w:rPr>
              <w:t xml:space="preserve">API response times optimized for real-time stock queries; efficient dashboard loading even with large inventories</w:t>
            </w:r>
          </w:p>
        </w:tc>
      </w:tr>
      <w:tr>
        <w:tc>
          <w:tcPr>
            <w:tcW w:type="dxa" w:w="2400"/>
            <w:tcMar>
              <w:top w:type="dxa" w:w="80"/>
              <w:left w:type="dxa" w:w="120"/>
              <w:bottom w:type="dxa" w:w="80"/>
              <w:right w:type="dxa" w:w="120"/>
            </w:tcMar>
            <w:vAlign w:val="center"/>
          </w:tcPr>
          <w:p>
            <w:r>
              <w:rPr>
                <w:b w:val="false"/>
                <w:bCs w:val="false"/>
                <w:sz w:val="19"/>
                <w:szCs w:val="19"/>
              </w:rPr>
              <w:t xml:space="preserve">Scalability</w:t>
            </w:r>
          </w:p>
        </w:tc>
        <w:tc>
          <w:tcPr>
            <w:tcW w:type="dxa" w:w="7940"/>
            <w:tcMar>
              <w:top w:type="dxa" w:w="80"/>
              <w:left w:type="dxa" w:w="120"/>
              <w:bottom w:type="dxa" w:w="80"/>
              <w:right w:type="dxa" w:w="120"/>
            </w:tcMar>
            <w:vAlign w:val="center"/>
          </w:tcPr>
          <w:p>
            <w:r>
              <w:rPr>
                <w:b w:val="false"/>
                <w:bCs w:val="false"/>
                <w:sz w:val="19"/>
                <w:szCs w:val="19"/>
              </w:rPr>
              <w:t xml:space="preserve">Support growth in medicines, suppliers, and concurrent users without redesign; containerized (Docker) for horizontal scaling</w:t>
            </w:r>
          </w:p>
        </w:tc>
      </w:tr>
      <w:tr>
        <w:tc>
          <w:tcPr>
            <w:tcW w:type="dxa" w:w="2400"/>
            <w:tcMar>
              <w:top w:type="dxa" w:w="80"/>
              <w:left w:type="dxa" w:w="120"/>
              <w:bottom w:type="dxa" w:w="80"/>
              <w:right w:type="dxa" w:w="120"/>
            </w:tcMar>
            <w:vAlign w:val="center"/>
          </w:tcPr>
          <w:p>
            <w:r>
              <w:rPr>
                <w:b w:val="false"/>
                <w:bCs w:val="false"/>
                <w:sz w:val="19"/>
                <w:szCs w:val="19"/>
              </w:rPr>
              <w:t xml:space="preserve">Reliability/Availability</w:t>
            </w:r>
          </w:p>
        </w:tc>
        <w:tc>
          <w:tcPr>
            <w:tcW w:type="dxa" w:w="7940"/>
            <w:tcMar>
              <w:top w:type="dxa" w:w="80"/>
              <w:left w:type="dxa" w:w="120"/>
              <w:bottom w:type="dxa" w:w="80"/>
              <w:right w:type="dxa" w:w="120"/>
            </w:tcMar>
            <w:vAlign w:val="center"/>
          </w:tcPr>
          <w:p>
            <w:r>
              <w:rPr>
                <w:b w:val="false"/>
                <w:bCs w:val="false"/>
                <w:sz w:val="19"/>
                <w:szCs w:val="19"/>
              </w:rPr>
              <w:t xml:space="preserve">Stable production deployment with monitoring/logging; automated backups and disaster recovery for the database</w:t>
            </w:r>
          </w:p>
        </w:tc>
      </w:tr>
      <w:tr>
        <w:tc>
          <w:tcPr>
            <w:tcW w:type="dxa" w:w="2400"/>
            <w:tcMar>
              <w:top w:type="dxa" w:w="80"/>
              <w:left w:type="dxa" w:w="120"/>
              <w:bottom w:type="dxa" w:w="80"/>
              <w:right w:type="dxa" w:w="120"/>
            </w:tcMar>
            <w:vAlign w:val="center"/>
          </w:tcPr>
          <w:p>
            <w:r>
              <w:rPr>
                <w:b w:val="false"/>
                <w:bCs w:val="false"/>
                <w:sz w:val="19"/>
                <w:szCs w:val="19"/>
              </w:rPr>
              <w:t xml:space="preserve">Usability</w:t>
            </w:r>
          </w:p>
        </w:tc>
        <w:tc>
          <w:tcPr>
            <w:tcW w:type="dxa" w:w="7940"/>
            <w:tcMar>
              <w:top w:type="dxa" w:w="80"/>
              <w:left w:type="dxa" w:w="120"/>
              <w:bottom w:type="dxa" w:w="80"/>
              <w:right w:type="dxa" w:w="120"/>
            </w:tcMar>
            <w:vAlign w:val="center"/>
          </w:tcPr>
          <w:p>
            <w:r>
              <w:rPr>
                <w:b w:val="false"/>
                <w:bCs w:val="false"/>
                <w:sz w:val="19"/>
                <w:szCs w:val="19"/>
              </w:rPr>
              <w:t xml:space="preserve">Intuitive, responsive UI (web + mobile-friendly) for pharmacists and staff with minimal training</w:t>
            </w:r>
          </w:p>
        </w:tc>
      </w:tr>
      <w:tr>
        <w:tc>
          <w:tcPr>
            <w:tcW w:type="dxa" w:w="2400"/>
            <w:tcMar>
              <w:top w:type="dxa" w:w="80"/>
              <w:left w:type="dxa" w:w="120"/>
              <w:bottom w:type="dxa" w:w="80"/>
              <w:right w:type="dxa" w:w="120"/>
            </w:tcMar>
            <w:vAlign w:val="center"/>
          </w:tcPr>
          <w:p>
            <w:r>
              <w:rPr>
                <w:b w:val="false"/>
                <w:bCs w:val="false"/>
                <w:sz w:val="19"/>
                <w:szCs w:val="19"/>
              </w:rPr>
              <w:t xml:space="preserve">Maintainability</w:t>
            </w:r>
          </w:p>
        </w:tc>
        <w:tc>
          <w:tcPr>
            <w:tcW w:type="dxa" w:w="7940"/>
            <w:tcMar>
              <w:top w:type="dxa" w:w="80"/>
              <w:left w:type="dxa" w:w="120"/>
              <w:bottom w:type="dxa" w:w="80"/>
              <w:right w:type="dxa" w:w="120"/>
            </w:tcMar>
            <w:vAlign w:val="center"/>
          </w:tcPr>
          <w:p>
            <w:r>
              <w:rPr>
                <w:b w:val="false"/>
                <w:bCs w:val="false"/>
                <w:sz w:val="19"/>
                <w:szCs w:val="19"/>
              </w:rPr>
              <w:t xml:space="preserve">Modular Spring Boot services, documented APIs, automated tests (JUnit, Mockito, Postman, React Testing Library)</w:t>
            </w:r>
          </w:p>
        </w:tc>
      </w:tr>
      <w:tr>
        <w:tc>
          <w:tcPr>
            <w:tcW w:type="dxa" w:w="2400"/>
            <w:tcMar>
              <w:top w:type="dxa" w:w="80"/>
              <w:left w:type="dxa" w:w="120"/>
              <w:bottom w:type="dxa" w:w="80"/>
              <w:right w:type="dxa" w:w="120"/>
            </w:tcMar>
            <w:vAlign w:val="center"/>
          </w:tcPr>
          <w:p>
            <w:r>
              <w:rPr>
                <w:b w:val="false"/>
                <w:bCs w:val="false"/>
                <w:sz w:val="19"/>
                <w:szCs w:val="19"/>
              </w:rPr>
              <w:t xml:space="preserve">Data Integrity</w:t>
            </w:r>
          </w:p>
        </w:tc>
        <w:tc>
          <w:tcPr>
            <w:tcW w:type="dxa" w:w="7940"/>
            <w:tcMar>
              <w:top w:type="dxa" w:w="80"/>
              <w:left w:type="dxa" w:w="120"/>
              <w:bottom w:type="dxa" w:w="80"/>
              <w:right w:type="dxa" w:w="120"/>
            </w:tcMar>
            <w:vAlign w:val="center"/>
          </w:tcPr>
          <w:p>
            <w:r>
              <w:rPr>
                <w:b w:val="false"/>
                <w:bCs w:val="false"/>
                <w:sz w:val="19"/>
                <w:szCs w:val="19"/>
              </w:rPr>
              <w:t xml:space="preserve">Accurate, consistent stock and expiry data across concurrent updates</w:t>
            </w:r>
          </w:p>
        </w:tc>
      </w:tr>
      <w:tr>
        <w:tc>
          <w:tcPr>
            <w:tcW w:type="dxa" w:w="2400"/>
            <w:tcMar>
              <w:top w:type="dxa" w:w="80"/>
              <w:left w:type="dxa" w:w="120"/>
              <w:bottom w:type="dxa" w:w="80"/>
              <w:right w:type="dxa" w:w="120"/>
            </w:tcMar>
            <w:vAlign w:val="center"/>
          </w:tcPr>
          <w:p>
            <w:r>
              <w:rPr>
                <w:b w:val="false"/>
                <w:bCs w:val="false"/>
                <w:sz w:val="19"/>
                <w:szCs w:val="19"/>
              </w:rPr>
              <w:t xml:space="preserve">Auditability</w:t>
            </w:r>
          </w:p>
        </w:tc>
        <w:tc>
          <w:tcPr>
            <w:tcW w:type="dxa" w:w="7940"/>
            <w:tcMar>
              <w:top w:type="dxa" w:w="80"/>
              <w:left w:type="dxa" w:w="120"/>
              <w:bottom w:type="dxa" w:w="80"/>
              <w:right w:type="dxa" w:w="120"/>
            </w:tcMar>
            <w:vAlign w:val="center"/>
          </w:tcPr>
          <w:p>
            <w:r>
              <w:rPr>
                <w:b w:val="false"/>
                <w:bCs w:val="false"/>
                <w:sz w:val="19"/>
                <w:szCs w:val="19"/>
              </w:rPr>
              <w:t xml:space="preserve">Full activity/audit logging of inventory and user actions for compliance and traceability</w:t>
            </w:r>
          </w:p>
        </w:tc>
      </w:tr>
      <w:tr>
        <w:tc>
          <w:tcPr>
            <w:tcW w:type="dxa" w:w="2400"/>
            <w:tcMar>
              <w:top w:type="dxa" w:w="80"/>
              <w:left w:type="dxa" w:w="120"/>
              <w:bottom w:type="dxa" w:w="80"/>
              <w:right w:type="dxa" w:w="120"/>
            </w:tcMar>
            <w:vAlign w:val="center"/>
          </w:tcPr>
          <w:p>
            <w:r>
              <w:rPr>
                <w:b w:val="false"/>
                <w:bCs w:val="false"/>
                <w:sz w:val="19"/>
                <w:szCs w:val="19"/>
              </w:rPr>
              <w:t xml:space="preserve">Interoperability</w:t>
            </w:r>
          </w:p>
        </w:tc>
        <w:tc>
          <w:tcPr>
            <w:tcW w:type="dxa" w:w="7940"/>
            <w:tcMar>
              <w:top w:type="dxa" w:w="80"/>
              <w:left w:type="dxa" w:w="120"/>
              <w:bottom w:type="dxa" w:w="80"/>
              <w:right w:type="dxa" w:w="120"/>
            </w:tcMar>
            <w:vAlign w:val="center"/>
          </w:tcPr>
          <w:p>
            <w:r>
              <w:rPr>
                <w:b w:val="false"/>
                <w:bCs w:val="false"/>
                <w:sz w:val="19"/>
                <w:szCs w:val="19"/>
              </w:rPr>
              <w:t xml:space="preserve">REST APIs enabling integration with external services (email, SMS, push notification providers, cloud storage)</w:t>
            </w:r>
          </w:p>
        </w:tc>
      </w:tr>
    </w:tbl>
    <w:p>
      <w:r>
        <w:br w:type="page"/>
      </w:r>
    </w:p>
    <w:p>
      <w:pPr>
        <w:pStyle w:val="Heading1"/>
        <w:spacing w:after="160" w:before="320"/>
      </w:pPr>
      <w:r>
        <w:t xml:space="preserve">6. Workflow Diagram</w:t>
      </w:r>
    </w:p>
    <w:p>
      <w:pPr>
        <w:spacing w:after="160"/>
      </w:pPr>
      <w:r>
        <w:t xml:space="preserve">The diagram below shows the core lifecycle of a medicine entry — from being added to inventory, through stock monitoring, threshold-based alerting, and reporting.</w:t>
      </w:r>
    </w:p>
    <w:p>
      <w:pPr>
        <w:spacing w:after="80" w:before="12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057650"/>
                    </a:xfrm>
                    <a:prstGeom prst="rect">
                      <a:avLst/>
                    </a:prstGeom>
                  </pic:spPr>
                </pic:pic>
              </a:graphicData>
            </a:graphic>
          </wp:inline>
        </w:drawing>
      </w:r>
    </w:p>
    <w:p>
      <w:pPr>
        <w:spacing w:after="240"/>
        <w:jc w:val="center"/>
      </w:pPr>
      <w:r>
        <w:rPr>
          <w:i/>
          <w:iCs/>
          <w:color w:val="6B6A63"/>
          <w:sz w:val="18"/>
          <w:szCs w:val="18"/>
        </w:rPr>
        <w:t xml:space="preserve">Figure 1: MediStock core inventory workflow</w:t>
      </w:r>
    </w:p>
    <w:p>
      <w:r>
        <w:br w:type="page"/>
      </w:r>
    </w:p>
    <w:p>
      <w:pPr>
        <w:pStyle w:val="Heading1"/>
        <w:spacing w:after="160" w:before="320"/>
      </w:pPr>
      <w:r>
        <w:t xml:space="preserve">7. System Architecture Diagram</w:t>
      </w:r>
    </w:p>
    <w:p>
      <w:pPr>
        <w:spacing w:after="160"/>
      </w:pPr>
      <w:r>
        <w:t xml:space="preserve">The architecture follows a layered design: a React client layer, an API gateway handling security and authentication, modular Spring Boot backend services, a relational data layer, and integrations with external services.</w:t>
      </w:r>
    </w:p>
    <w:p>
      <w:pPr>
        <w:spacing w:after="8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381500"/>
                    </a:xfrm>
                    <a:prstGeom prst="rect">
                      <a:avLst/>
                    </a:prstGeom>
                  </pic:spPr>
                </pic:pic>
              </a:graphicData>
            </a:graphic>
          </wp:inline>
        </w:drawing>
      </w:r>
    </w:p>
    <w:p>
      <w:pPr>
        <w:spacing w:after="240"/>
        <w:jc w:val="center"/>
      </w:pPr>
      <w:r>
        <w:rPr>
          <w:i/>
          <w:iCs/>
          <w:color w:val="6B6A63"/>
          <w:sz w:val="18"/>
          <w:szCs w:val="18"/>
        </w:rPr>
        <w:t xml:space="preserve">Figure 2: MediStock system architecture</w:t>
      </w:r>
    </w:p>
    <w:p>
      <w:r>
        <w:br w:type="page"/>
      </w:r>
    </w:p>
    <w:p>
      <w:pPr>
        <w:pStyle w:val="Heading1"/>
        <w:spacing w:after="160" w:before="320"/>
      </w:pPr>
      <w:r>
        <w:t xml:space="preserve">8. Database Schema (ER Diagram)</w:t>
      </w:r>
    </w:p>
    <w:p>
      <w:pPr>
        <w:spacing w:after="160"/>
      </w:pPr>
      <w:r>
        <w:t xml:space="preserve">The core data model centers on Medicines and Batches, linked to Suppliers, Categories, Purchase Orders, Stock Logs, and Notifications, with Users and Roles governing access.</w:t>
      </w:r>
    </w:p>
    <w:p>
      <w:pPr>
        <w:spacing w:after="80" w:before="120"/>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0000"/>
                    </a:xfrm>
                    <a:prstGeom prst="rect">
                      <a:avLst/>
                    </a:prstGeom>
                  </pic:spPr>
                </pic:pic>
              </a:graphicData>
            </a:graphic>
          </wp:inline>
        </w:drawing>
      </w:r>
    </w:p>
    <w:p>
      <w:pPr>
        <w:spacing w:after="240"/>
        <w:jc w:val="center"/>
      </w:pPr>
      <w:r>
        <w:rPr>
          <w:i/>
          <w:iCs/>
          <w:color w:val="6B6A63"/>
          <w:sz w:val="18"/>
          <w:szCs w:val="18"/>
        </w:rPr>
        <w:t xml:space="preserve">Figure 3: MediStock entity relationship diagram</w:t>
      </w:r>
    </w:p>
    <w:p>
      <w:r>
        <w:br w:type="page"/>
      </w:r>
    </w:p>
    <w:p>
      <w:pPr>
        <w:pStyle w:val="Heading1"/>
        <w:spacing w:after="160" w:before="320"/>
      </w:pPr>
      <w:r>
        <w:t xml:space="preserve">9. UI Wireframes</w:t>
      </w:r>
    </w:p>
    <w:p>
      <w:pPr>
        <w:spacing w:after="160"/>
      </w:pPr>
      <w:r>
        <w:t xml:space="preserve">The pharmacist dashboard wireframe below illustrates the primary landing screen: key inventory statistics, a live inventory table with stock/expiry status, and supplier performance insights.</w:t>
      </w:r>
    </w:p>
    <w:p>
      <w:pPr>
        <w:spacing w:after="80" w:before="120"/>
        <w:jc w:val="center"/>
      </w:pPr>
      <w:r>
        <w:drawing>
          <wp:inline distT="0" distB="0" distL="0" distR="0">
            <wp:extent cx="5524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52850"/>
                    </a:xfrm>
                    <a:prstGeom prst="rect">
                      <a:avLst/>
                    </a:prstGeom>
                  </pic:spPr>
                </pic:pic>
              </a:graphicData>
            </a:graphic>
          </wp:inline>
        </w:drawing>
      </w:r>
    </w:p>
    <w:p>
      <w:pPr>
        <w:spacing w:after="240"/>
        <w:jc w:val="center"/>
      </w:pPr>
      <w:r>
        <w:rPr>
          <w:i/>
          <w:iCs/>
          <w:color w:val="6B6A63"/>
          <w:sz w:val="18"/>
          <w:szCs w:val="18"/>
        </w:rPr>
        <w:t xml:space="preserve">Figure 4: Pharmacist dashboard wireframe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d151c716871f4d1ffaa48d62ce52a1aea80221.png"/><Relationship Id="rId8" Type="http://schemas.openxmlformats.org/officeDocument/2006/relationships/image" Target="media/932661a2c7cfb42cf3b12a2e8a1c57f5212b2a9a.png"/><Relationship Id="rId9" Type="http://schemas.openxmlformats.org/officeDocument/2006/relationships/image" Target="media/e27f7ee0e404ac248fcb370ff2e0f6a509c94737.png"/><Relationship Id="rId10" Type="http://schemas.openxmlformats.org/officeDocument/2006/relationships/image" Target="media/42219f6f5bf9aee2e95bc4fdb51f2513177596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2026-07-29T14:31:18.696Z</dcterms:created>
  <dcterms:modified xsi:type="dcterms:W3CDTF">2026-07-29T14:31:18.696Z</dcterms:modified>
</cp:coreProperties>
</file>

<file path=docProps/custom.xml><?xml version="1.0" encoding="utf-8"?>
<Properties xmlns="http://schemas.openxmlformats.org/officeDocument/2006/custom-properties" xmlns:vt="http://schemas.openxmlformats.org/officeDocument/2006/docPropsVTypes"/>
</file>