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74B1" w:rsidRDefault="00DB74B1" w:rsidP="00DB74B1">
      <w:r>
        <w:t>HDFC Bank Limited</w:t>
      </w:r>
    </w:p>
    <w:p w:rsidR="00DB74B1" w:rsidRDefault="00DB74B1" w:rsidP="00DB74B1">
      <w:r>
        <w:t>Financial Highlights – FY2024</w:t>
      </w:r>
    </w:p>
    <w:p w:rsidR="00DB74B1" w:rsidRDefault="00DB74B1" w:rsidP="00DB74B1"/>
    <w:p w:rsidR="00DB74B1" w:rsidRDefault="00DB74B1" w:rsidP="00DB74B1">
      <w:r>
        <w:t>Total Revenue: ₹2,85,000 crore</w:t>
      </w:r>
    </w:p>
    <w:p w:rsidR="00DB74B1" w:rsidRDefault="00DB74B1" w:rsidP="00DB74B1">
      <w:r>
        <w:t>Net Profit: ₹68,000 crore</w:t>
      </w:r>
    </w:p>
    <w:p w:rsidR="00DB74B1" w:rsidRDefault="00DB74B1" w:rsidP="00DB74B1">
      <w:r>
        <w:t>Operating Margin: 42%</w:t>
      </w:r>
    </w:p>
    <w:p w:rsidR="00DB74B1" w:rsidRDefault="00DB74B1" w:rsidP="00DB74B1"/>
    <w:p w:rsidR="00DB74B1" w:rsidRDefault="00DB74B1" w:rsidP="00DB74B1">
      <w:r>
        <w:t>The bank reported steady growth across retail and corporate segments.</w:t>
      </w:r>
    </w:p>
    <w:sectPr w:rsidR="00DB7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B1"/>
    <w:rsid w:val="00532FD4"/>
    <w:rsid w:val="00DB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02C3E42-1ECB-394B-8A17-543EDF90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anzalna aslam</dc:creator>
  <cp:keywords/>
  <dc:description/>
  <cp:lastModifiedBy>anzalna aslam</cp:lastModifiedBy>
  <cp:revision>1</cp:revision>
  <dcterms:created xsi:type="dcterms:W3CDTF">2026-01-26T09:26:00Z</dcterms:created>
  <dcterms:modified xsi:type="dcterms:W3CDTF">2026-01-26T09:27:00Z</dcterms:modified>
</cp:coreProperties>
</file>