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left"/>
      </w:pPr>
      <w:r>
        <w:rPr>
          <w:rFonts w:ascii="Arial" w:hAnsi="Arial"/>
          <w:b/>
          <w:color w:val="0A2540"/>
          <w:sz w:val="56"/>
        </w:rPr>
        <w:t>ThreatLens AI</w:t>
      </w:r>
    </w:p>
    <w:p>
      <w:pPr>
        <w:spacing w:after="360"/>
      </w:pPr>
      <w:r>
        <w:rPr>
          <w:rFonts w:ascii="Arial" w:hAnsi="Arial"/>
          <w:color w:val="64748B"/>
          <w:sz w:val="26"/>
        </w:rPr>
        <w:t>Enterprise Threat Classification &amp; Malware Static Analysis Platform — Technical Reference &amp; Operating Manual</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096D6"/>
              <w:bottom w:val="none"/>
              <w:right w:val="none"/>
            </w:tcBorders>
          </w:tcPr>
          <w:p>
            <w:pPr>
              <w:spacing w:after="40"/>
            </w:pPr>
            <w:r>
              <w:rPr>
                <w:b/>
                <w:color w:val="0096D6"/>
                <w:sz w:val="20"/>
              </w:rPr>
              <w:t>IMPORTANT: DEFENSIVE SECURITY STANCE &amp; ZERO-EXECUTION ASSURANCE</w:t>
              <w:br/>
            </w:r>
            <w:r>
              <w:rPr>
                <w:color w:val="1E293B"/>
                <w:sz w:val="20"/>
              </w:rPr>
              <w:t>ThreatLens AI operates strictly statically. No uploaded samples or binary files are ever executed. All cryptographic hashing, PE header extraction, Shannon entropy evaluation, YARA pattern matching, and machine learning feature vectorization occur safely in isolated memory space.</w:t>
            </w:r>
          </w:p>
        </w:tc>
      </w:tr>
    </w:tbl>
    <w:p/>
    <w:p>
      <w:pPr>
        <w:pStyle w:val="Heading1"/>
      </w:pPr>
      <w:r>
        <w:t>1. Executive Overview</w:t>
      </w:r>
    </w:p>
    <w:p>
      <w:r>
        <w:t>ThreatLens AI is an enterprise-grade cyber threat intelligence and static malware classification platform built specifically for Security Operations Centers (SOC), Incident Response (IR) teams, threat analysts, and malware researchers. The system facilitates high-throughput binary inspection by extracting structural characteristics, identifying embedded Indicators of Compromise (IOCs), matching custom YARA rule signatures, predicting malware family lineage via machine learning, computing automated 0–100 risk scores, and generating real-time SOC alerts.</w:t>
      </w:r>
    </w:p>
    <w:p>
      <w:pPr>
        <w:pStyle w:val="Heading1"/>
      </w:pPr>
      <w:r>
        <w:t>2. System Architecture &amp; High-Level Design</w:t>
      </w:r>
    </w:p>
    <w:p>
      <w:r>
        <w:t>ThreatLens AI follows a modern decoupled architecture comprising a high-performance FastAPI Python backend, a reactive Next.js 14 glassmorphism SOC dashboard, and a tri-layer database backend (PostgreSQL, MongoDB, and Redis).</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after="0"/>
            </w:pPr>
            <w:r>
              <w:rPr>
                <w:rFonts w:ascii="Consolas" w:hAnsi="Consolas"/>
                <w:color w:val="38BDF8"/>
                <w:sz w:val="18"/>
              </w:rPr>
              <w:t>+-----------------------------------------------------------------------+</w:t>
              <w:br/>
              <w:t>|                    Next.js 14 Web Frontend                            |</w:t>
              <w:br/>
              <w:t>|             (React 18, Tailwind CSS, Cyberpunk Dark SOC UI)           |</w:t>
              <w:br/>
              <w:t>+-----------------------------------+-----------------------------------+</w:t>
              <w:br/>
              <w:t xml:space="preserve">                                    |</w:t>
              <w:br/>
              <w:t xml:space="preserve">                                    v  REST API / JSON (/api/v1)</w:t>
              <w:br/>
              <w:t>+-----------------------------------+-----------------------------------+</w:t>
              <w:br/>
              <w:t>|                    FastAPI Python Backend Server                      |</w:t>
              <w:br/>
              <w:t>|         (API Gateway, JWT Auth, Security Controllers, Async Engine)   |</w:t>
              <w:br/>
              <w:t>+-----------+-----------------------+-----------------------+-----------+</w:t>
              <w:br/>
              <w:t xml:space="preserve">            |                       |                       |</w:t>
              <w:br/>
              <w:t xml:space="preserve">            v                       v                       v</w:t>
              <w:br/>
              <w:t>+-----------------------+  +-----------------------+  +-----------------------+</w:t>
              <w:br/>
              <w:t>| PostgreSQL Database   |  | MongoDB Document Store|  | Redis Cache &amp; Session |</w:t>
              <w:br/>
              <w:t>| Relational Storage    |  | Raw Analysis Reports  |  | Rate Limiting &amp; Jobs  |</w:t>
              <w:br/>
              <w:t>| Users, Scans, Alerts  |  | &amp; Unstructured Feeds  |  | State Storage         |</w:t>
              <w:br/>
              <w:t>+-----------------------+  +-----------------------+  +-----------------------+</w:t>
            </w:r>
          </w:p>
        </w:tc>
      </w:tr>
    </w:tbl>
    <w:p/>
    <w:p>
      <w:pPr>
        <w:pStyle w:val="Heading1"/>
      </w:pPr>
      <w:r>
        <w:t>3. Technology Stack &amp; Framework Selections</w:t>
      </w:r>
    </w:p>
    <w:tbl>
      <w:tblPr>
        <w:tblW w:type="auto" w:w="0"/>
        <w:jc w:val="center"/>
        <w:tblLook w:firstColumn="1" w:firstRow="1" w:lastColumn="0" w:lastRow="0" w:noHBand="0" w:noVBand="1" w:val="04A0"/>
      </w:tblPr>
      <w:tblGrid>
        <w:gridCol w:w="3120"/>
        <w:gridCol w:w="3120"/>
        <w:gridCol w:w="3120"/>
      </w:tblGrid>
      <w:tr>
        <w:tc>
          <w:tcPr>
            <w:tcW w:type="dxa" w:w="2592"/>
            <w:shd w:fill="0A2540"/>
            <w:tcMar>
              <w:top w:w="120" w:type="dxa"/>
              <w:bottom w:w="120" w:type="dxa"/>
              <w:left w:w="150" w:type="dxa"/>
              <w:right w:w="150" w:type="dxa"/>
            </w:tcMar>
          </w:tcPr>
          <w:p>
            <w:pPr>
              <w:spacing w:after="0"/>
              <w:jc w:val="left"/>
            </w:pPr>
            <w:r>
              <w:rPr>
                <w:b/>
                <w:color w:val="FFFFFF"/>
                <w:sz w:val="20"/>
              </w:rPr>
              <w:t>Component</w:t>
            </w:r>
          </w:p>
        </w:tc>
        <w:tc>
          <w:tcPr>
            <w:tcW w:type="dxa" w:w="3168"/>
            <w:shd w:fill="0A2540"/>
            <w:tcMar>
              <w:top w:w="120" w:type="dxa"/>
              <w:bottom w:w="120" w:type="dxa"/>
              <w:left w:w="150" w:type="dxa"/>
              <w:right w:w="150" w:type="dxa"/>
            </w:tcMar>
          </w:tcPr>
          <w:p>
            <w:pPr>
              <w:spacing w:after="0"/>
              <w:jc w:val="left"/>
            </w:pPr>
            <w:r>
              <w:rPr>
                <w:b/>
                <w:color w:val="FFFFFF"/>
                <w:sz w:val="20"/>
              </w:rPr>
              <w:t>Technology / Library</w:t>
            </w:r>
          </w:p>
        </w:tc>
        <w:tc>
          <w:tcPr>
            <w:tcW w:type="dxa" w:w="3600"/>
            <w:shd w:fill="0A2540"/>
            <w:tcMar>
              <w:top w:w="120" w:type="dxa"/>
              <w:bottom w:w="120" w:type="dxa"/>
              <w:left w:w="150" w:type="dxa"/>
              <w:right w:w="150" w:type="dxa"/>
            </w:tcMar>
          </w:tcPr>
          <w:p>
            <w:pPr>
              <w:spacing w:after="0"/>
              <w:jc w:val="left"/>
            </w:pPr>
            <w:r>
              <w:rPr>
                <w:b/>
                <w:color w:val="FFFFFF"/>
                <w:sz w:val="20"/>
              </w:rPr>
              <w:t>Role &amp; Description</w:t>
            </w:r>
          </w:p>
        </w:tc>
      </w:tr>
      <w:tr>
        <w:tc>
          <w:tcPr>
            <w:tcW w:type="dxa" w:w="2592"/>
            <w:shd w:fill="FFFFFF"/>
            <w:tcMar>
              <w:top w:w="100" w:type="dxa"/>
              <w:bottom w:w="100" w:type="dxa"/>
              <w:left w:w="150" w:type="dxa"/>
              <w:right w:w="150" w:type="dxa"/>
            </w:tcMar>
          </w:tcPr>
          <w:p>
            <w:pPr>
              <w:spacing w:after="0"/>
            </w:pPr>
            <w:r>
              <w:rPr>
                <w:sz w:val="19"/>
              </w:rPr>
              <w:t>Frontend UI</w:t>
            </w:r>
          </w:p>
        </w:tc>
        <w:tc>
          <w:tcPr>
            <w:tcW w:type="dxa" w:w="3168"/>
            <w:shd w:fill="FFFFFF"/>
            <w:tcMar>
              <w:top w:w="100" w:type="dxa"/>
              <w:bottom w:w="100" w:type="dxa"/>
              <w:left w:w="150" w:type="dxa"/>
              <w:right w:w="150" w:type="dxa"/>
            </w:tcMar>
          </w:tcPr>
          <w:p>
            <w:pPr>
              <w:spacing w:after="0"/>
            </w:pPr>
            <w:r>
              <w:rPr>
                <w:sz w:val="19"/>
              </w:rPr>
              <w:t>Next.js 14, React 18, Tailwind CSS</w:t>
            </w:r>
          </w:p>
        </w:tc>
        <w:tc>
          <w:tcPr>
            <w:tcW w:type="dxa" w:w="3600"/>
            <w:shd w:fill="FFFFFF"/>
            <w:tcMar>
              <w:top w:w="100" w:type="dxa"/>
              <w:bottom w:w="100" w:type="dxa"/>
              <w:left w:w="150" w:type="dxa"/>
              <w:right w:w="150" w:type="dxa"/>
            </w:tcMar>
          </w:tcPr>
          <w:p>
            <w:pPr>
              <w:spacing w:after="0"/>
            </w:pPr>
            <w:r>
              <w:rPr>
                <w:sz w:val="19"/>
              </w:rPr>
              <w:t>Cyberpunk SOC dashboard with dynamic visual metrics</w:t>
            </w:r>
          </w:p>
        </w:tc>
      </w:tr>
      <w:tr>
        <w:tc>
          <w:tcPr>
            <w:tcW w:type="dxa" w:w="2592"/>
            <w:shd w:fill="F8FAFC"/>
            <w:tcMar>
              <w:top w:w="100" w:type="dxa"/>
              <w:bottom w:w="100" w:type="dxa"/>
              <w:left w:w="150" w:type="dxa"/>
              <w:right w:w="150" w:type="dxa"/>
            </w:tcMar>
          </w:tcPr>
          <w:p>
            <w:pPr>
              <w:spacing w:after="0"/>
            </w:pPr>
            <w:r>
              <w:rPr>
                <w:sz w:val="19"/>
              </w:rPr>
              <w:t>Backend Framework</w:t>
            </w:r>
          </w:p>
        </w:tc>
        <w:tc>
          <w:tcPr>
            <w:tcW w:type="dxa" w:w="3168"/>
            <w:shd w:fill="F8FAFC"/>
            <w:tcMar>
              <w:top w:w="100" w:type="dxa"/>
              <w:bottom w:w="100" w:type="dxa"/>
              <w:left w:w="150" w:type="dxa"/>
              <w:right w:w="150" w:type="dxa"/>
            </w:tcMar>
          </w:tcPr>
          <w:p>
            <w:pPr>
              <w:spacing w:after="0"/>
            </w:pPr>
            <w:r>
              <w:rPr>
                <w:sz w:val="19"/>
              </w:rPr>
              <w:t>Python 3.10+, FastAPI, Uvicorn</w:t>
            </w:r>
          </w:p>
        </w:tc>
        <w:tc>
          <w:tcPr>
            <w:tcW w:type="dxa" w:w="3600"/>
            <w:shd w:fill="F8FAFC"/>
            <w:tcMar>
              <w:top w:w="100" w:type="dxa"/>
              <w:bottom w:w="100" w:type="dxa"/>
              <w:left w:w="150" w:type="dxa"/>
              <w:right w:w="150" w:type="dxa"/>
            </w:tcMar>
          </w:tcPr>
          <w:p>
            <w:pPr>
              <w:spacing w:after="0"/>
            </w:pPr>
            <w:r>
              <w:rPr>
                <w:sz w:val="19"/>
              </w:rPr>
              <w:t>Async API gateway, security router, and scan controller</w:t>
            </w:r>
          </w:p>
        </w:tc>
      </w:tr>
      <w:tr>
        <w:tc>
          <w:tcPr>
            <w:tcW w:type="dxa" w:w="2592"/>
            <w:shd w:fill="FFFFFF"/>
            <w:tcMar>
              <w:top w:w="100" w:type="dxa"/>
              <w:bottom w:w="100" w:type="dxa"/>
              <w:left w:w="150" w:type="dxa"/>
              <w:right w:w="150" w:type="dxa"/>
            </w:tcMar>
          </w:tcPr>
          <w:p>
            <w:pPr>
              <w:spacing w:after="0"/>
            </w:pPr>
            <w:r>
              <w:rPr>
                <w:sz w:val="19"/>
              </w:rPr>
              <w:t>Relational DB</w:t>
            </w:r>
          </w:p>
        </w:tc>
        <w:tc>
          <w:tcPr>
            <w:tcW w:type="dxa" w:w="3168"/>
            <w:shd w:fill="FFFFFF"/>
            <w:tcMar>
              <w:top w:w="100" w:type="dxa"/>
              <w:bottom w:w="100" w:type="dxa"/>
              <w:left w:w="150" w:type="dxa"/>
              <w:right w:w="150" w:type="dxa"/>
            </w:tcMar>
          </w:tcPr>
          <w:p>
            <w:pPr>
              <w:spacing w:after="0"/>
            </w:pPr>
            <w:r>
              <w:rPr>
                <w:sz w:val="19"/>
              </w:rPr>
              <w:t>PostgreSQL 15, SQLAlchemy, Alembic</w:t>
            </w:r>
          </w:p>
        </w:tc>
        <w:tc>
          <w:tcPr>
            <w:tcW w:type="dxa" w:w="3600"/>
            <w:shd w:fill="FFFFFF"/>
            <w:tcMar>
              <w:top w:w="100" w:type="dxa"/>
              <w:bottom w:w="100" w:type="dxa"/>
              <w:left w:w="150" w:type="dxa"/>
              <w:right w:w="150" w:type="dxa"/>
            </w:tcMar>
          </w:tcPr>
          <w:p>
            <w:pPr>
              <w:spacing w:after="0"/>
            </w:pPr>
            <w:r>
              <w:rPr>
                <w:sz w:val="19"/>
              </w:rPr>
              <w:t>User accounts, RBAC, file metadata, alerts, and audit logs</w:t>
            </w:r>
          </w:p>
        </w:tc>
      </w:tr>
      <w:tr>
        <w:tc>
          <w:tcPr>
            <w:tcW w:type="dxa" w:w="2592"/>
            <w:shd w:fill="F8FAFC"/>
            <w:tcMar>
              <w:top w:w="100" w:type="dxa"/>
              <w:bottom w:w="100" w:type="dxa"/>
              <w:left w:w="150" w:type="dxa"/>
              <w:right w:w="150" w:type="dxa"/>
            </w:tcMar>
          </w:tcPr>
          <w:p>
            <w:pPr>
              <w:spacing w:after="0"/>
            </w:pPr>
            <w:r>
              <w:rPr>
                <w:sz w:val="19"/>
              </w:rPr>
              <w:t>Document DB</w:t>
            </w:r>
          </w:p>
        </w:tc>
        <w:tc>
          <w:tcPr>
            <w:tcW w:type="dxa" w:w="3168"/>
            <w:shd w:fill="F8FAFC"/>
            <w:tcMar>
              <w:top w:w="100" w:type="dxa"/>
              <w:bottom w:w="100" w:type="dxa"/>
              <w:left w:w="150" w:type="dxa"/>
              <w:right w:w="150" w:type="dxa"/>
            </w:tcMar>
          </w:tcPr>
          <w:p>
            <w:pPr>
              <w:spacing w:after="0"/>
            </w:pPr>
            <w:r>
              <w:rPr>
                <w:sz w:val="19"/>
              </w:rPr>
              <w:t>MongoDB 6.0+</w:t>
            </w:r>
          </w:p>
        </w:tc>
        <w:tc>
          <w:tcPr>
            <w:tcW w:type="dxa" w:w="3600"/>
            <w:shd w:fill="F8FAFC"/>
            <w:tcMar>
              <w:top w:w="100" w:type="dxa"/>
              <w:bottom w:w="100" w:type="dxa"/>
              <w:left w:w="150" w:type="dxa"/>
              <w:right w:w="150" w:type="dxa"/>
            </w:tcMar>
          </w:tcPr>
          <w:p>
            <w:pPr>
              <w:spacing w:after="0"/>
            </w:pPr>
            <w:r>
              <w:rPr>
                <w:sz w:val="19"/>
              </w:rPr>
              <w:t>Unstructured JSON static analysis reports &amp; threat feeds</w:t>
            </w:r>
          </w:p>
        </w:tc>
      </w:tr>
      <w:tr>
        <w:tc>
          <w:tcPr>
            <w:tcW w:type="dxa" w:w="2592"/>
            <w:shd w:fill="FFFFFF"/>
            <w:tcMar>
              <w:top w:w="100" w:type="dxa"/>
              <w:bottom w:w="100" w:type="dxa"/>
              <w:left w:w="150" w:type="dxa"/>
              <w:right w:w="150" w:type="dxa"/>
            </w:tcMar>
          </w:tcPr>
          <w:p>
            <w:pPr>
              <w:spacing w:after="0"/>
            </w:pPr>
            <w:r>
              <w:rPr>
                <w:sz w:val="19"/>
              </w:rPr>
              <w:t>In-Memory Cache</w:t>
            </w:r>
          </w:p>
        </w:tc>
        <w:tc>
          <w:tcPr>
            <w:tcW w:type="dxa" w:w="3168"/>
            <w:shd w:fill="FFFFFF"/>
            <w:tcMar>
              <w:top w:w="100" w:type="dxa"/>
              <w:bottom w:w="100" w:type="dxa"/>
              <w:left w:w="150" w:type="dxa"/>
              <w:right w:w="150" w:type="dxa"/>
            </w:tcMar>
          </w:tcPr>
          <w:p>
            <w:pPr>
              <w:spacing w:after="0"/>
            </w:pPr>
            <w:r>
              <w:rPr>
                <w:sz w:val="19"/>
              </w:rPr>
              <w:t>Redis 7.0+</w:t>
            </w:r>
          </w:p>
        </w:tc>
        <w:tc>
          <w:tcPr>
            <w:tcW w:type="dxa" w:w="3600"/>
            <w:shd w:fill="FFFFFF"/>
            <w:tcMar>
              <w:top w:w="100" w:type="dxa"/>
              <w:bottom w:w="100" w:type="dxa"/>
              <w:left w:w="150" w:type="dxa"/>
              <w:right w:w="150" w:type="dxa"/>
            </w:tcMar>
          </w:tcPr>
          <w:p>
            <w:pPr>
              <w:spacing w:after="0"/>
            </w:pPr>
            <w:r>
              <w:rPr>
                <w:sz w:val="19"/>
              </w:rPr>
              <w:t>Session caching, rate limiting, and scan job tracking</w:t>
            </w:r>
          </w:p>
        </w:tc>
      </w:tr>
      <w:tr>
        <w:tc>
          <w:tcPr>
            <w:tcW w:type="dxa" w:w="2592"/>
            <w:shd w:fill="F8FAFC"/>
            <w:tcMar>
              <w:top w:w="100" w:type="dxa"/>
              <w:bottom w:w="100" w:type="dxa"/>
              <w:left w:w="150" w:type="dxa"/>
              <w:right w:w="150" w:type="dxa"/>
            </w:tcMar>
          </w:tcPr>
          <w:p>
            <w:pPr>
              <w:spacing w:after="0"/>
            </w:pPr>
            <w:r>
              <w:rPr>
                <w:sz w:val="19"/>
              </w:rPr>
              <w:t>Static Analysis</w:t>
            </w:r>
          </w:p>
        </w:tc>
        <w:tc>
          <w:tcPr>
            <w:tcW w:type="dxa" w:w="3168"/>
            <w:shd w:fill="F8FAFC"/>
            <w:tcMar>
              <w:top w:w="100" w:type="dxa"/>
              <w:bottom w:w="100" w:type="dxa"/>
              <w:left w:w="150" w:type="dxa"/>
              <w:right w:w="150" w:type="dxa"/>
            </w:tcMar>
          </w:tcPr>
          <w:p>
            <w:pPr>
              <w:spacing w:after="0"/>
            </w:pPr>
            <w:r>
              <w:rPr>
                <w:sz w:val="19"/>
              </w:rPr>
              <w:t>pefile, yara-python, hashlib</w:t>
            </w:r>
          </w:p>
        </w:tc>
        <w:tc>
          <w:tcPr>
            <w:tcW w:type="dxa" w:w="3600"/>
            <w:shd w:fill="F8FAFC"/>
            <w:tcMar>
              <w:top w:w="100" w:type="dxa"/>
              <w:bottom w:w="100" w:type="dxa"/>
              <w:left w:w="150" w:type="dxa"/>
              <w:right w:w="150" w:type="dxa"/>
            </w:tcMar>
          </w:tcPr>
          <w:p>
            <w:pPr>
              <w:spacing w:after="0"/>
            </w:pPr>
            <w:r>
              <w:rPr>
                <w:sz w:val="19"/>
              </w:rPr>
              <w:t>PE header parsing, section entropy, YARA rule engine</w:t>
            </w:r>
          </w:p>
        </w:tc>
      </w:tr>
      <w:tr>
        <w:tc>
          <w:tcPr>
            <w:tcW w:type="dxa" w:w="2592"/>
            <w:shd w:fill="FFFFFF"/>
            <w:tcMar>
              <w:top w:w="100" w:type="dxa"/>
              <w:bottom w:w="100" w:type="dxa"/>
              <w:left w:w="150" w:type="dxa"/>
              <w:right w:w="150" w:type="dxa"/>
            </w:tcMar>
          </w:tcPr>
          <w:p>
            <w:pPr>
              <w:spacing w:after="0"/>
            </w:pPr>
            <w:r>
              <w:rPr>
                <w:sz w:val="19"/>
              </w:rPr>
              <w:t>Machine Learning</w:t>
            </w:r>
          </w:p>
        </w:tc>
        <w:tc>
          <w:tcPr>
            <w:tcW w:type="dxa" w:w="3168"/>
            <w:shd w:fill="FFFFFF"/>
            <w:tcMar>
              <w:top w:w="100" w:type="dxa"/>
              <w:bottom w:w="100" w:type="dxa"/>
              <w:left w:w="150" w:type="dxa"/>
              <w:right w:w="150" w:type="dxa"/>
            </w:tcMar>
          </w:tcPr>
          <w:p>
            <w:pPr>
              <w:spacing w:after="0"/>
            </w:pPr>
            <w:r>
              <w:rPr>
                <w:sz w:val="19"/>
              </w:rPr>
              <w:t>scikit-learn, Pandas, NumPy</w:t>
            </w:r>
          </w:p>
        </w:tc>
        <w:tc>
          <w:tcPr>
            <w:tcW w:type="dxa" w:w="3600"/>
            <w:shd w:fill="FFFFFF"/>
            <w:tcMar>
              <w:top w:w="100" w:type="dxa"/>
              <w:bottom w:w="100" w:type="dxa"/>
              <w:left w:w="150" w:type="dxa"/>
              <w:right w:w="150" w:type="dxa"/>
            </w:tcMar>
          </w:tcPr>
          <w:p>
            <w:pPr>
              <w:spacing w:after="0"/>
            </w:pPr>
            <w:r>
              <w:rPr>
                <w:sz w:val="19"/>
              </w:rPr>
              <w:t>Random Forest threat vectorizer &amp; multi-class predictor</w:t>
            </w:r>
          </w:p>
        </w:tc>
      </w:tr>
    </w:tbl>
    <w:p/>
    <w:p>
      <w:pPr>
        <w:pStyle w:val="Heading1"/>
      </w:pPr>
      <w:r>
        <w:t>4. Role-Based Access Control (RBAC)</w:t>
      </w:r>
    </w:p>
    <w:p>
      <w:r>
        <w:t>ThreatLens AI enforces granular Role-Based Access Control across four specialized operational roles:</w:t>
      </w:r>
    </w:p>
    <w:tbl>
      <w:tblPr>
        <w:tblW w:type="auto" w:w="0"/>
        <w:jc w:val="center"/>
        <w:tblLook w:firstColumn="1" w:firstRow="1" w:lastColumn="0" w:lastRow="0" w:noHBand="0" w:noVBand="1" w:val="04A0"/>
      </w:tblPr>
      <w:tblGrid>
        <w:gridCol w:w="3120"/>
        <w:gridCol w:w="3120"/>
        <w:gridCol w:w="3120"/>
      </w:tblGrid>
      <w:tr>
        <w:tc>
          <w:tcPr>
            <w:tcW w:type="dxa" w:w="2160"/>
            <w:shd w:fill="0A2540"/>
            <w:tcMar>
              <w:top w:w="120" w:type="dxa"/>
              <w:bottom w:w="120" w:type="dxa"/>
              <w:left w:w="150" w:type="dxa"/>
              <w:right w:w="150" w:type="dxa"/>
            </w:tcMar>
          </w:tcPr>
          <w:p>
            <w:pPr>
              <w:spacing w:after="0"/>
              <w:jc w:val="left"/>
            </w:pPr>
            <w:r>
              <w:rPr>
                <w:b/>
                <w:color w:val="FFFFFF"/>
                <w:sz w:val="20"/>
              </w:rPr>
              <w:t>Role Name</w:t>
            </w:r>
          </w:p>
        </w:tc>
        <w:tc>
          <w:tcPr>
            <w:tcW w:type="dxa" w:w="3168"/>
            <w:shd w:fill="0A2540"/>
            <w:tcMar>
              <w:top w:w="120" w:type="dxa"/>
              <w:bottom w:w="120" w:type="dxa"/>
              <w:left w:w="150" w:type="dxa"/>
              <w:right w:w="150" w:type="dxa"/>
            </w:tcMar>
          </w:tcPr>
          <w:p>
            <w:pPr>
              <w:spacing w:after="0"/>
              <w:jc w:val="left"/>
            </w:pPr>
            <w:r>
              <w:rPr>
                <w:b/>
                <w:color w:val="FFFFFF"/>
                <w:sz w:val="20"/>
              </w:rPr>
              <w:t>Demo Credentials</w:t>
            </w:r>
          </w:p>
        </w:tc>
        <w:tc>
          <w:tcPr>
            <w:tcW w:type="dxa" w:w="4032"/>
            <w:shd w:fill="0A2540"/>
            <w:tcMar>
              <w:top w:w="120" w:type="dxa"/>
              <w:bottom w:w="120" w:type="dxa"/>
              <w:left w:w="150" w:type="dxa"/>
              <w:right w:w="150" w:type="dxa"/>
            </w:tcMar>
          </w:tcPr>
          <w:p>
            <w:pPr>
              <w:spacing w:after="0"/>
              <w:jc w:val="left"/>
            </w:pPr>
            <w:r>
              <w:rPr>
                <w:b/>
                <w:color w:val="FFFFFF"/>
                <w:sz w:val="20"/>
              </w:rPr>
              <w:t>Permissions &amp; Access Scope</w:t>
            </w:r>
          </w:p>
        </w:tc>
      </w:tr>
      <w:tr>
        <w:tc>
          <w:tcPr>
            <w:tcW w:type="dxa" w:w="2160"/>
            <w:shd w:fill="FFFFFF"/>
            <w:tcMar>
              <w:top w:w="100" w:type="dxa"/>
              <w:bottom w:w="100" w:type="dxa"/>
              <w:left w:w="150" w:type="dxa"/>
              <w:right w:w="150" w:type="dxa"/>
            </w:tcMar>
          </w:tcPr>
          <w:p>
            <w:pPr>
              <w:spacing w:after="0"/>
            </w:pPr>
            <w:r>
              <w:rPr>
                <w:b/>
                <w:sz w:val="19"/>
              </w:rPr>
              <w:t>Administrator</w:t>
            </w:r>
          </w:p>
        </w:tc>
        <w:tc>
          <w:tcPr>
            <w:tcW w:type="dxa" w:w="3168"/>
            <w:shd w:fill="FFFFFF"/>
            <w:tcMar>
              <w:top w:w="100" w:type="dxa"/>
              <w:bottom w:w="100" w:type="dxa"/>
              <w:left w:w="150" w:type="dxa"/>
              <w:right w:w="150" w:type="dxa"/>
            </w:tcMar>
          </w:tcPr>
          <w:p>
            <w:pPr>
              <w:spacing w:after="0"/>
            </w:pPr>
            <w:r>
              <w:rPr>
                <w:sz w:val="19"/>
              </w:rPr>
              <w:t>admin@threatlens.ai</w:t>
              <w:br/>
              <w:t>AdminPass123!</w:t>
            </w:r>
          </w:p>
        </w:tc>
        <w:tc>
          <w:tcPr>
            <w:tcW w:type="dxa" w:w="4032"/>
            <w:shd w:fill="FFFFFF"/>
            <w:tcMar>
              <w:top w:w="100" w:type="dxa"/>
              <w:bottom w:w="100" w:type="dxa"/>
              <w:left w:w="150" w:type="dxa"/>
              <w:right w:w="150" w:type="dxa"/>
            </w:tcMar>
          </w:tcPr>
          <w:p>
            <w:pPr>
              <w:spacing w:after="0"/>
            </w:pPr>
            <w:r>
              <w:rPr>
                <w:sz w:val="19"/>
              </w:rPr>
              <w:t>Full platform configuration, user provisioning, system settings, SIEM webhook testing, and audit logs.</w:t>
            </w:r>
          </w:p>
        </w:tc>
      </w:tr>
      <w:tr>
        <w:tc>
          <w:tcPr>
            <w:tcW w:type="dxa" w:w="2160"/>
            <w:shd w:fill="F8FAFC"/>
            <w:tcMar>
              <w:top w:w="100" w:type="dxa"/>
              <w:bottom w:w="100" w:type="dxa"/>
              <w:left w:w="150" w:type="dxa"/>
              <w:right w:w="150" w:type="dxa"/>
            </w:tcMar>
          </w:tcPr>
          <w:p>
            <w:pPr>
              <w:spacing w:after="0"/>
            </w:pPr>
            <w:r>
              <w:rPr>
                <w:b/>
                <w:sz w:val="19"/>
              </w:rPr>
              <w:t>Security Analyst</w:t>
            </w:r>
          </w:p>
        </w:tc>
        <w:tc>
          <w:tcPr>
            <w:tcW w:type="dxa" w:w="3168"/>
            <w:shd w:fill="F8FAFC"/>
            <w:tcMar>
              <w:top w:w="100" w:type="dxa"/>
              <w:bottom w:w="100" w:type="dxa"/>
              <w:left w:w="150" w:type="dxa"/>
              <w:right w:w="150" w:type="dxa"/>
            </w:tcMar>
          </w:tcPr>
          <w:p>
            <w:pPr>
              <w:spacing w:after="0"/>
            </w:pPr>
            <w:r>
              <w:rPr>
                <w:sz w:val="19"/>
              </w:rPr>
              <w:t>analyst@threatlens.ai</w:t>
              <w:br/>
              <w:t>AnalystPass123!</w:t>
            </w:r>
          </w:p>
        </w:tc>
        <w:tc>
          <w:tcPr>
            <w:tcW w:type="dxa" w:w="4032"/>
            <w:shd w:fill="F8FAFC"/>
            <w:tcMar>
              <w:top w:w="100" w:type="dxa"/>
              <w:bottom w:w="100" w:type="dxa"/>
              <w:left w:w="150" w:type="dxa"/>
              <w:right w:w="150" w:type="dxa"/>
            </w:tcMar>
          </w:tcPr>
          <w:p>
            <w:pPr>
              <w:spacing w:after="0"/>
            </w:pPr>
            <w:r>
              <w:rPr>
                <w:sz w:val="19"/>
              </w:rPr>
              <w:t>File sample uploads, static analysis scans, classification inspection, and sample history.</w:t>
            </w:r>
          </w:p>
        </w:tc>
      </w:tr>
      <w:tr>
        <w:tc>
          <w:tcPr>
            <w:tcW w:type="dxa" w:w="2160"/>
            <w:shd w:fill="FFFFFF"/>
            <w:tcMar>
              <w:top w:w="100" w:type="dxa"/>
              <w:bottom w:w="100" w:type="dxa"/>
              <w:left w:w="150" w:type="dxa"/>
              <w:right w:w="150" w:type="dxa"/>
            </w:tcMar>
          </w:tcPr>
          <w:p>
            <w:pPr>
              <w:spacing w:after="0"/>
            </w:pPr>
            <w:r>
              <w:rPr>
                <w:b/>
                <w:sz w:val="19"/>
              </w:rPr>
              <w:t>SOC Team Member</w:t>
            </w:r>
          </w:p>
        </w:tc>
        <w:tc>
          <w:tcPr>
            <w:tcW w:type="dxa" w:w="3168"/>
            <w:shd w:fill="FFFFFF"/>
            <w:tcMar>
              <w:top w:w="100" w:type="dxa"/>
              <w:bottom w:w="100" w:type="dxa"/>
              <w:left w:w="150" w:type="dxa"/>
              <w:right w:w="150" w:type="dxa"/>
            </w:tcMar>
          </w:tcPr>
          <w:p>
            <w:pPr>
              <w:spacing w:after="0"/>
            </w:pPr>
            <w:r>
              <w:rPr>
                <w:sz w:val="19"/>
              </w:rPr>
              <w:t>soc@threatlens.ai</w:t>
              <w:br/>
              <w:t>SocPass123!</w:t>
            </w:r>
          </w:p>
        </w:tc>
        <w:tc>
          <w:tcPr>
            <w:tcW w:type="dxa" w:w="4032"/>
            <w:shd w:fill="FFFFFF"/>
            <w:tcMar>
              <w:top w:w="100" w:type="dxa"/>
              <w:bottom w:w="100" w:type="dxa"/>
              <w:left w:w="150" w:type="dxa"/>
              <w:right w:w="150" w:type="dxa"/>
            </w:tcMar>
          </w:tcPr>
          <w:p>
            <w:pPr>
              <w:spacing w:after="0"/>
            </w:pPr>
            <w:r>
              <w:rPr>
                <w:sz w:val="19"/>
              </w:rPr>
              <w:t>Monitoring active incident logs, updating alert lifecycle status (NEW, ACKNOWLEDGED, RESOLVED, FALSE_POSITIVE).</w:t>
            </w:r>
          </w:p>
        </w:tc>
      </w:tr>
      <w:tr>
        <w:tc>
          <w:tcPr>
            <w:tcW w:type="dxa" w:w="2160"/>
            <w:shd w:fill="F8FAFC"/>
            <w:tcMar>
              <w:top w:w="100" w:type="dxa"/>
              <w:bottom w:w="100" w:type="dxa"/>
              <w:left w:w="150" w:type="dxa"/>
              <w:right w:w="150" w:type="dxa"/>
            </w:tcMar>
          </w:tcPr>
          <w:p>
            <w:pPr>
              <w:spacing w:after="0"/>
            </w:pPr>
            <w:r>
              <w:rPr>
                <w:b/>
                <w:sz w:val="19"/>
              </w:rPr>
              <w:t>Researcher</w:t>
            </w:r>
          </w:p>
        </w:tc>
        <w:tc>
          <w:tcPr>
            <w:tcW w:type="dxa" w:w="3168"/>
            <w:shd w:fill="F8FAFC"/>
            <w:tcMar>
              <w:top w:w="100" w:type="dxa"/>
              <w:bottom w:w="100" w:type="dxa"/>
              <w:left w:w="150" w:type="dxa"/>
              <w:right w:w="150" w:type="dxa"/>
            </w:tcMar>
          </w:tcPr>
          <w:p>
            <w:pPr>
              <w:spacing w:after="0"/>
            </w:pPr>
            <w:r>
              <w:rPr>
                <w:sz w:val="19"/>
              </w:rPr>
              <w:t>researcher@threatlens.ai</w:t>
              <w:br/>
              <w:t>ResearchPass123!</w:t>
            </w:r>
          </w:p>
        </w:tc>
        <w:tc>
          <w:tcPr>
            <w:tcW w:type="dxa" w:w="4032"/>
            <w:shd w:fill="F8FAFC"/>
            <w:tcMar>
              <w:top w:w="100" w:type="dxa"/>
              <w:bottom w:w="100" w:type="dxa"/>
              <w:left w:w="150" w:type="dxa"/>
              <w:right w:w="150" w:type="dxa"/>
            </w:tcMar>
          </w:tcPr>
          <w:p>
            <w:pPr>
              <w:spacing w:after="0"/>
            </w:pPr>
            <w:r>
              <w:rPr>
                <w:sz w:val="19"/>
              </w:rPr>
              <w:t>Dataset access, malware family distribution analytics, model confidence review, and export of PDF/JSON reports.</w:t>
            </w:r>
          </w:p>
        </w:tc>
      </w:tr>
    </w:tbl>
    <w:p/>
    <w:p>
      <w:pPr>
        <w:pStyle w:val="Heading1"/>
      </w:pPr>
      <w:r>
        <w:t>5. Core Technical Engines &amp; Algorithms</w:t>
      </w:r>
    </w:p>
    <w:p>
      <w:pPr>
        <w:pStyle w:val="Heading2"/>
      </w:pPr>
      <w:r>
        <w:t>5.1 Static Analysis Engine</w:t>
      </w:r>
    </w:p>
    <w:p>
      <w:r>
        <w:t>The static analysis pipeline (backend/app/services/static_analysis.py) accepts raw binary uploads and executes:</w:t>
        <w:br/>
        <w:t>1. Cryptographic Hashing: Computes MD5 and SHA-256 binary signatures.</w:t>
        <w:br/>
        <w:t>2. Shannon Entropy Calculation: Evaluates randomness across 256 byte values (range: 0.0 to 8.0). High entropy (&gt; 7.0) indicates packing or encryption.</w:t>
        <w:br/>
        <w:t>3. Portable Executable (PE) Header Parsing: Uses pefile to inspect sections (.text, .rdata, .data), section sizes, and imported DLL functions (detecting API calls such as VirtualAllocEx, WriteProcessMemory, CreateRemoteThread).</w:t>
        <w:br/>
        <w:t>4. String &amp; IOC Extraction: Extracts printable ASCII/Unicode strings and applies regex filters to capture embedded IPv4 addresses and URLs.</w:t>
        <w:br/>
        <w:t>5. YARA Pattern Engine: Evaluates sample bytes against compiled rules in backend/yara_rules/.</w:t>
      </w:r>
    </w:p>
    <w:p>
      <w:pPr>
        <w:pStyle w:val="Heading2"/>
      </w:pPr>
      <w:r>
        <w:t>5.2 Machine Learning Threat Classifier</w:t>
      </w:r>
    </w:p>
    <w:p>
      <w:r>
        <w:t>The ML engine (backend/app/services/ml_engine.py) constructs a 7-dimensional feature vector X for each sample:</w:t>
        <w:br/>
        <w:t>X = [ FileSize, ShannonEntropy, SectionCount, SuspiciousAPICount, YaraHitCount, ExtractedURLCount, ExtractedIPCount ]</w:t>
        <w:br/>
        <w:br/>
        <w:t>A trained Scikit-Learn RandomForestClassifier predicts multi-class threat categories (Clean, Ransomware, Trojan, Spyware, Worm, Adware), identifies specific threat families (e.g. WannaCry, LockBit, REvil), and yields a probability confidence score (0.0 to 1.0).</w:t>
      </w:r>
    </w:p>
    <w:p>
      <w:pPr>
        <w:pStyle w:val="Heading2"/>
      </w:pPr>
      <w:r>
        <w:t>5.3 Multi-Factor Risk Scoring Algorithm</w:t>
      </w:r>
    </w:p>
    <w:p>
      <w:r>
        <w:t>Risk scores (0–100) are dynamically calculated by weighting static indicators, YARA hits, and ML model outputs:</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after="0"/>
            </w:pPr>
            <w:r>
              <w:rPr>
                <w:rFonts w:ascii="Consolas" w:hAnsi="Consolas"/>
                <w:color w:val="38BDF8"/>
                <w:sz w:val="18"/>
              </w:rPr>
              <w:t>RiskScore = min(100, (YaraHits * 25) + (SuspiciousAPIs * 8) + (Entropy &gt; 7.0 ? 15 : 0) + (MLConfidence * 30))</w:t>
            </w:r>
          </w:p>
        </w:tc>
      </w:tr>
    </w:tbl>
    <w:p/>
    <w:p>
      <w:pPr>
        <w:pStyle w:val="Heading2"/>
      </w:pPr>
      <w:r>
        <w:t>5.4 Incident Alerting Pipeline</w:t>
      </w:r>
    </w:p>
    <w:p>
      <w:r>
        <w:t>If RiskScore &gt;= RISK_ALERT_THRESHOLD (default: 65), an automated SOC alert is dispatched with severity assignment:</w:t>
        <w:br/>
        <w:t>• CRITICAL: Risk Score &gt;= 85</w:t>
        <w:br/>
        <w:t>• HIGH: Risk Score 70 – 84</w:t>
        <w:br/>
        <w:t>• MEDIUM: Risk Score 50 – 69</w:t>
        <w:br/>
        <w:t>• LOW: Risk Score &lt; 50</w:t>
      </w:r>
    </w:p>
    <w:p>
      <w:pPr>
        <w:pStyle w:val="Heading1"/>
      </w:pPr>
      <w:r>
        <w:t>6. Running the Platform &amp; Deployment Guide</w:t>
      </w:r>
    </w:p>
    <w:p>
      <w:pPr>
        <w:pStyle w:val="Heading2"/>
      </w:pPr>
      <w:r>
        <w:t>Option A: Standalone Mode (Zero External DB Dependencies)</w:t>
      </w:r>
    </w:p>
    <w:p>
      <w:r>
        <w:t>Ideal for instant local testing without configuring PostgreSQL, MongoDB, or Redis:</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after="0"/>
            </w:pPr>
            <w:r>
              <w:rPr>
                <w:rFonts w:ascii="Consolas" w:hAnsi="Consolas"/>
                <w:color w:val="38BDF8"/>
                <w:sz w:val="18"/>
              </w:rPr>
              <w:t># Step 1: Start Backend Standalone API Server (Port 8000)</w:t>
              <w:br/>
              <w:t>cd backend</w:t>
              <w:br/>
              <w:t>.venv\Scripts\python.exe standalone_server.py</w:t>
              <w:br/>
              <w:br/>
              <w:t># Step 2: Start Frontend Next.js Dev Server (Port 3000)</w:t>
              <w:br/>
              <w:t>cd frontend</w:t>
              <w:br/>
              <w:t>npm run dev</w:t>
            </w:r>
          </w:p>
        </w:tc>
      </w:tr>
    </w:tbl>
    <w:p/>
    <w:p>
      <w:pPr>
        <w:pStyle w:val="Heading2"/>
      </w:pPr>
      <w:r>
        <w:t>Option B: Full Docker Compose Production Deployment</w:t>
      </w:r>
    </w:p>
    <w:p>
      <w:r>
        <w:t>Runs the complete production microservices stack inside isolated containers:</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after="0"/>
            </w:pPr>
            <w:r>
              <w:rPr>
                <w:rFonts w:ascii="Consolas" w:hAnsi="Consolas"/>
                <w:color w:val="38BDF8"/>
                <w:sz w:val="18"/>
              </w:rPr>
              <w:t>docker-compose up --build</w:t>
              <w:br/>
              <w:br/>
              <w:t>Frontend SOC Dashboard: http://localhost:3000</w:t>
              <w:br/>
              <w:t>FastAPI Backend API:   http://localhost:8000</w:t>
              <w:br/>
              <w:t>Swagger Interactive:   http://localhost:8000/docs</w:t>
            </w:r>
          </w:p>
        </w:tc>
      </w:tr>
    </w:tbl>
    <w:p/>
    <w:p>
      <w:pPr>
        <w:pStyle w:val="Heading1"/>
      </w:pPr>
      <w:r>
        <w:t>7. Verification &amp; Automated Testing Suite</w:t>
      </w:r>
    </w:p>
    <w:p>
      <w:r>
        <w:t>The project includes a standalone verification script to test binary parsing, YARA evaluation, and ML prediction offline:</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after="0"/>
            </w:pPr>
            <w:r>
              <w:rPr>
                <w:rFonts w:ascii="Consolas" w:hAnsi="Consolas"/>
                <w:color w:val="38BDF8"/>
                <w:sz w:val="18"/>
              </w:rPr>
              <w:t>cd backend</w:t>
              <w:br/>
              <w:t>.venv\Scripts\python.exe test_standalone_engine.py</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A254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96D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E29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