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sz w:val="28"/>
        </w:rPr>
        <w:t>ABSTRACT</w:t>
      </w:r>
    </w:p>
    <w:p>
      <w:pPr>
        <w:jc w:val="both"/>
      </w:pPr>
      <w:r>
        <w:rPr>
          <w:rFonts w:ascii="Times New Roman" w:hAnsi="Times New Roman"/>
          <w:sz w:val="24"/>
        </w:rPr>
        <w:t>Brain–Computer Interfaces (BCIs) have enabled direct communication between the human brain and external devices without involving peripheral muscles or speech pathways. Among these, non-invasive BCIs, which utilize external sensors such as electroencephalography (EEG) to measure brain activity, have been recognized as a safer and more accessible alternative to invasive methods. This seminar reviewed the state-of-the-art developments in non-invasive BCI technology with the objective of examining their capabilities, limitations, and potential real-world applications. The study focused on peer-reviewed journal articles, IEEE conference proceedings, and technical reports published in the last five years. The methodology involved a systematic review of advancements in signal acquisition, feature extraction, and classification techniques, along with an evaluation of their accuracy, usability, and adaptability. Key findings indicated that recent improvements in machine learning algorithms, digital signal processing, and the design of wearable EEG headsets have significantly enhanced system accuracy, reduced latency, and improved user comfort. Furthermore, applications in assistive technologies, neurorehabilitation, and human–computer interaction have demonstrated the practical potential of such systems, particularly for individuals with severe motor impairments. However, the review also identified persistent challenges, including susceptibility to noise, performance variability in uncontrolled environments, and limited information transfer rates. It was concluded that future research should prioritize hybrid BCI architectures, AI-driven adaptive signal decoding, and integration with immersive technologies such as virtual and augmented reality to expand accessibility and efficiency. This work underscores the transformative potential of non-invasive BCIs in bridging human cognition and digital systems. References were primarily drawn from IEEE Xplore, including “Non-Invasive Brain–Computer Interfaces: State of the Art and Trends” by Edelman et al.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