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r>
        <w:rPr>
          <w:b/>
          <w:color w:val="2A9D8F"/>
          <w:sz w:val="22"/>
        </w:rPr>
        <w:t>MODULE 7 | QUALITY ASSURANCE AND DASHBOARD TESTING</w:t>
      </w:r>
    </w:p>
    <w:p>
      <w:pPr>
        <w:pStyle w:val="Title"/>
      </w:pPr>
      <w:r>
        <w:t>EduVision 2026</w:t>
        <w:br/>
        <w:t>Detailed QA, Testing and Release Report</w:t>
      </w:r>
    </w:p>
    <w:p>
      <w:pPr>
        <w:spacing w:after="440"/>
      </w:pPr>
      <w:r>
        <w:rPr>
          <w:color w:val="64748B"/>
          <w:sz w:val="28"/>
        </w:rPr>
        <w:t>Data validation, KPI reconciliation, semantic-model testing, dashboard verification, regression control and user acceptance evidence.</w:t>
      </w:r>
    </w:p>
    <w:tbl>
      <w:tblPr>
        <w:tblW w:type="auto" w:w="0"/>
        <w:tblLayout w:type="fixed"/>
        <w:tblLook w:firstColumn="1" w:firstRow="1" w:lastColumn="0" w:lastRow="0" w:noHBand="0" w:noVBand="1" w:val="04A0"/>
        <w:tblLayout w:type="fixed"/>
        <w:tblW w:w="9360" w:type="dxa"/>
        <w:tblInd w:w="120" w:type="dxa"/>
      </w:tblPr>
      <w:tblGrid>
        <w:gridCol w:w="3400"/>
        <w:gridCol w:w="5960"/>
      </w:tblGrid>
      <w:tr>
        <w:trPr>
          <w:cantSplit w:val="true"/>
          <w:tblHeader w:val="true"/>
        </w:trPr>
        <w:tc>
          <w:tcPr>
            <w:tcW w:type="dxa" w:w="3400"/>
            <w:tcMar>
              <w:top w:w="80" w:type="dxa"/>
              <w:start w:w="120" w:type="dxa"/>
              <w:bottom w:w="80" w:type="dxa"/>
              <w:end w:w="120" w:type="dxa"/>
            </w:tcMar>
            <w:vAlign w:val="center"/>
            <w:shd w:fill="0F4C81"/>
          </w:tcPr>
          <w:p>
            <w:pPr>
              <w:spacing w:before="0" w:after="40" w:line="252" w:lineRule="auto"/>
            </w:pPr>
            <w:r>
              <w:rPr>
                <w:rFonts w:ascii="Calibri" w:hAnsi="Calibri"/>
                <w:b/>
                <w:color w:val="FFFFFF"/>
                <w:sz w:val="20"/>
              </w:rPr>
              <w:t>CONTROL POINT</w:t>
            </w:r>
          </w:p>
        </w:tc>
        <w:tc>
          <w:tcPr>
            <w:tcW w:type="dxa" w:w="5960"/>
            <w:tcMar>
              <w:top w:w="80" w:type="dxa"/>
              <w:start w:w="120" w:type="dxa"/>
              <w:bottom w:w="80" w:type="dxa"/>
              <w:end w:w="120" w:type="dxa"/>
            </w:tcMar>
            <w:vAlign w:val="center"/>
            <w:shd w:fill="0F4C81"/>
          </w:tcPr>
          <w:p>
            <w:pPr>
              <w:spacing w:before="0" w:after="40" w:line="252" w:lineRule="auto"/>
            </w:pPr>
            <w:r>
              <w:rPr>
                <w:rFonts w:ascii="Calibri" w:hAnsi="Calibri"/>
                <w:b/>
                <w:color w:val="FFFFFF"/>
                <w:sz w:val="20"/>
              </w:rPr>
              <w:t>VERIFIED RESULT</w:t>
            </w:r>
          </w:p>
        </w:tc>
      </w:tr>
      <w:tr>
        <w:trPr>
          <w:cantSplit w:val="true"/>
        </w:trPr>
        <w:tc>
          <w:tcPr>
            <w:tcW w:type="dxa" w:w="3400"/>
            <w:tcMar>
              <w:top w:w="80" w:type="dxa"/>
              <w:start w:w="120" w:type="dxa"/>
              <w:bottom w:w="80" w:type="dxa"/>
              <w:end w:w="120" w:type="dxa"/>
            </w:tcMar>
            <w:vAlign w:val="center"/>
          </w:tcPr>
          <w:p>
            <w:pPr>
              <w:spacing w:before="0" w:after="40" w:line="252" w:lineRule="auto"/>
            </w:pPr>
            <w:r>
              <w:rPr>
                <w:rFonts w:ascii="Calibri" w:hAnsi="Calibri"/>
                <w:b w:val="0"/>
                <w:color w:val="243B53"/>
                <w:sz w:val="20"/>
              </w:rPr>
              <w:t>Executed QA checks</w:t>
            </w:r>
          </w:p>
        </w:tc>
        <w:tc>
          <w:tcPr>
            <w:tcW w:type="dxa" w:w="5960"/>
            <w:tcMar>
              <w:top w:w="80" w:type="dxa"/>
              <w:start w:w="120" w:type="dxa"/>
              <w:bottom w:w="80" w:type="dxa"/>
              <w:end w:w="120" w:type="dxa"/>
            </w:tcMar>
            <w:vAlign w:val="center"/>
          </w:tcPr>
          <w:p>
            <w:pPr>
              <w:spacing w:before="0" w:after="40" w:line="252" w:lineRule="auto"/>
            </w:pPr>
            <w:r>
              <w:rPr>
                <w:rFonts w:ascii="Calibri" w:hAnsi="Calibri"/>
                <w:b w:val="0"/>
                <w:color w:val="243B53"/>
                <w:sz w:val="20"/>
              </w:rPr>
              <w:t>300 / 300 passed</w:t>
            </w:r>
          </w:p>
        </w:tc>
      </w:tr>
      <w:tr>
        <w:trPr>
          <w:cantSplit w:val="true"/>
        </w:trPr>
        <w:tc>
          <w:tcPr>
            <w:tcW w:type="dxa" w:w="34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20"/>
              </w:rPr>
              <w:t>KPI reconciliation</w:t>
            </w:r>
          </w:p>
        </w:tc>
        <w:tc>
          <w:tcPr>
            <w:tcW w:type="dxa" w:w="59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20"/>
              </w:rPr>
              <w:t>6 KPIs x 1,120 universities at 100% accuracy</w:t>
            </w:r>
          </w:p>
        </w:tc>
      </w:tr>
      <w:tr>
        <w:trPr>
          <w:cantSplit w:val="true"/>
        </w:trPr>
        <w:tc>
          <w:tcPr>
            <w:tcW w:type="dxa" w:w="3400"/>
            <w:tcMar>
              <w:top w:w="80" w:type="dxa"/>
              <w:start w:w="120" w:type="dxa"/>
              <w:bottom w:w="80" w:type="dxa"/>
              <w:end w:w="120" w:type="dxa"/>
            </w:tcMar>
            <w:vAlign w:val="center"/>
          </w:tcPr>
          <w:p>
            <w:pPr>
              <w:spacing w:before="0" w:after="40" w:line="252" w:lineRule="auto"/>
            </w:pPr>
            <w:r>
              <w:rPr>
                <w:rFonts w:ascii="Calibri" w:hAnsi="Calibri"/>
                <w:b w:val="0"/>
                <w:color w:val="243B53"/>
                <w:sz w:val="20"/>
              </w:rPr>
              <w:t>Dashboard definition</w:t>
            </w:r>
          </w:p>
        </w:tc>
        <w:tc>
          <w:tcPr>
            <w:tcW w:type="dxa" w:w="5960"/>
            <w:tcMar>
              <w:top w:w="80" w:type="dxa"/>
              <w:start w:w="120" w:type="dxa"/>
              <w:bottom w:w="80" w:type="dxa"/>
              <w:end w:w="120" w:type="dxa"/>
            </w:tcMar>
            <w:vAlign w:val="center"/>
          </w:tcPr>
          <w:p>
            <w:pPr>
              <w:spacing w:before="0" w:after="40" w:line="252" w:lineRule="auto"/>
            </w:pPr>
            <w:r>
              <w:rPr>
                <w:rFonts w:ascii="Calibri" w:hAnsi="Calibri"/>
                <w:b w:val="0"/>
                <w:color w:val="243B53"/>
                <w:sz w:val="20"/>
              </w:rPr>
              <w:t>5 pages, 110 visuals and 310 active bindings</w:t>
            </w:r>
          </w:p>
        </w:tc>
      </w:tr>
      <w:tr>
        <w:trPr>
          <w:cantSplit w:val="true"/>
        </w:trPr>
        <w:tc>
          <w:tcPr>
            <w:tcW w:type="dxa" w:w="34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20"/>
              </w:rPr>
              <w:t>Release decision</w:t>
            </w:r>
          </w:p>
        </w:tc>
        <w:tc>
          <w:tcPr>
            <w:tcW w:type="dxa" w:w="59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20"/>
              </w:rPr>
              <w:t>APPROVED with 0 critical open defects</w:t>
            </w:r>
          </w:p>
        </w:tc>
      </w:tr>
    </w:tbl>
    <w:p>
      <w:pPr>
        <w:spacing w:after="40"/>
      </w:pPr>
    </w:p>
    <w:p>
      <w:pPr>
        <w:spacing w:before="440"/>
        <w:jc w:val="center"/>
      </w:pPr>
      <w:r>
        <w:rPr>
          <w:b/>
          <w:color w:val="0F4C81"/>
          <w:sz w:val="18"/>
        </w:rPr>
        <w:t>Prepared by Kamalesh Debnath | Final release date: 1 September 2026</w:t>
      </w:r>
    </w:p>
    <w:p>
      <w:r>
        <w:br w:type="page"/>
      </w:r>
    </w:p>
    <w:p>
      <w:pPr>
        <w:pStyle w:val="Heading1"/>
      </w:pPr>
      <w:r>
        <w:t>Contents</w:t>
      </w:r>
    </w:p>
    <w:p>
      <w:pPr>
        <w:pStyle w:val="ListBullet"/>
        <w:widowControl/>
      </w:pPr>
      <w:r>
        <w:rPr>
          <w:i w:val="0"/>
        </w:rPr>
        <w:t>1. Purpose, scope and release recommendation</w:t>
      </w:r>
    </w:p>
    <w:p>
      <w:pPr>
        <w:pStyle w:val="ListBullet"/>
        <w:widowControl/>
      </w:pPr>
      <w:r>
        <w:rPr>
          <w:i w:val="0"/>
        </w:rPr>
        <w:t>2. Release candidate and test environment</w:t>
      </w:r>
    </w:p>
    <w:p>
      <w:pPr>
        <w:pStyle w:val="ListBullet"/>
        <w:widowControl/>
      </w:pPr>
      <w:r>
        <w:rPr>
          <w:i w:val="0"/>
        </w:rPr>
        <w:t>3. QA governance, priorities and acceptance criteria</w:t>
      </w:r>
    </w:p>
    <w:p>
      <w:pPr>
        <w:pStyle w:val="ListBullet"/>
        <w:widowControl/>
      </w:pPr>
      <w:r>
        <w:rPr>
          <w:i w:val="0"/>
        </w:rPr>
        <w:t>4. Test strategy and evidence architecture</w:t>
      </w:r>
    </w:p>
    <w:p>
      <w:pPr>
        <w:pStyle w:val="ListBullet"/>
        <w:widowControl/>
      </w:pPr>
      <w:r>
        <w:rPr>
          <w:i w:val="0"/>
        </w:rPr>
        <w:t>5. Data-quality and integrity validation</w:t>
      </w:r>
    </w:p>
    <w:p>
      <w:pPr>
        <w:pStyle w:val="ListBullet"/>
        <w:widowControl/>
      </w:pPr>
      <w:r>
        <w:rPr>
          <w:i w:val="0"/>
        </w:rPr>
        <w:t>6. KPI reconciliation and analytical accuracy</w:t>
      </w:r>
    </w:p>
    <w:p>
      <w:pPr>
        <w:pStyle w:val="ListBullet"/>
        <w:widowControl/>
      </w:pPr>
      <w:r>
        <w:rPr>
          <w:i w:val="0"/>
        </w:rPr>
        <w:t>7. Semantic-model and portability testing</w:t>
      </w:r>
    </w:p>
    <w:p>
      <w:pPr>
        <w:pStyle w:val="ListBullet"/>
        <w:widowControl/>
      </w:pPr>
      <w:r>
        <w:rPr>
          <w:i w:val="0"/>
        </w:rPr>
        <w:t>8. Dashboard functional testing by page</w:t>
      </w:r>
    </w:p>
    <w:p>
      <w:pPr>
        <w:pStyle w:val="ListBullet"/>
        <w:widowControl/>
      </w:pPr>
      <w:r>
        <w:rPr>
          <w:i w:val="0"/>
        </w:rPr>
        <w:t>9. Filter, navigation and cross-interaction testing</w:t>
      </w:r>
    </w:p>
    <w:p>
      <w:pPr>
        <w:pStyle w:val="ListBullet"/>
        <w:widowControl/>
      </w:pPr>
      <w:r>
        <w:rPr>
          <w:i w:val="0"/>
        </w:rPr>
        <w:t>10. Standard map testing</w:t>
      </w:r>
    </w:p>
    <w:p>
      <w:pPr>
        <w:pStyle w:val="ListBullet"/>
        <w:widowControl/>
      </w:pPr>
      <w:r>
        <w:rPr>
          <w:i w:val="0"/>
        </w:rPr>
        <w:t>11. Compatibility, performance and reliability controls</w:t>
      </w:r>
    </w:p>
    <w:p>
      <w:pPr>
        <w:pStyle w:val="ListBullet"/>
        <w:widowControl/>
      </w:pPr>
      <w:r>
        <w:rPr>
          <w:i w:val="0"/>
        </w:rPr>
        <w:t>12. Defect history and regression closure</w:t>
      </w:r>
    </w:p>
    <w:p>
      <w:pPr>
        <w:pStyle w:val="ListBullet"/>
        <w:widowControl/>
      </w:pPr>
      <w:r>
        <w:rPr>
          <w:i w:val="0"/>
        </w:rPr>
        <w:t>13. User acceptance testing and sign-off</w:t>
      </w:r>
    </w:p>
    <w:p>
      <w:pPr>
        <w:pStyle w:val="ListBullet"/>
        <w:widowControl/>
      </w:pPr>
      <w:r>
        <w:rPr>
          <w:i w:val="0"/>
        </w:rPr>
        <w:t>14. Risk assessment and release gate</w:t>
      </w:r>
    </w:p>
    <w:p>
      <w:pPr>
        <w:pStyle w:val="ListBullet"/>
        <w:widowControl/>
      </w:pPr>
      <w:r>
        <w:rPr>
          <w:i w:val="0"/>
        </w:rPr>
        <w:t>Appendices: test definitions, rerun instructions and evidence index</w:t>
      </w:r>
    </w:p>
    <w:p>
      <w:r>
        <w:br w:type="page"/>
      </w:r>
    </w:p>
    <w:p>
      <w:pPr>
        <w:pStyle w:val="Heading1"/>
      </w:pPr>
      <w:r>
        <w:t>1. Purpose, Scope and Release Recommendation</w:t>
      </w:r>
    </w:p>
    <w:p>
      <w:pPr>
        <w:widowControl/>
      </w:pPr>
      <w:r>
        <w:rPr>
          <w:i w:val="0"/>
        </w:rPr>
        <w:t>Module 7 provides independent evidence that the EduVision release is accurate, complete, portable and suitable for academic submission and operational handover. The assessment covers the supplied data, the six derived education KPIs, the embedded Power BI semantic model, all five dashboard pages, the map implementation, the user interaction layer and the final packaging controls.</w:t>
      </w:r>
    </w:p>
    <w:p>
      <w:pPr>
        <w:widowControl/>
      </w:pPr>
      <w:r>
        <w:rPr>
          <w:i w:val="0"/>
        </w:rPr>
        <w:t>The validation does not rely only on visual inspection. It combines full-population calculations, report-definition inspection, field-binding checks, checksum verification, regression tests, manual acceptance scenarios and document-level release gates.</w:t>
      </w:r>
    </w:p>
    <w:tbl>
      <w:tblPr>
        <w:tblW w:type="auto" w:w="0"/>
        <w:tblLayout w:type="fixed"/>
        <w:tblLook w:firstColumn="1" w:firstRow="1" w:lastColumn="0" w:lastRow="0" w:noHBand="0" w:noVBand="1" w:val="04A0"/>
        <w:tblLayout w:type="fixed"/>
        <w:tblW w:w="9360" w:type="dxa"/>
        <w:tblInd w:w="120" w:type="dxa"/>
      </w:tblPr>
      <w:tblGrid>
        <w:gridCol w:w="9360"/>
      </w:tblGrid>
      <w:tr>
        <w:trPr>
          <w:cantSplit w:val="true"/>
          <w:tblHeader w:val="true"/>
        </w:trPr>
        <w:tc>
          <w:tcPr>
            <w:tcW w:type="dxa" w:w="9360"/>
            <w:tcMar>
              <w:top w:w="80" w:type="dxa"/>
              <w:start w:w="120" w:type="dxa"/>
              <w:bottom w:w="80" w:type="dxa"/>
              <w:end w:w="120" w:type="dxa"/>
            </w:tcMar>
            <w:vAlign w:val="center"/>
            <w:shd w:fill="2A9D8F"/>
          </w:tcPr>
          <w:p>
            <w:pPr>
              <w:spacing w:before="0" w:after="40" w:line="252" w:lineRule="auto"/>
            </w:pPr>
            <w:r>
              <w:rPr>
                <w:rFonts w:ascii="Calibri" w:hAnsi="Calibri"/>
                <w:b/>
                <w:color w:val="FFFFFF"/>
                <w:sz w:val="19"/>
              </w:rPr>
              <w:t>RELEASE RECOMMENDATION</w:t>
            </w:r>
          </w:p>
        </w:tc>
      </w:tr>
      <w:tr>
        <w:trPr>
          <w:cantSplit w:val="true"/>
        </w:trPr>
        <w:tc>
          <w:tcPr>
            <w:tcW w:type="dxa" w:w="9360"/>
            <w:tcMar>
              <w:top w:w="80" w:type="dxa"/>
              <w:start w:w="120" w:type="dxa"/>
              <w:bottom w:w="80" w:type="dxa"/>
              <w:end w:w="120" w:type="dxa"/>
            </w:tcMar>
            <w:vAlign w:val="center"/>
            <w:shd w:fill="E8F5F1"/>
          </w:tcPr>
          <w:p>
            <w:pPr>
              <w:spacing w:before="0" w:after="40" w:line="252" w:lineRule="auto"/>
            </w:pPr>
            <w:r>
              <w:rPr>
                <w:rFonts w:ascii="Calibri" w:hAnsi="Calibri"/>
                <w:b w:val="0"/>
                <w:color w:val="243B53"/>
                <w:sz w:val="19"/>
              </w:rPr>
              <w:t>APPROVED. All 300 recorded checks passed, all 310 data bindings are active, the five standard maps are correctly assigned, and no critical defect remains open.</w:t>
            </w:r>
          </w:p>
        </w:tc>
      </w:tr>
    </w:tbl>
    <w:p>
      <w:pPr>
        <w:spacing w:after="40"/>
      </w:pPr>
    </w:p>
    <w:p>
      <w:pPr>
        <w:pStyle w:val="Heading1"/>
      </w:pPr>
      <w:r>
        <w:t>2. Release Candidate and Test Environment</w:t>
      </w:r>
    </w:p>
    <w:tbl>
      <w:tblPr>
        <w:tblW w:type="auto" w:w="0"/>
        <w:tblLayout w:type="fixed"/>
        <w:tblLook w:firstColumn="1" w:firstRow="1" w:lastColumn="0" w:lastRow="0" w:noHBand="0" w:noVBand="1" w:val="04A0"/>
        <w:tblLayout w:type="fixed"/>
        <w:tblW w:w="9360" w:type="dxa"/>
        <w:tblInd w:w="120" w:type="dxa"/>
      </w:tblPr>
      <w:tblGrid>
        <w:gridCol w:w="2900"/>
        <w:gridCol w:w="6460"/>
      </w:tblGrid>
      <w:tr>
        <w:trPr>
          <w:cantSplit w:val="true"/>
          <w:tblHeader w:val="true"/>
        </w:trPr>
        <w:tc>
          <w:tcPr>
            <w:tcW w:type="dxa" w:w="2900"/>
            <w:tcMar>
              <w:top w:w="80" w:type="dxa"/>
              <w:start w:w="120" w:type="dxa"/>
              <w:bottom w:w="80" w:type="dxa"/>
              <w:end w:w="120" w:type="dxa"/>
            </w:tcMar>
            <w:vAlign w:val="center"/>
            <w:shd w:fill="0F4C81"/>
          </w:tcPr>
          <w:p>
            <w:pPr>
              <w:spacing w:before="0" w:after="40" w:line="252" w:lineRule="auto"/>
            </w:pPr>
            <w:r>
              <w:rPr>
                <w:rFonts w:ascii="Calibri" w:hAnsi="Calibri"/>
                <w:b/>
                <w:color w:val="FFFFFF"/>
                <w:sz w:val="18"/>
              </w:rPr>
              <w:t>TEST DIMENSION</w:t>
            </w:r>
          </w:p>
        </w:tc>
        <w:tc>
          <w:tcPr>
            <w:tcW w:type="dxa" w:w="6460"/>
            <w:tcMar>
              <w:top w:w="80" w:type="dxa"/>
              <w:start w:w="120" w:type="dxa"/>
              <w:bottom w:w="80" w:type="dxa"/>
              <w:end w:w="120" w:type="dxa"/>
            </w:tcMar>
            <w:vAlign w:val="center"/>
            <w:shd w:fill="0F4C81"/>
          </w:tcPr>
          <w:p>
            <w:pPr>
              <w:spacing w:before="0" w:after="40" w:line="252" w:lineRule="auto"/>
            </w:pPr>
            <w:r>
              <w:rPr>
                <w:rFonts w:ascii="Calibri" w:hAnsi="Calibri"/>
                <w:b/>
                <w:color w:val="FFFFFF"/>
                <w:sz w:val="18"/>
              </w:rPr>
              <w:t>APPROVED RELEASE</w:t>
            </w:r>
          </w:p>
        </w:tc>
      </w:tr>
      <w:tr>
        <w:trPr>
          <w:cantSplit w:val="true"/>
        </w:trPr>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243B53"/>
                <w:sz w:val="18"/>
              </w:rPr>
              <w:t>Dashboard package</w:t>
            </w:r>
          </w:p>
        </w:tc>
        <w:tc>
          <w:tcPr>
            <w:tcW w:type="dxa" w:w="6460"/>
            <w:tcMar>
              <w:top w:w="80" w:type="dxa"/>
              <w:start w:w="120" w:type="dxa"/>
              <w:bottom w:w="80" w:type="dxa"/>
              <w:end w:w="120" w:type="dxa"/>
            </w:tcMar>
            <w:vAlign w:val="center"/>
          </w:tcPr>
          <w:p>
            <w:pPr>
              <w:spacing w:before="0" w:after="40" w:line="252" w:lineRule="auto"/>
            </w:pPr>
            <w:r>
              <w:rPr>
                <w:rFonts w:ascii="Calibri" w:hAnsi="Calibri"/>
                <w:b w:val="0"/>
                <w:color w:val="243B53"/>
                <w:sz w:val="18"/>
              </w:rPr>
              <w:t>EduVision_PowerBI_Modules_4_to_6_Advanced_5_Dashboards_Standard_Maps_No_SignIn.zip</w:t>
            </w:r>
          </w:p>
        </w:tc>
      </w:tr>
      <w:tr>
        <w:trPr>
          <w:cantSplit w:val="true"/>
        </w:trPr>
        <w:tc>
          <w:tcPr>
            <w:tcW w:type="dxa" w:w="29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8"/>
              </w:rPr>
              <w:t>Release SHA-256</w:t>
            </w:r>
          </w:p>
        </w:tc>
        <w:tc>
          <w:tcPr>
            <w:tcW w:type="dxa" w:w="64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8"/>
              </w:rPr>
              <w:t>98dd2ed7bdae98fabe661d68af729c3cdb8c3f1d5ae097d94492813ba1593a12</w:t>
            </w:r>
          </w:p>
        </w:tc>
      </w:tr>
      <w:tr>
        <w:trPr>
          <w:cantSplit w:val="true"/>
        </w:trPr>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243B53"/>
                <w:sz w:val="18"/>
              </w:rPr>
              <w:t>University coverage</w:t>
            </w:r>
          </w:p>
        </w:tc>
        <w:tc>
          <w:tcPr>
            <w:tcW w:type="dxa" w:w="6460"/>
            <w:tcMar>
              <w:top w:w="80" w:type="dxa"/>
              <w:start w:w="120" w:type="dxa"/>
              <w:bottom w:w="80" w:type="dxa"/>
              <w:end w:w="120" w:type="dxa"/>
            </w:tcMar>
            <w:vAlign w:val="center"/>
          </w:tcPr>
          <w:p>
            <w:pPr>
              <w:spacing w:before="0" w:after="40" w:line="252" w:lineRule="auto"/>
            </w:pPr>
            <w:r>
              <w:rPr>
                <w:rFonts w:ascii="Calibri" w:hAnsi="Calibri"/>
                <w:b w:val="0"/>
                <w:color w:val="243B53"/>
                <w:sz w:val="18"/>
              </w:rPr>
              <w:t>1,120 universities across 93 countries and 5 regions</w:t>
            </w:r>
          </w:p>
        </w:tc>
      </w:tr>
      <w:tr>
        <w:trPr>
          <w:cantSplit w:val="true"/>
        </w:trPr>
        <w:tc>
          <w:tcPr>
            <w:tcW w:type="dxa" w:w="29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8"/>
              </w:rPr>
              <w:t>Time scope</w:t>
            </w:r>
          </w:p>
        </w:tc>
        <w:tc>
          <w:tcPr>
            <w:tcW w:type="dxa" w:w="64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8"/>
              </w:rPr>
              <w:t>Reporting year 2026 only</w:t>
            </w:r>
          </w:p>
        </w:tc>
      </w:tr>
      <w:tr>
        <w:trPr>
          <w:cantSplit w:val="true"/>
        </w:trPr>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243B53"/>
                <w:sz w:val="18"/>
              </w:rPr>
              <w:t>Power BI structure</w:t>
            </w:r>
          </w:p>
        </w:tc>
        <w:tc>
          <w:tcPr>
            <w:tcW w:type="dxa" w:w="6460"/>
            <w:tcMar>
              <w:top w:w="80" w:type="dxa"/>
              <w:start w:w="120" w:type="dxa"/>
              <w:bottom w:w="80" w:type="dxa"/>
              <w:end w:w="120" w:type="dxa"/>
            </w:tcMar>
            <w:vAlign w:val="center"/>
          </w:tcPr>
          <w:p>
            <w:pPr>
              <w:spacing w:before="0" w:after="40" w:line="252" w:lineRule="auto"/>
            </w:pPr>
            <w:r>
              <w:rPr>
                <w:rFonts w:ascii="Calibri" w:hAnsi="Calibri"/>
                <w:b w:val="0"/>
                <w:color w:val="243B53"/>
                <w:sz w:val="18"/>
              </w:rPr>
              <w:t>5 pages, 110 visuals, 95 data visuals, 35 DAX measures</w:t>
            </w:r>
          </w:p>
        </w:tc>
      </w:tr>
      <w:tr>
        <w:trPr>
          <w:cantSplit w:val="true"/>
        </w:trPr>
        <w:tc>
          <w:tcPr>
            <w:tcW w:type="dxa" w:w="29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8"/>
              </w:rPr>
              <w:t>Controls</w:t>
            </w:r>
          </w:p>
        </w:tc>
        <w:tc>
          <w:tcPr>
            <w:tcW w:type="dxa" w:w="64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8"/>
              </w:rPr>
              <w:t>30 slicers, 22 KPI cards, 5 navigators and 5 standard maps</w:t>
            </w:r>
          </w:p>
        </w:tc>
      </w:tr>
      <w:tr>
        <w:trPr>
          <w:cantSplit w:val="true"/>
        </w:trPr>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243B53"/>
                <w:sz w:val="18"/>
              </w:rPr>
              <w:t>Binding state</w:t>
            </w:r>
          </w:p>
        </w:tc>
        <w:tc>
          <w:tcPr>
            <w:tcW w:type="dxa" w:w="6460"/>
            <w:tcMar>
              <w:top w:w="80" w:type="dxa"/>
              <w:start w:w="120" w:type="dxa"/>
              <w:bottom w:w="80" w:type="dxa"/>
              <w:end w:w="120" w:type="dxa"/>
            </w:tcMar>
            <w:vAlign w:val="center"/>
          </w:tcPr>
          <w:p>
            <w:pPr>
              <w:spacing w:before="0" w:after="40" w:line="252" w:lineRule="auto"/>
            </w:pPr>
            <w:r>
              <w:rPr>
                <w:rFonts w:ascii="Calibri" w:hAnsi="Calibri"/>
                <w:b w:val="0"/>
                <w:color w:val="243B53"/>
                <w:sz w:val="18"/>
              </w:rPr>
              <w:t>310 active projections and 0 inactive projections</w:t>
            </w:r>
          </w:p>
        </w:tc>
      </w:tr>
      <w:tr>
        <w:trPr>
          <w:cantSplit w:val="true"/>
        </w:trPr>
        <w:tc>
          <w:tcPr>
            <w:tcW w:type="dxa" w:w="29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8"/>
              </w:rPr>
              <w:t>Data mode</w:t>
            </w:r>
          </w:p>
        </w:tc>
        <w:tc>
          <w:tcPr>
            <w:tcW w:type="dxa" w:w="64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8"/>
              </w:rPr>
              <w:t>Embedded compressed Import model with no machine-specific path</w:t>
            </w:r>
          </w:p>
        </w:tc>
      </w:tr>
      <w:tr>
        <w:trPr>
          <w:cantSplit w:val="true"/>
        </w:trPr>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243B53"/>
                <w:sz w:val="18"/>
              </w:rPr>
              <w:t>Map dependency</w:t>
            </w:r>
          </w:p>
        </w:tc>
        <w:tc>
          <w:tcPr>
            <w:tcW w:type="dxa" w:w="6460"/>
            <w:tcMar>
              <w:top w:w="80" w:type="dxa"/>
              <w:start w:w="120" w:type="dxa"/>
              <w:bottom w:w="80" w:type="dxa"/>
              <w:end w:w="120" w:type="dxa"/>
            </w:tcMar>
            <w:vAlign w:val="center"/>
          </w:tcPr>
          <w:p>
            <w:pPr>
              <w:spacing w:before="0" w:after="40" w:line="252" w:lineRule="auto"/>
            </w:pPr>
            <w:r>
              <w:rPr>
                <w:rFonts w:ascii="Calibri" w:hAnsi="Calibri"/>
                <w:b w:val="0"/>
                <w:color w:val="243B53"/>
                <w:sz w:val="18"/>
              </w:rPr>
              <w:t>Internet and the Map/Filled Map security setting; no Power BI sign-in</w:t>
            </w:r>
          </w:p>
        </w:tc>
      </w:tr>
    </w:tbl>
    <w:p>
      <w:pPr>
        <w:spacing w:after="40"/>
      </w:pPr>
    </w:p>
    <w:p>
      <w:pPr>
        <w:widowControl/>
      </w:pPr>
      <w:r>
        <w:rPr>
          <w:i w:val="0"/>
        </w:rPr>
        <w:t>The structural tests execute against the extracted content of the approved release ZIP. Data tests execute against the raw, cleaned and final CSV files. KPI tests recalculate all six formulas from the cleaned dataset and compare every result with the final dataset. Manual UAT evidence is corroborated by the user's working Power BI file and the supplied screenshots.</w:t>
      </w:r>
    </w:p>
    <w:p>
      <w:pPr>
        <w:pStyle w:val="Heading1"/>
      </w:pPr>
      <w:r>
        <w:t>3. QA Governance, Priorities and Acceptance Criteria</w:t>
      </w:r>
    </w:p>
    <w:tbl>
      <w:tblPr>
        <w:tblW w:type="auto" w:w="0"/>
        <w:tblLayout w:type="fixed"/>
        <w:tblLook w:firstColumn="1" w:firstRow="1" w:lastColumn="0" w:lastRow="0" w:noHBand="0" w:noVBand="1" w:val="04A0"/>
        <w:tblLayout w:type="fixed"/>
        <w:tblW w:w="9360" w:type="dxa"/>
        <w:tblInd w:w="120" w:type="dxa"/>
      </w:tblPr>
      <w:tblGrid>
        <w:gridCol w:w="2200"/>
        <w:gridCol w:w="7160"/>
      </w:tblGrid>
      <w:tr>
        <w:trPr>
          <w:cantSplit w:val="true"/>
          <w:tblHeader w:val="true"/>
        </w:trPr>
        <w:tc>
          <w:tcPr>
            <w:tcW w:type="dxa" w:w="2200"/>
            <w:tcMar>
              <w:top w:w="80" w:type="dxa"/>
              <w:start w:w="120" w:type="dxa"/>
              <w:bottom w:w="80" w:type="dxa"/>
              <w:end w:w="120" w:type="dxa"/>
            </w:tcMar>
            <w:vAlign w:val="center"/>
            <w:shd w:fill="0F4C81"/>
          </w:tcPr>
          <w:p>
            <w:pPr>
              <w:spacing w:before="0" w:after="40" w:line="252" w:lineRule="auto"/>
            </w:pPr>
            <w:r>
              <w:rPr>
                <w:rFonts w:ascii="Calibri" w:hAnsi="Calibri"/>
                <w:b/>
                <w:color w:val="FFFFFF"/>
                <w:sz w:val="18"/>
              </w:rPr>
              <w:t>ROLE</w:t>
            </w:r>
          </w:p>
        </w:tc>
        <w:tc>
          <w:tcPr>
            <w:tcW w:type="dxa" w:w="7160"/>
            <w:tcMar>
              <w:top w:w="80" w:type="dxa"/>
              <w:start w:w="120" w:type="dxa"/>
              <w:bottom w:w="80" w:type="dxa"/>
              <w:end w:w="120" w:type="dxa"/>
            </w:tcMar>
            <w:vAlign w:val="center"/>
            <w:shd w:fill="0F4C81"/>
          </w:tcPr>
          <w:p>
            <w:pPr>
              <w:spacing w:before="0" w:after="40" w:line="252" w:lineRule="auto"/>
            </w:pPr>
            <w:r>
              <w:rPr>
                <w:rFonts w:ascii="Calibri" w:hAnsi="Calibri"/>
                <w:b/>
                <w:color w:val="FFFFFF"/>
                <w:sz w:val="18"/>
              </w:rPr>
              <w:t>RESPONSIBILITY</w:t>
            </w:r>
          </w:p>
        </w:tc>
      </w:tr>
      <w:tr>
        <w:trPr>
          <w:cantSplit w:val="true"/>
        </w:trPr>
        <w:tc>
          <w:tcPr>
            <w:tcW w:type="dxa" w:w="2200"/>
            <w:tcMar>
              <w:top w:w="80" w:type="dxa"/>
              <w:start w:w="120" w:type="dxa"/>
              <w:bottom w:w="80" w:type="dxa"/>
              <w:end w:w="120" w:type="dxa"/>
            </w:tcMar>
            <w:vAlign w:val="center"/>
          </w:tcPr>
          <w:p>
            <w:pPr>
              <w:spacing w:before="0" w:after="40" w:line="252" w:lineRule="auto"/>
            </w:pPr>
            <w:r>
              <w:rPr>
                <w:rFonts w:ascii="Calibri" w:hAnsi="Calibri"/>
                <w:b w:val="0"/>
                <w:color w:val="243B53"/>
                <w:sz w:val="18"/>
              </w:rPr>
              <w:t>Project owner</w:t>
            </w:r>
          </w:p>
        </w:tc>
        <w:tc>
          <w:tcPr>
            <w:tcW w:type="dxa" w:w="7160"/>
            <w:tcMar>
              <w:top w:w="80" w:type="dxa"/>
              <w:start w:w="120" w:type="dxa"/>
              <w:bottom w:w="80" w:type="dxa"/>
              <w:end w:w="120" w:type="dxa"/>
            </w:tcMar>
            <w:vAlign w:val="center"/>
          </w:tcPr>
          <w:p>
            <w:pPr>
              <w:spacing w:before="0" w:after="40" w:line="252" w:lineRule="auto"/>
            </w:pPr>
            <w:r>
              <w:rPr>
                <w:rFonts w:ascii="Calibri" w:hAnsi="Calibri"/>
                <w:b w:val="0"/>
                <w:color w:val="243B53"/>
                <w:sz w:val="18"/>
              </w:rPr>
              <w:t>Approves scope, accepts known limitations and authorizes release.</w:t>
            </w:r>
          </w:p>
        </w:tc>
      </w:tr>
      <w:tr>
        <w:trPr>
          <w:cantSplit w:val="true"/>
        </w:trPr>
        <w:tc>
          <w:tcPr>
            <w:tcW w:type="dxa" w:w="22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8"/>
              </w:rPr>
              <w:t>Data owner</w:t>
            </w:r>
          </w:p>
        </w:tc>
        <w:tc>
          <w:tcPr>
            <w:tcW w:type="dxa" w:w="71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8"/>
              </w:rPr>
              <w:t>Maintains the source workbook, country standardization and field definitions.</w:t>
            </w:r>
          </w:p>
        </w:tc>
      </w:tr>
      <w:tr>
        <w:trPr>
          <w:cantSplit w:val="true"/>
        </w:trPr>
        <w:tc>
          <w:tcPr>
            <w:tcW w:type="dxa" w:w="2200"/>
            <w:tcMar>
              <w:top w:w="80" w:type="dxa"/>
              <w:start w:w="120" w:type="dxa"/>
              <w:bottom w:w="80" w:type="dxa"/>
              <w:end w:w="120" w:type="dxa"/>
            </w:tcMar>
            <w:vAlign w:val="center"/>
          </w:tcPr>
          <w:p>
            <w:pPr>
              <w:spacing w:before="0" w:after="40" w:line="252" w:lineRule="auto"/>
            </w:pPr>
            <w:r>
              <w:rPr>
                <w:rFonts w:ascii="Calibri" w:hAnsi="Calibri"/>
                <w:b w:val="0"/>
                <w:color w:val="243B53"/>
                <w:sz w:val="18"/>
              </w:rPr>
              <w:t>Model owner</w:t>
            </w:r>
          </w:p>
        </w:tc>
        <w:tc>
          <w:tcPr>
            <w:tcW w:type="dxa" w:w="7160"/>
            <w:tcMar>
              <w:top w:w="80" w:type="dxa"/>
              <w:start w:w="120" w:type="dxa"/>
              <w:bottom w:w="80" w:type="dxa"/>
              <w:end w:w="120" w:type="dxa"/>
            </w:tcMar>
            <w:vAlign w:val="center"/>
          </w:tcPr>
          <w:p>
            <w:pPr>
              <w:spacing w:before="0" w:after="40" w:line="252" w:lineRule="auto"/>
            </w:pPr>
            <w:r>
              <w:rPr>
                <w:rFonts w:ascii="Calibri" w:hAnsi="Calibri"/>
                <w:b w:val="0"/>
                <w:color w:val="243B53"/>
                <w:sz w:val="18"/>
              </w:rPr>
              <w:t>Maintains DAX measures, embedded Import query and semantic-model schema.</w:t>
            </w:r>
          </w:p>
        </w:tc>
      </w:tr>
      <w:tr>
        <w:trPr>
          <w:cantSplit w:val="true"/>
        </w:trPr>
        <w:tc>
          <w:tcPr>
            <w:tcW w:type="dxa" w:w="22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8"/>
              </w:rPr>
              <w:t>QA owner</w:t>
            </w:r>
          </w:p>
        </w:tc>
        <w:tc>
          <w:tcPr>
            <w:tcW w:type="dxa" w:w="71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8"/>
              </w:rPr>
              <w:t>Runs the automated validator, regression suite, workbook checks and evidence review.</w:t>
            </w:r>
          </w:p>
        </w:tc>
      </w:tr>
      <w:tr>
        <w:trPr>
          <w:cantSplit w:val="true"/>
        </w:trPr>
        <w:tc>
          <w:tcPr>
            <w:tcW w:type="dxa" w:w="2200"/>
            <w:tcMar>
              <w:top w:w="80" w:type="dxa"/>
              <w:start w:w="120" w:type="dxa"/>
              <w:bottom w:w="80" w:type="dxa"/>
              <w:end w:w="120" w:type="dxa"/>
            </w:tcMar>
            <w:vAlign w:val="center"/>
          </w:tcPr>
          <w:p>
            <w:pPr>
              <w:spacing w:before="0" w:after="40" w:line="252" w:lineRule="auto"/>
            </w:pPr>
            <w:r>
              <w:rPr>
                <w:rFonts w:ascii="Calibri" w:hAnsi="Calibri"/>
                <w:b w:val="0"/>
                <w:color w:val="243B53"/>
                <w:sz w:val="18"/>
              </w:rPr>
              <w:t>Power BI user</w:t>
            </w:r>
          </w:p>
        </w:tc>
        <w:tc>
          <w:tcPr>
            <w:tcW w:type="dxa" w:w="7160"/>
            <w:tcMar>
              <w:top w:w="80" w:type="dxa"/>
              <w:start w:w="120" w:type="dxa"/>
              <w:bottom w:w="80" w:type="dxa"/>
              <w:end w:w="120" w:type="dxa"/>
            </w:tcMar>
            <w:vAlign w:val="center"/>
          </w:tcPr>
          <w:p>
            <w:pPr>
              <w:spacing w:before="0" w:after="40" w:line="252" w:lineRule="auto"/>
            </w:pPr>
            <w:r>
              <w:rPr>
                <w:rFonts w:ascii="Calibri" w:hAnsi="Calibri"/>
                <w:b w:val="0"/>
                <w:color w:val="243B53"/>
                <w:sz w:val="18"/>
              </w:rPr>
              <w:t>Performs first refresh, visual inspection, slicer/navigation UAT and PBIX save.</w:t>
            </w:r>
          </w:p>
        </w:tc>
      </w:tr>
      <w:tr>
        <w:trPr>
          <w:cantSplit w:val="true"/>
        </w:trPr>
        <w:tc>
          <w:tcPr>
            <w:tcW w:type="dxa" w:w="22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8"/>
              </w:rPr>
              <w:t>Reviewer</w:t>
            </w:r>
          </w:p>
        </w:tc>
        <w:tc>
          <w:tcPr>
            <w:tcW w:type="dxa" w:w="71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8"/>
              </w:rPr>
              <w:t>Reviews the final documentation, UAT sign-off and release manifest.</w:t>
            </w:r>
          </w:p>
        </w:tc>
      </w:tr>
    </w:tbl>
    <w:p>
      <w:pPr>
        <w:spacing w:after="40"/>
      </w:pPr>
    </w:p>
    <w:p>
      <w:pPr>
        <w:pStyle w:val="Heading2"/>
      </w:pPr>
      <w:r>
        <w:t>3.1 Priority and severity logic</w:t>
      </w:r>
    </w:p>
    <w:p>
      <w:pPr>
        <w:pStyle w:val="ListBullet"/>
        <w:widowControl/>
      </w:pPr>
      <w:r>
        <w:rPr>
          <w:i w:val="0"/>
        </w:rPr>
        <w:t>Critical tests protect record counts, KPI accuracy, active bindings, portability, page availability and release integrity. Any failure blocks release.</w:t>
      </w:r>
    </w:p>
    <w:p>
      <w:pPr>
        <w:pStyle w:val="ListBullet"/>
        <w:widowControl/>
      </w:pPr>
      <w:r>
        <w:rPr>
          <w:i w:val="0"/>
        </w:rPr>
        <w:t>High-priority tests protect page contracts, maps, controls, model measures and user workflows. A failure requires correction or explicit acceptance before release.</w:t>
      </w:r>
    </w:p>
    <w:p>
      <w:pPr>
        <w:pStyle w:val="ListBullet"/>
        <w:widowControl/>
      </w:pPr>
      <w:r>
        <w:rPr>
          <w:i w:val="0"/>
        </w:rPr>
        <w:t>Medium and low-priority items mainly concern usability, configuration guidance and residual operational constraints.</w:t>
      </w:r>
    </w:p>
    <w:p>
      <w:pPr>
        <w:pStyle w:val="Heading2"/>
      </w:pPr>
      <w:r>
        <w:t>3.2 Acceptance gates</w:t>
      </w:r>
    </w:p>
    <w:p>
      <w:pPr>
        <w:pStyle w:val="ListBullet"/>
        <w:widowControl/>
      </w:pPr>
      <w:r>
        <w:rPr>
          <w:i w:val="0"/>
        </w:rPr>
        <w:t>Raw completeness must exceed 95%, cleaned missingness must remain below 2%, and duplicate institution-country-year keys must equal zero.</w:t>
      </w:r>
    </w:p>
    <w:p>
      <w:pPr>
        <w:pStyle w:val="ListBullet"/>
        <w:widowControl/>
      </w:pPr>
      <w:r>
        <w:rPr>
          <w:i w:val="0"/>
        </w:rPr>
        <w:t>All six KPIs must match for all 1,120 universities; the expected accuracy threshold is 100% for this verified reference build.</w:t>
      </w:r>
    </w:p>
    <w:p>
      <w:pPr>
        <w:pStyle w:val="ListBullet"/>
        <w:widowControl/>
      </w:pPr>
      <w:r>
        <w:rPr>
          <w:i w:val="0"/>
        </w:rPr>
        <w:t>The report must contain the five approved pages, 110 visuals, 22 KPI cards, 30 slicers, five navigators and five maps.</w:t>
      </w:r>
    </w:p>
    <w:p>
      <w:pPr>
        <w:pStyle w:val="ListBullet"/>
        <w:widowControl/>
      </w:pPr>
      <w:r>
        <w:rPr>
          <w:i w:val="0"/>
        </w:rPr>
        <w:t>All projections must be active, all visual field references must exist in the semantic model, and no Azure Map or cloud AI visual may remain.</w:t>
      </w:r>
    </w:p>
    <w:p>
      <w:pPr>
        <w:pStyle w:val="ListBullet"/>
        <w:widowControl/>
      </w:pPr>
      <w:r>
        <w:rPr>
          <w:i w:val="0"/>
        </w:rPr>
        <w:t>The model must be portable, with embedded Import data and no File.Contents machine path.</w:t>
      </w:r>
    </w:p>
    <w:p>
      <w:pPr>
        <w:pStyle w:val="ListBullet"/>
        <w:widowControl/>
      </w:pPr>
      <w:r>
        <w:rPr>
          <w:i w:val="0"/>
        </w:rPr>
        <w:t>The final handover must include the QA workbook, formal reports, operations guide, presentation, readout script and manifest.</w:t>
      </w:r>
    </w:p>
    <w:p>
      <w:pPr>
        <w:pStyle w:val="Heading1"/>
      </w:pPr>
      <w:r>
        <w:t>4. Test Strategy and Evidence Architecture</w:t>
      </w:r>
    </w:p>
    <w:tbl>
      <w:tblPr>
        <w:tblW w:type="auto" w:w="0"/>
        <w:tblLayout w:type="fixed"/>
        <w:tblLook w:firstColumn="1" w:firstRow="1" w:lastColumn="0" w:lastRow="0" w:noHBand="0" w:noVBand="1" w:val="04A0"/>
        <w:tblLayout w:type="fixed"/>
        <w:tblW w:w="9360" w:type="dxa"/>
        <w:tblInd w:w="120" w:type="dxa"/>
      </w:tblPr>
      <w:tblGrid>
        <w:gridCol w:w="2000"/>
        <w:gridCol w:w="3660"/>
        <w:gridCol w:w="3700"/>
      </w:tblGrid>
      <w:tr>
        <w:trPr>
          <w:cantSplit w:val="true"/>
          <w:tblHeader w:val="true"/>
        </w:trPr>
        <w:tc>
          <w:tcPr>
            <w:tcW w:type="dxa" w:w="2000"/>
            <w:tcMar>
              <w:top w:w="80" w:type="dxa"/>
              <w:start w:w="120" w:type="dxa"/>
              <w:bottom w:w="80" w:type="dxa"/>
              <w:end w:w="120" w:type="dxa"/>
            </w:tcMar>
            <w:vAlign w:val="center"/>
            <w:shd w:fill="0F4C81"/>
          </w:tcPr>
          <w:p>
            <w:pPr>
              <w:spacing w:before="0" w:after="40" w:line="252" w:lineRule="auto"/>
            </w:pPr>
            <w:r>
              <w:rPr>
                <w:rFonts w:ascii="Calibri" w:hAnsi="Calibri"/>
                <w:b/>
                <w:color w:val="FFFFFF"/>
                <w:sz w:val="16"/>
              </w:rPr>
              <w:t>TEST LAYER</w:t>
            </w:r>
          </w:p>
        </w:tc>
        <w:tc>
          <w:tcPr>
            <w:tcW w:type="dxa" w:w="3660"/>
            <w:tcMar>
              <w:top w:w="80" w:type="dxa"/>
              <w:start w:w="120" w:type="dxa"/>
              <w:bottom w:w="80" w:type="dxa"/>
              <w:end w:w="120" w:type="dxa"/>
            </w:tcMar>
            <w:vAlign w:val="center"/>
            <w:shd w:fill="0F4C81"/>
          </w:tcPr>
          <w:p>
            <w:pPr>
              <w:spacing w:before="0" w:after="40" w:line="252" w:lineRule="auto"/>
            </w:pPr>
            <w:r>
              <w:rPr>
                <w:rFonts w:ascii="Calibri" w:hAnsi="Calibri"/>
                <w:b/>
                <w:color w:val="FFFFFF"/>
                <w:sz w:val="16"/>
              </w:rPr>
              <w:t>METHOD</w:t>
            </w:r>
          </w:p>
        </w:tc>
        <w:tc>
          <w:tcPr>
            <w:tcW w:type="dxa" w:w="3700"/>
            <w:tcMar>
              <w:top w:w="80" w:type="dxa"/>
              <w:start w:w="120" w:type="dxa"/>
              <w:bottom w:w="80" w:type="dxa"/>
              <w:end w:w="120" w:type="dxa"/>
            </w:tcMar>
            <w:vAlign w:val="center"/>
            <w:shd w:fill="0F4C81"/>
          </w:tcPr>
          <w:p>
            <w:pPr>
              <w:spacing w:before="0" w:after="40" w:line="252" w:lineRule="auto"/>
            </w:pPr>
            <w:r>
              <w:rPr>
                <w:rFonts w:ascii="Calibri" w:hAnsi="Calibri"/>
                <w:b/>
                <w:color w:val="FFFFFF"/>
                <w:sz w:val="16"/>
              </w:rPr>
              <w:t>EVIDENCE</w:t>
            </w:r>
          </w:p>
        </w:tc>
      </w:tr>
      <w:tr>
        <w:trPr>
          <w:cantSplit w:val="true"/>
        </w:trPr>
        <w:tc>
          <w:tcPr>
            <w:tcW w:type="dxa" w:w="2000"/>
            <w:tcMar>
              <w:top w:w="80" w:type="dxa"/>
              <w:start w:w="120" w:type="dxa"/>
              <w:bottom w:w="80" w:type="dxa"/>
              <w:end w:w="120" w:type="dxa"/>
            </w:tcMar>
            <w:vAlign w:val="center"/>
          </w:tcPr>
          <w:p>
            <w:pPr>
              <w:spacing w:before="0" w:after="40" w:line="252" w:lineRule="auto"/>
            </w:pPr>
            <w:r>
              <w:rPr>
                <w:rFonts w:ascii="Calibri" w:hAnsi="Calibri"/>
                <w:b w:val="0"/>
                <w:color w:val="243B53"/>
                <w:sz w:val="16"/>
              </w:rPr>
              <w:t>Release packaging</w:t>
            </w:r>
          </w:p>
        </w:tc>
        <w:tc>
          <w:tcPr>
            <w:tcW w:type="dxa" w:w="3660"/>
            <w:tcMar>
              <w:top w:w="80" w:type="dxa"/>
              <w:start w:w="120" w:type="dxa"/>
              <w:bottom w:w="80" w:type="dxa"/>
              <w:end w:w="120" w:type="dxa"/>
            </w:tcMar>
            <w:vAlign w:val="center"/>
          </w:tcPr>
          <w:p>
            <w:pPr>
              <w:spacing w:before="0" w:after="40" w:line="252" w:lineRule="auto"/>
            </w:pPr>
            <w:r>
              <w:rPr>
                <w:rFonts w:ascii="Calibri" w:hAnsi="Calibri"/>
                <w:b w:val="0"/>
                <w:color w:val="243B53"/>
                <w:sz w:val="16"/>
              </w:rPr>
              <w:t>ZIP checksum, archive integrity and required-file checks</w:t>
            </w:r>
          </w:p>
        </w:tc>
        <w:tc>
          <w:tcPr>
            <w:tcW w:type="dxa" w:w="3700"/>
            <w:tcMar>
              <w:top w:w="80" w:type="dxa"/>
              <w:start w:w="120" w:type="dxa"/>
              <w:bottom w:w="80" w:type="dxa"/>
              <w:end w:w="120" w:type="dxa"/>
            </w:tcMar>
            <w:vAlign w:val="center"/>
          </w:tcPr>
          <w:p>
            <w:pPr>
              <w:spacing w:before="0" w:after="40" w:line="252" w:lineRule="auto"/>
            </w:pPr>
            <w:r>
              <w:rPr>
                <w:rFonts w:ascii="Calibri" w:hAnsi="Calibri"/>
                <w:b w:val="0"/>
                <w:color w:val="243B53"/>
                <w:sz w:val="16"/>
              </w:rPr>
              <w:t>Release hash and package directory</w:t>
            </w:r>
          </w:p>
        </w:tc>
      </w:tr>
      <w:tr>
        <w:trPr>
          <w:cantSplit w:val="true"/>
        </w:trPr>
        <w:tc>
          <w:tcPr>
            <w:tcW w:type="dxa" w:w="20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Data quality</w:t>
            </w:r>
          </w:p>
        </w:tc>
        <w:tc>
          <w:tcPr>
            <w:tcW w:type="dxa" w:w="36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Full-dataset profile, completeness, missingness, duplicates and range tests</w:t>
            </w:r>
          </w:p>
        </w:tc>
        <w:tc>
          <w:tcPr>
            <w:tcW w:type="dxa" w:w="37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CSV files and audit JSON</w:t>
            </w:r>
          </w:p>
        </w:tc>
      </w:tr>
      <w:tr>
        <w:trPr>
          <w:cantSplit w:val="true"/>
        </w:trPr>
        <w:tc>
          <w:tcPr>
            <w:tcW w:type="dxa" w:w="2000"/>
            <w:tcMar>
              <w:top w:w="80" w:type="dxa"/>
              <w:start w:w="120" w:type="dxa"/>
              <w:bottom w:w="80" w:type="dxa"/>
              <w:end w:w="120" w:type="dxa"/>
            </w:tcMar>
            <w:vAlign w:val="center"/>
          </w:tcPr>
          <w:p>
            <w:pPr>
              <w:spacing w:before="0" w:after="40" w:line="252" w:lineRule="auto"/>
            </w:pPr>
            <w:r>
              <w:rPr>
                <w:rFonts w:ascii="Calibri" w:hAnsi="Calibri"/>
                <w:b w:val="0"/>
                <w:color w:val="243B53"/>
                <w:sz w:val="16"/>
              </w:rPr>
              <w:t>KPI accuracy</w:t>
            </w:r>
          </w:p>
        </w:tc>
        <w:tc>
          <w:tcPr>
            <w:tcW w:type="dxa" w:w="3660"/>
            <w:tcMar>
              <w:top w:w="80" w:type="dxa"/>
              <w:start w:w="120" w:type="dxa"/>
              <w:bottom w:w="80" w:type="dxa"/>
              <w:end w:w="120" w:type="dxa"/>
            </w:tcMar>
            <w:vAlign w:val="center"/>
          </w:tcPr>
          <w:p>
            <w:pPr>
              <w:spacing w:before="0" w:after="40" w:line="252" w:lineRule="auto"/>
            </w:pPr>
            <w:r>
              <w:rPr>
                <w:rFonts w:ascii="Calibri" w:hAnsi="Calibri"/>
                <w:b w:val="0"/>
                <w:color w:val="243B53"/>
                <w:sz w:val="16"/>
              </w:rPr>
              <w:t>Recalculate each KPI and compare 1,120 values</w:t>
            </w:r>
          </w:p>
        </w:tc>
        <w:tc>
          <w:tcPr>
            <w:tcW w:type="dxa" w:w="3700"/>
            <w:tcMar>
              <w:top w:w="80" w:type="dxa"/>
              <w:start w:w="120" w:type="dxa"/>
              <w:bottom w:w="80" w:type="dxa"/>
              <w:end w:w="120" w:type="dxa"/>
            </w:tcMar>
            <w:vAlign w:val="center"/>
          </w:tcPr>
          <w:p>
            <w:pPr>
              <w:spacing w:before="0" w:after="40" w:line="252" w:lineRule="auto"/>
            </w:pPr>
            <w:r>
              <w:rPr>
                <w:rFonts w:ascii="Calibri" w:hAnsi="Calibri"/>
                <w:b w:val="0"/>
                <w:color w:val="243B53"/>
                <w:sz w:val="16"/>
              </w:rPr>
              <w:t>KPI reconciliation table</w:t>
            </w:r>
          </w:p>
        </w:tc>
      </w:tr>
      <w:tr>
        <w:trPr>
          <w:cantSplit w:val="true"/>
        </w:trPr>
        <w:tc>
          <w:tcPr>
            <w:tcW w:type="dxa" w:w="20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Semantic model</w:t>
            </w:r>
          </w:p>
        </w:tc>
        <w:tc>
          <w:tcPr>
            <w:tcW w:type="dxa" w:w="36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Parse TMDL measures, columns and partition expression</w:t>
            </w:r>
          </w:p>
        </w:tc>
        <w:tc>
          <w:tcPr>
            <w:tcW w:type="dxa" w:w="37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Universities.tmdl and validation summary</w:t>
            </w:r>
          </w:p>
        </w:tc>
      </w:tr>
      <w:tr>
        <w:trPr>
          <w:cantSplit w:val="true"/>
        </w:trPr>
        <w:tc>
          <w:tcPr>
            <w:tcW w:type="dxa" w:w="2000"/>
            <w:tcMar>
              <w:top w:w="80" w:type="dxa"/>
              <w:start w:w="120" w:type="dxa"/>
              <w:bottom w:w="80" w:type="dxa"/>
              <w:end w:w="120" w:type="dxa"/>
            </w:tcMar>
            <w:vAlign w:val="center"/>
          </w:tcPr>
          <w:p>
            <w:pPr>
              <w:spacing w:before="0" w:after="40" w:line="252" w:lineRule="auto"/>
            </w:pPr>
            <w:r>
              <w:rPr>
                <w:rFonts w:ascii="Calibri" w:hAnsi="Calibri"/>
                <w:b w:val="0"/>
                <w:color w:val="243B53"/>
                <w:sz w:val="16"/>
              </w:rPr>
              <w:t>Dashboard structure</w:t>
            </w:r>
          </w:p>
        </w:tc>
        <w:tc>
          <w:tcPr>
            <w:tcW w:type="dxa" w:w="3660"/>
            <w:tcMar>
              <w:top w:w="80" w:type="dxa"/>
              <w:start w:w="120" w:type="dxa"/>
              <w:bottom w:w="80" w:type="dxa"/>
              <w:end w:w="120" w:type="dxa"/>
            </w:tcMar>
            <w:vAlign w:val="center"/>
          </w:tcPr>
          <w:p>
            <w:pPr>
              <w:spacing w:before="0" w:after="40" w:line="252" w:lineRule="auto"/>
            </w:pPr>
            <w:r>
              <w:rPr>
                <w:rFonts w:ascii="Calibri" w:hAnsi="Calibri"/>
                <w:b w:val="0"/>
                <w:color w:val="243B53"/>
                <w:sz w:val="16"/>
              </w:rPr>
              <w:t>Parse every page.json and visual.json</w:t>
            </w:r>
          </w:p>
        </w:tc>
        <w:tc>
          <w:tcPr>
            <w:tcW w:type="dxa" w:w="3700"/>
            <w:tcMar>
              <w:top w:w="80" w:type="dxa"/>
              <w:start w:w="120" w:type="dxa"/>
              <w:bottom w:w="80" w:type="dxa"/>
              <w:end w:w="120" w:type="dxa"/>
            </w:tcMar>
            <w:vAlign w:val="center"/>
          </w:tcPr>
          <w:p>
            <w:pPr>
              <w:spacing w:before="0" w:after="40" w:line="252" w:lineRule="auto"/>
            </w:pPr>
            <w:r>
              <w:rPr>
                <w:rFonts w:ascii="Calibri" w:hAnsi="Calibri"/>
                <w:b w:val="0"/>
                <w:color w:val="243B53"/>
                <w:sz w:val="16"/>
              </w:rPr>
              <w:t>Page and visual inventory</w:t>
            </w:r>
          </w:p>
        </w:tc>
      </w:tr>
      <w:tr>
        <w:trPr>
          <w:cantSplit w:val="true"/>
        </w:trPr>
        <w:tc>
          <w:tcPr>
            <w:tcW w:type="dxa" w:w="20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Visual bindings</w:t>
            </w:r>
          </w:p>
        </w:tc>
        <w:tc>
          <w:tcPr>
            <w:tcW w:type="dxa" w:w="36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Validate active projections and model field references</w:t>
            </w:r>
          </w:p>
        </w:tc>
        <w:tc>
          <w:tcPr>
            <w:tcW w:type="dxa" w:w="37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310 projection checks</w:t>
            </w:r>
          </w:p>
        </w:tc>
      </w:tr>
      <w:tr>
        <w:trPr>
          <w:cantSplit w:val="true"/>
        </w:trPr>
        <w:tc>
          <w:tcPr>
            <w:tcW w:type="dxa" w:w="2000"/>
            <w:tcMar>
              <w:top w:w="80" w:type="dxa"/>
              <w:start w:w="120" w:type="dxa"/>
              <w:bottom w:w="80" w:type="dxa"/>
              <w:end w:w="120" w:type="dxa"/>
            </w:tcMar>
            <w:vAlign w:val="center"/>
          </w:tcPr>
          <w:p>
            <w:pPr>
              <w:spacing w:before="0" w:after="40" w:line="252" w:lineRule="auto"/>
            </w:pPr>
            <w:r>
              <w:rPr>
                <w:rFonts w:ascii="Calibri" w:hAnsi="Calibri"/>
                <w:b w:val="0"/>
                <w:color w:val="243B53"/>
                <w:sz w:val="16"/>
              </w:rPr>
              <w:t>Maps</w:t>
            </w:r>
          </w:p>
        </w:tc>
        <w:tc>
          <w:tcPr>
            <w:tcW w:type="dxa" w:w="3660"/>
            <w:tcMar>
              <w:top w:w="80" w:type="dxa"/>
              <w:start w:w="120" w:type="dxa"/>
              <w:bottom w:w="80" w:type="dxa"/>
              <w:end w:w="120" w:type="dxa"/>
            </w:tcMar>
            <w:vAlign w:val="center"/>
          </w:tcPr>
          <w:p>
            <w:pPr>
              <w:spacing w:before="0" w:after="40" w:line="252" w:lineRule="auto"/>
            </w:pPr>
            <w:r>
              <w:rPr>
                <w:rFonts w:ascii="Calibri" w:hAnsi="Calibri"/>
                <w:b w:val="0"/>
                <w:color w:val="243B53"/>
                <w:sz w:val="16"/>
              </w:rPr>
              <w:t>Validate visual type, roles, size measure, tooltips and page bounds</w:t>
            </w:r>
          </w:p>
        </w:tc>
        <w:tc>
          <w:tcPr>
            <w:tcW w:type="dxa" w:w="3700"/>
            <w:tcMar>
              <w:top w:w="80" w:type="dxa"/>
              <w:start w:w="120" w:type="dxa"/>
              <w:bottom w:w="80" w:type="dxa"/>
              <w:end w:w="120" w:type="dxa"/>
            </w:tcMar>
            <w:vAlign w:val="center"/>
          </w:tcPr>
          <w:p>
            <w:pPr>
              <w:spacing w:before="0" w:after="40" w:line="252" w:lineRule="auto"/>
            </w:pPr>
            <w:r>
              <w:rPr>
                <w:rFonts w:ascii="Calibri" w:hAnsi="Calibri"/>
                <w:b w:val="0"/>
                <w:color w:val="243B53"/>
                <w:sz w:val="16"/>
              </w:rPr>
              <w:t>35 map contract checks</w:t>
            </w:r>
          </w:p>
        </w:tc>
      </w:tr>
      <w:tr>
        <w:trPr>
          <w:cantSplit w:val="true"/>
        </w:trPr>
        <w:tc>
          <w:tcPr>
            <w:tcW w:type="dxa" w:w="20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UAT</w:t>
            </w:r>
          </w:p>
        </w:tc>
        <w:tc>
          <w:tcPr>
            <w:tcW w:type="dxa" w:w="36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Confirm rendered KPIs, charts, controls, maps and PBIX workflow</w:t>
            </w:r>
          </w:p>
        </w:tc>
        <w:tc>
          <w:tcPr>
            <w:tcW w:type="dxa" w:w="37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Power BI screenshots and user confirmation</w:t>
            </w:r>
          </w:p>
        </w:tc>
      </w:tr>
      <w:tr>
        <w:trPr>
          <w:cantSplit w:val="true"/>
        </w:trPr>
        <w:tc>
          <w:tcPr>
            <w:tcW w:type="dxa" w:w="2000"/>
            <w:tcMar>
              <w:top w:w="80" w:type="dxa"/>
              <w:start w:w="120" w:type="dxa"/>
              <w:bottom w:w="80" w:type="dxa"/>
              <w:end w:w="120" w:type="dxa"/>
            </w:tcMar>
            <w:vAlign w:val="center"/>
          </w:tcPr>
          <w:p>
            <w:pPr>
              <w:spacing w:before="0" w:after="40" w:line="252" w:lineRule="auto"/>
            </w:pPr>
            <w:r>
              <w:rPr>
                <w:rFonts w:ascii="Calibri" w:hAnsi="Calibri"/>
                <w:b w:val="0"/>
                <w:color w:val="243B53"/>
                <w:sz w:val="16"/>
              </w:rPr>
              <w:t>Regression</w:t>
            </w:r>
          </w:p>
        </w:tc>
        <w:tc>
          <w:tcPr>
            <w:tcW w:type="dxa" w:w="3660"/>
            <w:tcMar>
              <w:top w:w="80" w:type="dxa"/>
              <w:start w:w="120" w:type="dxa"/>
              <w:bottom w:w="80" w:type="dxa"/>
              <w:end w:w="120" w:type="dxa"/>
            </w:tcMar>
            <w:vAlign w:val="center"/>
          </w:tcPr>
          <w:p>
            <w:pPr>
              <w:spacing w:before="0" w:after="40" w:line="252" w:lineRule="auto"/>
            </w:pPr>
            <w:r>
              <w:rPr>
                <w:rFonts w:ascii="Calibri" w:hAnsi="Calibri"/>
                <w:b w:val="0"/>
                <w:color w:val="243B53"/>
                <w:sz w:val="16"/>
              </w:rPr>
              <w:t>Python unittest suite and historical-defect retests</w:t>
            </w:r>
          </w:p>
        </w:tc>
        <w:tc>
          <w:tcPr>
            <w:tcW w:type="dxa" w:w="3700"/>
            <w:tcMar>
              <w:top w:w="80" w:type="dxa"/>
              <w:start w:w="120" w:type="dxa"/>
              <w:bottom w:w="80" w:type="dxa"/>
              <w:end w:w="120" w:type="dxa"/>
            </w:tcMar>
            <w:vAlign w:val="center"/>
          </w:tcPr>
          <w:p>
            <w:pPr>
              <w:spacing w:before="0" w:after="40" w:line="252" w:lineRule="auto"/>
            </w:pPr>
            <w:r>
              <w:rPr>
                <w:rFonts w:ascii="Calibri" w:hAnsi="Calibri"/>
                <w:b w:val="0"/>
                <w:color w:val="243B53"/>
                <w:sz w:val="16"/>
              </w:rPr>
              <w:t>test_milestone4.py and defect log</w:t>
            </w:r>
          </w:p>
        </w:tc>
      </w:tr>
    </w:tbl>
    <w:p>
      <w:pPr>
        <w:spacing w:after="40"/>
      </w:pPr>
    </w:p>
    <w:p>
      <w:pPr>
        <w:widowControl/>
      </w:pPr>
      <w:r>
        <w:rPr>
          <w:i w:val="0"/>
        </w:rPr>
        <w:t>The final ledger contains 300 rows. Each row stores the requirement ID, test scenario, expected result, actual result, execution method, priority, status and evidence reference. The QA Master workbook provides the complete register and formula-driven traceability summary.</w:t>
      </w:r>
    </w:p>
    <w:p>
      <w:pPr>
        <w:pStyle w:val="Heading1"/>
      </w:pPr>
      <w:r>
        <w:t>5. Data-Quality and Integrity Validation</w:t>
      </w:r>
    </w:p>
    <w:tbl>
      <w:tblPr>
        <w:tblW w:type="auto" w:w="0"/>
        <w:tblLayout w:type="fixed"/>
        <w:tblLook w:firstColumn="1" w:firstRow="1" w:lastColumn="0" w:lastRow="0" w:noHBand="0" w:noVBand="1" w:val="04A0"/>
        <w:tblLayout w:type="fixed"/>
        <w:tblW w:w="9360" w:type="dxa"/>
        <w:tblInd w:w="120" w:type="dxa"/>
      </w:tblPr>
      <w:tblGrid>
        <w:gridCol w:w="2700"/>
        <w:gridCol w:w="1800"/>
        <w:gridCol w:w="2860"/>
        <w:gridCol w:w="2000"/>
      </w:tblGrid>
      <w:tr>
        <w:trPr>
          <w:cantSplit w:val="true"/>
          <w:tblHeader w:val="true"/>
        </w:trPr>
        <w:tc>
          <w:tcPr>
            <w:tcW w:type="dxa" w:w="2700"/>
            <w:tcMar>
              <w:top w:w="80" w:type="dxa"/>
              <w:start w:w="120" w:type="dxa"/>
              <w:bottom w:w="80" w:type="dxa"/>
              <w:end w:w="120" w:type="dxa"/>
            </w:tcMar>
            <w:vAlign w:val="center"/>
            <w:shd w:fill="0F4C81"/>
          </w:tcPr>
          <w:p>
            <w:pPr>
              <w:spacing w:before="0" w:after="40" w:line="252" w:lineRule="auto"/>
            </w:pPr>
            <w:r>
              <w:rPr>
                <w:rFonts w:ascii="Calibri" w:hAnsi="Calibri"/>
                <w:b/>
                <w:color w:val="FFFFFF"/>
                <w:sz w:val="17"/>
              </w:rPr>
              <w:t>QUALITY CONTROL</w:t>
            </w:r>
          </w:p>
        </w:tc>
        <w:tc>
          <w:tcPr>
            <w:tcW w:type="dxa" w:w="1800"/>
            <w:tcMar>
              <w:top w:w="80" w:type="dxa"/>
              <w:start w:w="120" w:type="dxa"/>
              <w:bottom w:w="80" w:type="dxa"/>
              <w:end w:w="120" w:type="dxa"/>
            </w:tcMar>
            <w:vAlign w:val="center"/>
            <w:shd w:fill="0F4C81"/>
          </w:tcPr>
          <w:p>
            <w:pPr>
              <w:spacing w:before="0" w:after="40" w:line="252" w:lineRule="auto"/>
            </w:pPr>
            <w:r>
              <w:rPr>
                <w:rFonts w:ascii="Calibri" w:hAnsi="Calibri"/>
                <w:b/>
                <w:color w:val="FFFFFF"/>
                <w:sz w:val="17"/>
              </w:rPr>
              <w:t>ACCEPTANCE</w:t>
            </w:r>
          </w:p>
        </w:tc>
        <w:tc>
          <w:tcPr>
            <w:tcW w:type="dxa" w:w="2860"/>
            <w:tcMar>
              <w:top w:w="80" w:type="dxa"/>
              <w:start w:w="120" w:type="dxa"/>
              <w:bottom w:w="80" w:type="dxa"/>
              <w:end w:w="120" w:type="dxa"/>
            </w:tcMar>
            <w:vAlign w:val="center"/>
            <w:shd w:fill="0F4C81"/>
          </w:tcPr>
          <w:p>
            <w:pPr>
              <w:spacing w:before="0" w:after="40" w:line="252" w:lineRule="auto"/>
            </w:pPr>
            <w:r>
              <w:rPr>
                <w:rFonts w:ascii="Calibri" w:hAnsi="Calibri"/>
                <w:b/>
                <w:color w:val="FFFFFF"/>
                <w:sz w:val="17"/>
              </w:rPr>
              <w:t>RESULT</w:t>
            </w:r>
          </w:p>
        </w:tc>
        <w:tc>
          <w:tcPr>
            <w:tcW w:type="dxa" w:w="2000"/>
            <w:tcMar>
              <w:top w:w="80" w:type="dxa"/>
              <w:start w:w="120" w:type="dxa"/>
              <w:bottom w:w="80" w:type="dxa"/>
              <w:end w:w="120" w:type="dxa"/>
            </w:tcMar>
            <w:vAlign w:val="center"/>
            <w:shd w:fill="0F4C81"/>
          </w:tcPr>
          <w:p>
            <w:pPr>
              <w:spacing w:before="0" w:after="40" w:line="252" w:lineRule="auto"/>
            </w:pPr>
            <w:r>
              <w:rPr>
                <w:rFonts w:ascii="Calibri" w:hAnsi="Calibri"/>
                <w:b/>
                <w:color w:val="FFFFFF"/>
                <w:sz w:val="17"/>
              </w:rPr>
              <w:t>STATUS</w:t>
            </w:r>
          </w:p>
        </w:tc>
      </w:tr>
      <w:tr>
        <w:trPr>
          <w:cantSplit w:val="true"/>
        </w:trPr>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243B53"/>
                <w:sz w:val="17"/>
              </w:rPr>
              <w:t>Raw records</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color w:val="243B53"/>
                <w:sz w:val="17"/>
              </w:rPr>
              <w:t>1,120</w:t>
            </w:r>
          </w:p>
        </w:tc>
        <w:tc>
          <w:tcPr>
            <w:tcW w:type="dxa" w:w="2860"/>
            <w:tcMar>
              <w:top w:w="80" w:type="dxa"/>
              <w:start w:w="120" w:type="dxa"/>
              <w:bottom w:w="80" w:type="dxa"/>
              <w:end w:w="120" w:type="dxa"/>
            </w:tcMar>
            <w:vAlign w:val="center"/>
          </w:tcPr>
          <w:p>
            <w:pPr>
              <w:spacing w:before="0" w:after="40" w:line="252" w:lineRule="auto"/>
            </w:pPr>
            <w:r>
              <w:rPr>
                <w:rFonts w:ascii="Calibri" w:hAnsi="Calibri"/>
                <w:b w:val="0"/>
                <w:color w:val="243B53"/>
                <w:sz w:val="17"/>
              </w:rPr>
              <w:t>1120</w:t>
            </w:r>
          </w:p>
        </w:tc>
        <w:tc>
          <w:tcPr>
            <w:tcW w:type="dxa" w:w="2000"/>
            <w:tcMar>
              <w:top w:w="80" w:type="dxa"/>
              <w:start w:w="120" w:type="dxa"/>
              <w:bottom w:w="80" w:type="dxa"/>
              <w:end w:w="120" w:type="dxa"/>
            </w:tcMar>
            <w:vAlign w:val="center"/>
          </w:tcPr>
          <w:p>
            <w:pPr>
              <w:spacing w:before="0" w:after="40" w:line="252" w:lineRule="auto"/>
            </w:pPr>
            <w:r>
              <w:rPr>
                <w:rFonts w:ascii="Calibri" w:hAnsi="Calibri"/>
                <w:b w:val="0"/>
                <w:color w:val="243B53"/>
                <w:sz w:val="17"/>
              </w:rPr>
              <w:t>PASS</w:t>
            </w:r>
          </w:p>
        </w:tc>
      </w:tr>
      <w:tr>
        <w:trPr>
          <w:cantSplit w:val="true"/>
        </w:trPr>
        <w:tc>
          <w:tcPr>
            <w:tcW w:type="dxa" w:w="27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Raw source fields</w:t>
            </w:r>
          </w:p>
        </w:tc>
        <w:tc>
          <w:tcPr>
            <w:tcW w:type="dxa" w:w="18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42</w:t>
            </w:r>
          </w:p>
        </w:tc>
        <w:tc>
          <w:tcPr>
            <w:tcW w:type="dxa" w:w="28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42</w:t>
            </w:r>
          </w:p>
        </w:tc>
        <w:tc>
          <w:tcPr>
            <w:tcW w:type="dxa" w:w="20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PASS</w:t>
            </w:r>
          </w:p>
        </w:tc>
      </w:tr>
      <w:tr>
        <w:trPr>
          <w:cantSplit w:val="true"/>
        </w:trPr>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243B53"/>
                <w:sz w:val="17"/>
              </w:rPr>
              <w:t>Country coverage</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color w:val="243B53"/>
                <w:sz w:val="17"/>
              </w:rPr>
              <w:t>93</w:t>
            </w:r>
          </w:p>
        </w:tc>
        <w:tc>
          <w:tcPr>
            <w:tcW w:type="dxa" w:w="2860"/>
            <w:tcMar>
              <w:top w:w="80" w:type="dxa"/>
              <w:start w:w="120" w:type="dxa"/>
              <w:bottom w:w="80" w:type="dxa"/>
              <w:end w:w="120" w:type="dxa"/>
            </w:tcMar>
            <w:vAlign w:val="center"/>
          </w:tcPr>
          <w:p>
            <w:pPr>
              <w:spacing w:before="0" w:after="40" w:line="252" w:lineRule="auto"/>
            </w:pPr>
            <w:r>
              <w:rPr>
                <w:rFonts w:ascii="Calibri" w:hAnsi="Calibri"/>
                <w:b w:val="0"/>
                <w:color w:val="243B53"/>
                <w:sz w:val="17"/>
              </w:rPr>
              <w:t>93</w:t>
            </w:r>
          </w:p>
        </w:tc>
        <w:tc>
          <w:tcPr>
            <w:tcW w:type="dxa" w:w="2000"/>
            <w:tcMar>
              <w:top w:w="80" w:type="dxa"/>
              <w:start w:w="120" w:type="dxa"/>
              <w:bottom w:w="80" w:type="dxa"/>
              <w:end w:w="120" w:type="dxa"/>
            </w:tcMar>
            <w:vAlign w:val="center"/>
          </w:tcPr>
          <w:p>
            <w:pPr>
              <w:spacing w:before="0" w:after="40" w:line="252" w:lineRule="auto"/>
            </w:pPr>
            <w:r>
              <w:rPr>
                <w:rFonts w:ascii="Calibri" w:hAnsi="Calibri"/>
                <w:b w:val="0"/>
                <w:color w:val="243B53"/>
                <w:sz w:val="17"/>
              </w:rPr>
              <w:t>PASS</w:t>
            </w:r>
          </w:p>
        </w:tc>
      </w:tr>
      <w:tr>
        <w:trPr>
          <w:cantSplit w:val="true"/>
        </w:trPr>
        <w:tc>
          <w:tcPr>
            <w:tcW w:type="dxa" w:w="27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Region coverage</w:t>
            </w:r>
          </w:p>
        </w:tc>
        <w:tc>
          <w:tcPr>
            <w:tcW w:type="dxa" w:w="18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5</w:t>
            </w:r>
          </w:p>
        </w:tc>
        <w:tc>
          <w:tcPr>
            <w:tcW w:type="dxa" w:w="28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5</w:t>
            </w:r>
          </w:p>
        </w:tc>
        <w:tc>
          <w:tcPr>
            <w:tcW w:type="dxa" w:w="20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PASS</w:t>
            </w:r>
          </w:p>
        </w:tc>
      </w:tr>
      <w:tr>
        <w:trPr>
          <w:cantSplit w:val="true"/>
        </w:trPr>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243B53"/>
                <w:sz w:val="17"/>
              </w:rPr>
              <w:t>Reporting year</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color w:val="243B53"/>
                <w:sz w:val="17"/>
              </w:rPr>
              <w:t>2026 only</w:t>
            </w:r>
          </w:p>
        </w:tc>
        <w:tc>
          <w:tcPr>
            <w:tcW w:type="dxa" w:w="2860"/>
            <w:tcMar>
              <w:top w:w="80" w:type="dxa"/>
              <w:start w:w="120" w:type="dxa"/>
              <w:bottom w:w="80" w:type="dxa"/>
              <w:end w:w="120" w:type="dxa"/>
            </w:tcMar>
            <w:vAlign w:val="center"/>
          </w:tcPr>
          <w:p>
            <w:pPr>
              <w:spacing w:before="0" w:after="40" w:line="252" w:lineRule="auto"/>
            </w:pPr>
            <w:r>
              <w:rPr>
                <w:rFonts w:ascii="Calibri" w:hAnsi="Calibri"/>
                <w:b w:val="0"/>
                <w:color w:val="243B53"/>
                <w:sz w:val="17"/>
              </w:rPr>
              <w:t>2026</w:t>
            </w:r>
          </w:p>
        </w:tc>
        <w:tc>
          <w:tcPr>
            <w:tcW w:type="dxa" w:w="2000"/>
            <w:tcMar>
              <w:top w:w="80" w:type="dxa"/>
              <w:start w:w="120" w:type="dxa"/>
              <w:bottom w:w="80" w:type="dxa"/>
              <w:end w:w="120" w:type="dxa"/>
            </w:tcMar>
            <w:vAlign w:val="center"/>
          </w:tcPr>
          <w:p>
            <w:pPr>
              <w:spacing w:before="0" w:after="40" w:line="252" w:lineRule="auto"/>
            </w:pPr>
            <w:r>
              <w:rPr>
                <w:rFonts w:ascii="Calibri" w:hAnsi="Calibri"/>
                <w:b w:val="0"/>
                <w:color w:val="243B53"/>
                <w:sz w:val="17"/>
              </w:rPr>
              <w:t>PASS</w:t>
            </w:r>
          </w:p>
        </w:tc>
      </w:tr>
      <w:tr>
        <w:trPr>
          <w:cantSplit w:val="true"/>
        </w:trPr>
        <w:tc>
          <w:tcPr>
            <w:tcW w:type="dxa" w:w="27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Source completeness</w:t>
            </w:r>
          </w:p>
        </w:tc>
        <w:tc>
          <w:tcPr>
            <w:tcW w:type="dxa" w:w="18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&gt;95%</w:t>
            </w:r>
          </w:p>
        </w:tc>
        <w:tc>
          <w:tcPr>
            <w:tcW w:type="dxa" w:w="28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98.176%</w:t>
            </w:r>
          </w:p>
        </w:tc>
        <w:tc>
          <w:tcPr>
            <w:tcW w:type="dxa" w:w="20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PASS</w:t>
            </w:r>
          </w:p>
        </w:tc>
      </w:tr>
      <w:tr>
        <w:trPr>
          <w:cantSplit w:val="true"/>
        </w:trPr>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243B53"/>
                <w:sz w:val="17"/>
              </w:rPr>
              <w:t>Cleaned missingness</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color w:val="243B53"/>
                <w:sz w:val="17"/>
              </w:rPr>
              <w:t>&lt;2%</w:t>
            </w:r>
          </w:p>
        </w:tc>
        <w:tc>
          <w:tcPr>
            <w:tcW w:type="dxa" w:w="2860"/>
            <w:tcMar>
              <w:top w:w="80" w:type="dxa"/>
              <w:start w:w="120" w:type="dxa"/>
              <w:bottom w:w="80" w:type="dxa"/>
              <w:end w:w="120" w:type="dxa"/>
            </w:tcMar>
            <w:vAlign w:val="center"/>
          </w:tcPr>
          <w:p>
            <w:pPr>
              <w:spacing w:before="0" w:after="40" w:line="252" w:lineRule="auto"/>
            </w:pPr>
            <w:r>
              <w:rPr>
                <w:rFonts w:ascii="Calibri" w:hAnsi="Calibri"/>
                <w:b w:val="0"/>
                <w:color w:val="243B53"/>
                <w:sz w:val="17"/>
              </w:rPr>
              <w:t>1.5686%</w:t>
            </w:r>
          </w:p>
        </w:tc>
        <w:tc>
          <w:tcPr>
            <w:tcW w:type="dxa" w:w="2000"/>
            <w:tcMar>
              <w:top w:w="80" w:type="dxa"/>
              <w:start w:w="120" w:type="dxa"/>
              <w:bottom w:w="80" w:type="dxa"/>
              <w:end w:w="120" w:type="dxa"/>
            </w:tcMar>
            <w:vAlign w:val="center"/>
          </w:tcPr>
          <w:p>
            <w:pPr>
              <w:spacing w:before="0" w:after="40" w:line="252" w:lineRule="auto"/>
            </w:pPr>
            <w:r>
              <w:rPr>
                <w:rFonts w:ascii="Calibri" w:hAnsi="Calibri"/>
                <w:b w:val="0"/>
                <w:color w:val="243B53"/>
                <w:sz w:val="17"/>
              </w:rPr>
              <w:t>PASS</w:t>
            </w:r>
          </w:p>
        </w:tc>
      </w:tr>
      <w:tr>
        <w:trPr>
          <w:cantSplit w:val="true"/>
        </w:trPr>
        <w:tc>
          <w:tcPr>
            <w:tcW w:type="dxa" w:w="27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Duplicate keys</w:t>
            </w:r>
          </w:p>
        </w:tc>
        <w:tc>
          <w:tcPr>
            <w:tcW w:type="dxa" w:w="18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0</w:t>
            </w:r>
          </w:p>
        </w:tc>
        <w:tc>
          <w:tcPr>
            <w:tcW w:type="dxa" w:w="28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0</w:t>
            </w:r>
          </w:p>
        </w:tc>
        <w:tc>
          <w:tcPr>
            <w:tcW w:type="dxa" w:w="20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PASS</w:t>
            </w:r>
          </w:p>
        </w:tc>
      </w:tr>
      <w:tr>
        <w:trPr>
          <w:cantSplit w:val="true"/>
        </w:trPr>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243B53"/>
                <w:sz w:val="17"/>
              </w:rPr>
              <w:t>Final columns</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color w:val="243B53"/>
                <w:sz w:val="17"/>
              </w:rPr>
              <w:t>50</w:t>
            </w:r>
          </w:p>
        </w:tc>
        <w:tc>
          <w:tcPr>
            <w:tcW w:type="dxa" w:w="2860"/>
            <w:tcMar>
              <w:top w:w="80" w:type="dxa"/>
              <w:start w:w="120" w:type="dxa"/>
              <w:bottom w:w="80" w:type="dxa"/>
              <w:end w:w="120" w:type="dxa"/>
            </w:tcMar>
            <w:vAlign w:val="center"/>
          </w:tcPr>
          <w:p>
            <w:pPr>
              <w:spacing w:before="0" w:after="40" w:line="252" w:lineRule="auto"/>
            </w:pPr>
            <w:r>
              <w:rPr>
                <w:rFonts w:ascii="Calibri" w:hAnsi="Calibri"/>
                <w:b w:val="0"/>
                <w:color w:val="243B53"/>
                <w:sz w:val="17"/>
              </w:rPr>
              <w:t>50</w:t>
            </w:r>
          </w:p>
        </w:tc>
        <w:tc>
          <w:tcPr>
            <w:tcW w:type="dxa" w:w="2000"/>
            <w:tcMar>
              <w:top w:w="80" w:type="dxa"/>
              <w:start w:w="120" w:type="dxa"/>
              <w:bottom w:w="80" w:type="dxa"/>
              <w:end w:w="120" w:type="dxa"/>
            </w:tcMar>
            <w:vAlign w:val="center"/>
          </w:tcPr>
          <w:p>
            <w:pPr>
              <w:spacing w:before="0" w:after="40" w:line="252" w:lineRule="auto"/>
            </w:pPr>
            <w:r>
              <w:rPr>
                <w:rFonts w:ascii="Calibri" w:hAnsi="Calibri"/>
                <w:b w:val="0"/>
                <w:color w:val="243B53"/>
                <w:sz w:val="17"/>
              </w:rPr>
              <w:t>PASS</w:t>
            </w:r>
          </w:p>
        </w:tc>
      </w:tr>
    </w:tbl>
    <w:p>
      <w:pPr>
        <w:spacing w:after="40"/>
      </w:pPr>
    </w:p>
    <w:p>
      <w:pPr>
        <w:pStyle w:val="Heading2"/>
      </w:pPr>
      <w:r>
        <w:t>5.1 Cleaning controls</w:t>
      </w:r>
    </w:p>
    <w:p>
      <w:pPr>
        <w:pStyle w:val="ListBullet"/>
        <w:widowControl/>
      </w:pPr>
      <w:r>
        <w:rPr>
          <w:i w:val="0"/>
        </w:rPr>
        <w:t>University names, countries and categorical fields are standardized while preserving all 1,120 records.</w:t>
      </w:r>
    </w:p>
    <w:p>
      <w:pPr>
        <w:pStyle w:val="ListBullet"/>
        <w:widowControl/>
      </w:pPr>
      <w:r>
        <w:rPr>
          <w:i w:val="0"/>
        </w:rPr>
        <w:t>QS and THE rank values are retained separately, then normalized independently on a 0 to 100 scale.</w:t>
      </w:r>
    </w:p>
    <w:p>
      <w:pPr>
        <w:pStyle w:val="ListBullet"/>
        <w:widowControl/>
      </w:pPr>
      <w:r>
        <w:rPr>
          <w:i w:val="0"/>
        </w:rPr>
        <w:t>No low-confidence institution match is created during Module 7. The validation consumes the verified source-stage and final datasets delivered by the earlier modules.</w:t>
      </w:r>
    </w:p>
    <w:p>
      <w:pPr>
        <w:pStyle w:val="ListBullet"/>
        <w:widowControl/>
      </w:pPr>
      <w:r>
        <w:rPr>
          <w:i w:val="0"/>
        </w:rPr>
        <w:t>Missing reported scores remain missing in source-level fields. The final KPI columns contain no missing values because the approved formulas define their required inputs and handling.</w:t>
      </w:r>
    </w:p>
    <w:p>
      <w:pPr>
        <w:pStyle w:val="ListBullet"/>
        <w:widowControl/>
      </w:pPr>
      <w:r>
        <w:rPr>
          <w:i w:val="0"/>
        </w:rPr>
        <w:t>The dataset remains a 2026 snapshot. No additional years or invented history are introduced for testing or presentation.</w:t>
      </w:r>
    </w:p>
    <w:p>
      <w:pPr>
        <w:pStyle w:val="Heading1"/>
      </w:pPr>
      <w:r>
        <w:t>6. KPI Reconciliation and Analytical Accuracy</w:t>
      </w:r>
    </w:p>
    <w:tbl>
      <w:tblPr>
        <w:tblW w:type="auto" w:w="0"/>
        <w:tblLayout w:type="fixed"/>
        <w:tblLook w:firstColumn="1" w:firstRow="1" w:lastColumn="0" w:lastRow="0" w:noHBand="0" w:noVBand="1" w:val="04A0"/>
        <w:tblLayout w:type="fixed"/>
        <w:tblW w:w="9360" w:type="dxa"/>
        <w:tblInd w:w="120" w:type="dxa"/>
      </w:tblPr>
      <w:tblGrid>
        <w:gridCol w:w="3600"/>
        <w:gridCol w:w="1100"/>
        <w:gridCol w:w="1400"/>
        <w:gridCol w:w="1400"/>
        <w:gridCol w:w="1860"/>
      </w:tblGrid>
      <w:tr>
        <w:trPr>
          <w:cantSplit w:val="true"/>
          <w:tblHeader w:val="true"/>
        </w:trPr>
        <w:tc>
          <w:tcPr>
            <w:tcW w:type="dxa" w:w="3600"/>
            <w:tcMar>
              <w:top w:w="80" w:type="dxa"/>
              <w:start w:w="120" w:type="dxa"/>
              <w:bottom w:w="80" w:type="dxa"/>
              <w:end w:w="120" w:type="dxa"/>
            </w:tcMar>
            <w:vAlign w:val="center"/>
            <w:shd w:fill="0F4C81"/>
          </w:tcPr>
          <w:p>
            <w:pPr>
              <w:spacing w:before="0" w:after="40" w:line="252" w:lineRule="auto"/>
            </w:pPr>
            <w:r>
              <w:rPr>
                <w:rFonts w:ascii="Calibri" w:hAnsi="Calibri"/>
                <w:b/>
                <w:color w:val="FFFFFF"/>
                <w:sz w:val="16"/>
              </w:rPr>
              <w:t>KPI</w:t>
            </w:r>
          </w:p>
        </w:tc>
        <w:tc>
          <w:tcPr>
            <w:tcW w:type="dxa" w:w="1100"/>
            <w:tcMar>
              <w:top w:w="80" w:type="dxa"/>
              <w:start w:w="120" w:type="dxa"/>
              <w:bottom w:w="80" w:type="dxa"/>
              <w:end w:w="120" w:type="dxa"/>
            </w:tcMar>
            <w:vAlign w:val="center"/>
            <w:shd w:fill="0F4C81"/>
          </w:tcPr>
          <w:p>
            <w:pPr>
              <w:spacing w:before="0" w:after="40" w:line="252" w:lineRule="auto"/>
            </w:pPr>
            <w:r>
              <w:rPr>
                <w:rFonts w:ascii="Calibri" w:hAnsi="Calibri"/>
                <w:b/>
                <w:color w:val="FFFFFF"/>
                <w:sz w:val="16"/>
              </w:rPr>
              <w:t>ROWS</w:t>
            </w:r>
          </w:p>
        </w:tc>
        <w:tc>
          <w:tcPr>
            <w:tcW w:type="dxa" w:w="1400"/>
            <w:tcMar>
              <w:top w:w="80" w:type="dxa"/>
              <w:start w:w="120" w:type="dxa"/>
              <w:bottom w:w="80" w:type="dxa"/>
              <w:end w:w="120" w:type="dxa"/>
            </w:tcMar>
            <w:vAlign w:val="center"/>
            <w:shd w:fill="0F4C81"/>
          </w:tcPr>
          <w:p>
            <w:pPr>
              <w:spacing w:before="0" w:after="40" w:line="252" w:lineRule="auto"/>
            </w:pPr>
            <w:r>
              <w:rPr>
                <w:rFonts w:ascii="Calibri" w:hAnsi="Calibri"/>
                <w:b/>
                <w:color w:val="FFFFFF"/>
                <w:sz w:val="16"/>
              </w:rPr>
              <w:t>MATCHING</w:t>
            </w:r>
          </w:p>
        </w:tc>
        <w:tc>
          <w:tcPr>
            <w:tcW w:type="dxa" w:w="1400"/>
            <w:tcMar>
              <w:top w:w="80" w:type="dxa"/>
              <w:start w:w="120" w:type="dxa"/>
              <w:bottom w:w="80" w:type="dxa"/>
              <w:end w:w="120" w:type="dxa"/>
            </w:tcMar>
            <w:vAlign w:val="center"/>
            <w:shd w:fill="0F4C81"/>
          </w:tcPr>
          <w:p>
            <w:pPr>
              <w:spacing w:before="0" w:after="40" w:line="252" w:lineRule="auto"/>
            </w:pPr>
            <w:r>
              <w:rPr>
                <w:rFonts w:ascii="Calibri" w:hAnsi="Calibri"/>
                <w:b/>
                <w:color w:val="FFFFFF"/>
                <w:sz w:val="16"/>
              </w:rPr>
              <w:t>ACCURACY</w:t>
            </w:r>
          </w:p>
        </w:tc>
        <w:tc>
          <w:tcPr>
            <w:tcW w:type="dxa" w:w="1860"/>
            <w:tcMar>
              <w:top w:w="80" w:type="dxa"/>
              <w:start w:w="120" w:type="dxa"/>
              <w:bottom w:w="80" w:type="dxa"/>
              <w:end w:w="120" w:type="dxa"/>
            </w:tcMar>
            <w:vAlign w:val="center"/>
            <w:shd w:fill="0F4C81"/>
          </w:tcPr>
          <w:p>
            <w:pPr>
              <w:spacing w:before="0" w:after="40" w:line="252" w:lineRule="auto"/>
            </w:pPr>
            <w:r>
              <w:rPr>
                <w:rFonts w:ascii="Calibri" w:hAnsi="Calibri"/>
                <w:b/>
                <w:color w:val="FFFFFF"/>
                <w:sz w:val="16"/>
              </w:rPr>
              <w:t>MAXIMUM DIFFERENCE</w:t>
            </w:r>
          </w:p>
        </w:tc>
      </w:tr>
      <w:tr>
        <w:trPr>
          <w:cantSplit w:val="true"/>
        </w:trPr>
        <w:tc>
          <w:tcPr>
            <w:tcW w:type="dxa" w:w="3600"/>
            <w:tcMar>
              <w:top w:w="80" w:type="dxa"/>
              <w:start w:w="120" w:type="dxa"/>
              <w:bottom w:w="80" w:type="dxa"/>
              <w:end w:w="120" w:type="dxa"/>
            </w:tcMar>
            <w:vAlign w:val="center"/>
          </w:tcPr>
          <w:p>
            <w:pPr>
              <w:spacing w:before="0" w:after="40" w:line="252" w:lineRule="auto"/>
            </w:pPr>
            <w:r>
              <w:rPr>
                <w:rFonts w:ascii="Calibri" w:hAnsi="Calibri"/>
                <w:b w:val="0"/>
                <w:color w:val="243B53"/>
                <w:sz w:val="16"/>
              </w:rPr>
              <w:t>Global Ranking Score</w:t>
            </w:r>
          </w:p>
        </w:tc>
        <w:tc>
          <w:tcPr>
            <w:tcW w:type="dxa" w:w="1100"/>
            <w:tcMar>
              <w:top w:w="80" w:type="dxa"/>
              <w:start w:w="120" w:type="dxa"/>
              <w:bottom w:w="80" w:type="dxa"/>
              <w:end w:w="120" w:type="dxa"/>
            </w:tcMar>
            <w:vAlign w:val="center"/>
          </w:tcPr>
          <w:p>
            <w:pPr>
              <w:spacing w:before="0" w:after="40" w:line="252" w:lineRule="auto"/>
            </w:pPr>
            <w:r>
              <w:rPr>
                <w:rFonts w:ascii="Calibri" w:hAnsi="Calibri"/>
                <w:b w:val="0"/>
                <w:color w:val="243B53"/>
                <w:sz w:val="16"/>
              </w:rPr>
              <w:t>1,120</w:t>
            </w:r>
          </w:p>
        </w:tc>
        <w:tc>
          <w:tcPr>
            <w:tcW w:type="dxa" w:w="1400"/>
            <w:tcMar>
              <w:top w:w="80" w:type="dxa"/>
              <w:start w:w="120" w:type="dxa"/>
              <w:bottom w:w="80" w:type="dxa"/>
              <w:end w:w="120" w:type="dxa"/>
            </w:tcMar>
            <w:vAlign w:val="center"/>
          </w:tcPr>
          <w:p>
            <w:pPr>
              <w:spacing w:before="0" w:after="40" w:line="252" w:lineRule="auto"/>
            </w:pPr>
            <w:r>
              <w:rPr>
                <w:rFonts w:ascii="Calibri" w:hAnsi="Calibri"/>
                <w:b w:val="0"/>
                <w:color w:val="243B53"/>
                <w:sz w:val="16"/>
              </w:rPr>
              <w:t>1,120</w:t>
            </w:r>
          </w:p>
        </w:tc>
        <w:tc>
          <w:tcPr>
            <w:tcW w:type="dxa" w:w="1400"/>
            <w:tcMar>
              <w:top w:w="80" w:type="dxa"/>
              <w:start w:w="120" w:type="dxa"/>
              <w:bottom w:w="80" w:type="dxa"/>
              <w:end w:w="120" w:type="dxa"/>
            </w:tcMar>
            <w:vAlign w:val="center"/>
          </w:tcPr>
          <w:p>
            <w:pPr>
              <w:spacing w:before="0" w:after="40" w:line="252" w:lineRule="auto"/>
            </w:pPr>
            <w:r>
              <w:rPr>
                <w:rFonts w:ascii="Calibri" w:hAnsi="Calibri"/>
                <w:b w:val="0"/>
                <w:color w:val="243B53"/>
                <w:sz w:val="16"/>
              </w:rPr>
              <w:t>100.00%</w:t>
            </w:r>
          </w:p>
        </w:tc>
        <w:tc>
          <w:tcPr>
            <w:tcW w:type="dxa" w:w="1860"/>
            <w:tcMar>
              <w:top w:w="80" w:type="dxa"/>
              <w:start w:w="120" w:type="dxa"/>
              <w:bottom w:w="80" w:type="dxa"/>
              <w:end w:w="120" w:type="dxa"/>
            </w:tcMar>
            <w:vAlign w:val="center"/>
          </w:tcPr>
          <w:p>
            <w:pPr>
              <w:spacing w:before="0" w:after="40" w:line="252" w:lineRule="auto"/>
            </w:pPr>
            <w:r>
              <w:rPr>
                <w:rFonts w:ascii="Calibri" w:hAnsi="Calibri"/>
                <w:b w:val="0"/>
                <w:color w:val="243B53"/>
                <w:sz w:val="16"/>
              </w:rPr>
              <w:t>0.000000</w:t>
            </w:r>
          </w:p>
        </w:tc>
      </w:tr>
      <w:tr>
        <w:trPr>
          <w:cantSplit w:val="true"/>
        </w:trPr>
        <w:tc>
          <w:tcPr>
            <w:tcW w:type="dxa" w:w="36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Research Impact Score</w:t>
            </w:r>
          </w:p>
        </w:tc>
        <w:tc>
          <w:tcPr>
            <w:tcW w:type="dxa" w:w="11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1,120</w:t>
            </w:r>
          </w:p>
        </w:tc>
        <w:tc>
          <w:tcPr>
            <w:tcW w:type="dxa" w:w="14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1,120</w:t>
            </w:r>
          </w:p>
        </w:tc>
        <w:tc>
          <w:tcPr>
            <w:tcW w:type="dxa" w:w="14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100.00%</w:t>
            </w:r>
          </w:p>
        </w:tc>
        <w:tc>
          <w:tcPr>
            <w:tcW w:type="dxa" w:w="18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0.000000</w:t>
            </w:r>
          </w:p>
        </w:tc>
      </w:tr>
      <w:tr>
        <w:trPr>
          <w:cantSplit w:val="true"/>
        </w:trPr>
        <w:tc>
          <w:tcPr>
            <w:tcW w:type="dxa" w:w="3600"/>
            <w:tcMar>
              <w:top w:w="80" w:type="dxa"/>
              <w:start w:w="120" w:type="dxa"/>
              <w:bottom w:w="80" w:type="dxa"/>
              <w:end w:w="120" w:type="dxa"/>
            </w:tcMar>
            <w:vAlign w:val="center"/>
          </w:tcPr>
          <w:p>
            <w:pPr>
              <w:spacing w:before="0" w:after="40" w:line="252" w:lineRule="auto"/>
            </w:pPr>
            <w:r>
              <w:rPr>
                <w:rFonts w:ascii="Calibri" w:hAnsi="Calibri"/>
                <w:b w:val="0"/>
                <w:color w:val="243B53"/>
                <w:sz w:val="16"/>
              </w:rPr>
              <w:t>Faculty to Student Ratio</w:t>
            </w:r>
          </w:p>
        </w:tc>
        <w:tc>
          <w:tcPr>
            <w:tcW w:type="dxa" w:w="1100"/>
            <w:tcMar>
              <w:top w:w="80" w:type="dxa"/>
              <w:start w:w="120" w:type="dxa"/>
              <w:bottom w:w="80" w:type="dxa"/>
              <w:end w:w="120" w:type="dxa"/>
            </w:tcMar>
            <w:vAlign w:val="center"/>
          </w:tcPr>
          <w:p>
            <w:pPr>
              <w:spacing w:before="0" w:after="40" w:line="252" w:lineRule="auto"/>
            </w:pPr>
            <w:r>
              <w:rPr>
                <w:rFonts w:ascii="Calibri" w:hAnsi="Calibri"/>
                <w:b w:val="0"/>
                <w:color w:val="243B53"/>
                <w:sz w:val="16"/>
              </w:rPr>
              <w:t>1,120</w:t>
            </w:r>
          </w:p>
        </w:tc>
        <w:tc>
          <w:tcPr>
            <w:tcW w:type="dxa" w:w="1400"/>
            <w:tcMar>
              <w:top w:w="80" w:type="dxa"/>
              <w:start w:w="120" w:type="dxa"/>
              <w:bottom w:w="80" w:type="dxa"/>
              <w:end w:w="120" w:type="dxa"/>
            </w:tcMar>
            <w:vAlign w:val="center"/>
          </w:tcPr>
          <w:p>
            <w:pPr>
              <w:spacing w:before="0" w:after="40" w:line="252" w:lineRule="auto"/>
            </w:pPr>
            <w:r>
              <w:rPr>
                <w:rFonts w:ascii="Calibri" w:hAnsi="Calibri"/>
                <w:b w:val="0"/>
                <w:color w:val="243B53"/>
                <w:sz w:val="16"/>
              </w:rPr>
              <w:t>1,120</w:t>
            </w:r>
          </w:p>
        </w:tc>
        <w:tc>
          <w:tcPr>
            <w:tcW w:type="dxa" w:w="1400"/>
            <w:tcMar>
              <w:top w:w="80" w:type="dxa"/>
              <w:start w:w="120" w:type="dxa"/>
              <w:bottom w:w="80" w:type="dxa"/>
              <w:end w:w="120" w:type="dxa"/>
            </w:tcMar>
            <w:vAlign w:val="center"/>
          </w:tcPr>
          <w:p>
            <w:pPr>
              <w:spacing w:before="0" w:after="40" w:line="252" w:lineRule="auto"/>
            </w:pPr>
            <w:r>
              <w:rPr>
                <w:rFonts w:ascii="Calibri" w:hAnsi="Calibri"/>
                <w:b w:val="0"/>
                <w:color w:val="243B53"/>
                <w:sz w:val="16"/>
              </w:rPr>
              <w:t>100.00%</w:t>
            </w:r>
          </w:p>
        </w:tc>
        <w:tc>
          <w:tcPr>
            <w:tcW w:type="dxa" w:w="1860"/>
            <w:tcMar>
              <w:top w:w="80" w:type="dxa"/>
              <w:start w:w="120" w:type="dxa"/>
              <w:bottom w:w="80" w:type="dxa"/>
              <w:end w:w="120" w:type="dxa"/>
            </w:tcMar>
            <w:vAlign w:val="center"/>
          </w:tcPr>
          <w:p>
            <w:pPr>
              <w:spacing w:before="0" w:after="40" w:line="252" w:lineRule="auto"/>
            </w:pPr>
            <w:r>
              <w:rPr>
                <w:rFonts w:ascii="Calibri" w:hAnsi="Calibri"/>
                <w:b w:val="0"/>
                <w:color w:val="243B53"/>
                <w:sz w:val="16"/>
              </w:rPr>
              <w:t>0.000000</w:t>
            </w:r>
          </w:p>
        </w:tc>
      </w:tr>
      <w:tr>
        <w:trPr>
          <w:cantSplit w:val="true"/>
        </w:trPr>
        <w:tc>
          <w:tcPr>
            <w:tcW w:type="dxa" w:w="36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International Student Percentage</w:t>
            </w:r>
          </w:p>
        </w:tc>
        <w:tc>
          <w:tcPr>
            <w:tcW w:type="dxa" w:w="11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1,120</w:t>
            </w:r>
          </w:p>
        </w:tc>
        <w:tc>
          <w:tcPr>
            <w:tcW w:type="dxa" w:w="14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1,120</w:t>
            </w:r>
          </w:p>
        </w:tc>
        <w:tc>
          <w:tcPr>
            <w:tcW w:type="dxa" w:w="14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100.00%</w:t>
            </w:r>
          </w:p>
        </w:tc>
        <w:tc>
          <w:tcPr>
            <w:tcW w:type="dxa" w:w="18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0.000000</w:t>
            </w:r>
          </w:p>
        </w:tc>
      </w:tr>
      <w:tr>
        <w:trPr>
          <w:cantSplit w:val="true"/>
        </w:trPr>
        <w:tc>
          <w:tcPr>
            <w:tcW w:type="dxa" w:w="3600"/>
            <w:tcMar>
              <w:top w:w="80" w:type="dxa"/>
              <w:start w:w="120" w:type="dxa"/>
              <w:bottom w:w="80" w:type="dxa"/>
              <w:end w:w="120" w:type="dxa"/>
            </w:tcMar>
            <w:vAlign w:val="center"/>
          </w:tcPr>
          <w:p>
            <w:pPr>
              <w:spacing w:before="0" w:after="40" w:line="252" w:lineRule="auto"/>
            </w:pPr>
            <w:r>
              <w:rPr>
                <w:rFonts w:ascii="Calibri" w:hAnsi="Calibri"/>
                <w:b w:val="0"/>
                <w:color w:val="243B53"/>
                <w:sz w:val="16"/>
              </w:rPr>
              <w:t>Academic Reputation Score</w:t>
            </w:r>
          </w:p>
        </w:tc>
        <w:tc>
          <w:tcPr>
            <w:tcW w:type="dxa" w:w="1100"/>
            <w:tcMar>
              <w:top w:w="80" w:type="dxa"/>
              <w:start w:w="120" w:type="dxa"/>
              <w:bottom w:w="80" w:type="dxa"/>
              <w:end w:w="120" w:type="dxa"/>
            </w:tcMar>
            <w:vAlign w:val="center"/>
          </w:tcPr>
          <w:p>
            <w:pPr>
              <w:spacing w:before="0" w:after="40" w:line="252" w:lineRule="auto"/>
            </w:pPr>
            <w:r>
              <w:rPr>
                <w:rFonts w:ascii="Calibri" w:hAnsi="Calibri"/>
                <w:b w:val="0"/>
                <w:color w:val="243B53"/>
                <w:sz w:val="16"/>
              </w:rPr>
              <w:t>1,120</w:t>
            </w:r>
          </w:p>
        </w:tc>
        <w:tc>
          <w:tcPr>
            <w:tcW w:type="dxa" w:w="1400"/>
            <w:tcMar>
              <w:top w:w="80" w:type="dxa"/>
              <w:start w:w="120" w:type="dxa"/>
              <w:bottom w:w="80" w:type="dxa"/>
              <w:end w:w="120" w:type="dxa"/>
            </w:tcMar>
            <w:vAlign w:val="center"/>
          </w:tcPr>
          <w:p>
            <w:pPr>
              <w:spacing w:before="0" w:after="40" w:line="252" w:lineRule="auto"/>
            </w:pPr>
            <w:r>
              <w:rPr>
                <w:rFonts w:ascii="Calibri" w:hAnsi="Calibri"/>
                <w:b w:val="0"/>
                <w:color w:val="243B53"/>
                <w:sz w:val="16"/>
              </w:rPr>
              <w:t>1,120</w:t>
            </w:r>
          </w:p>
        </w:tc>
        <w:tc>
          <w:tcPr>
            <w:tcW w:type="dxa" w:w="1400"/>
            <w:tcMar>
              <w:top w:w="80" w:type="dxa"/>
              <w:start w:w="120" w:type="dxa"/>
              <w:bottom w:w="80" w:type="dxa"/>
              <w:end w:w="120" w:type="dxa"/>
            </w:tcMar>
            <w:vAlign w:val="center"/>
          </w:tcPr>
          <w:p>
            <w:pPr>
              <w:spacing w:before="0" w:after="40" w:line="252" w:lineRule="auto"/>
            </w:pPr>
            <w:r>
              <w:rPr>
                <w:rFonts w:ascii="Calibri" w:hAnsi="Calibri"/>
                <w:b w:val="0"/>
                <w:color w:val="243B53"/>
                <w:sz w:val="16"/>
              </w:rPr>
              <w:t>100.00%</w:t>
            </w:r>
          </w:p>
        </w:tc>
        <w:tc>
          <w:tcPr>
            <w:tcW w:type="dxa" w:w="1860"/>
            <w:tcMar>
              <w:top w:w="80" w:type="dxa"/>
              <w:start w:w="120" w:type="dxa"/>
              <w:bottom w:w="80" w:type="dxa"/>
              <w:end w:w="120" w:type="dxa"/>
            </w:tcMar>
            <w:vAlign w:val="center"/>
          </w:tcPr>
          <w:p>
            <w:pPr>
              <w:spacing w:before="0" w:after="40" w:line="252" w:lineRule="auto"/>
            </w:pPr>
            <w:r>
              <w:rPr>
                <w:rFonts w:ascii="Calibri" w:hAnsi="Calibri"/>
                <w:b w:val="0"/>
                <w:color w:val="243B53"/>
                <w:sz w:val="16"/>
              </w:rPr>
              <w:t>0.000000</w:t>
            </w:r>
          </w:p>
        </w:tc>
      </w:tr>
      <w:tr>
        <w:trPr>
          <w:cantSplit w:val="true"/>
        </w:trPr>
        <w:tc>
          <w:tcPr>
            <w:tcW w:type="dxa" w:w="36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Research Productivity Index</w:t>
            </w:r>
          </w:p>
        </w:tc>
        <w:tc>
          <w:tcPr>
            <w:tcW w:type="dxa" w:w="11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1,120</w:t>
            </w:r>
          </w:p>
        </w:tc>
        <w:tc>
          <w:tcPr>
            <w:tcW w:type="dxa" w:w="14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1,120</w:t>
            </w:r>
          </w:p>
        </w:tc>
        <w:tc>
          <w:tcPr>
            <w:tcW w:type="dxa" w:w="14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100.00%</w:t>
            </w:r>
          </w:p>
        </w:tc>
        <w:tc>
          <w:tcPr>
            <w:tcW w:type="dxa" w:w="18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0.000000</w:t>
            </w:r>
          </w:p>
        </w:tc>
      </w:tr>
    </w:tbl>
    <w:p>
      <w:pPr>
        <w:spacing w:after="40"/>
      </w:pPr>
    </w:p>
    <w:p>
      <w:pPr>
        <w:widowControl/>
      </w:pPr>
      <w:r>
        <w:rPr>
          <w:i w:val="0"/>
        </w:rPr>
        <w:t>The reconciliation performs 6,720 direct row-KPI comparisons. All comparisons match within the strict numerical tolerance, producing a maximum absolute difference of zero for every KPI.</w:t>
      </w:r>
    </w:p>
    <w:p>
      <w:pPr>
        <w:pStyle w:val="Heading2"/>
      </w:pPr>
      <w:r>
        <w:t>6.1 Formula control</w:t>
      </w:r>
    </w:p>
    <w:tbl>
      <w:tblPr>
        <w:tblW w:type="auto" w:w="0"/>
        <w:tblLayout w:type="fixed"/>
        <w:tblLook w:firstColumn="1" w:firstRow="1" w:lastColumn="0" w:lastRow="0" w:noHBand="0" w:noVBand="1" w:val="04A0"/>
        <w:tblLayout w:type="fixed"/>
        <w:tblW w:w="9360" w:type="dxa"/>
        <w:tblInd w:w="120" w:type="dxa"/>
      </w:tblPr>
      <w:tblGrid>
        <w:gridCol w:w="2500"/>
        <w:gridCol w:w="3860"/>
        <w:gridCol w:w="3000"/>
      </w:tblGrid>
      <w:tr>
        <w:trPr>
          <w:cantSplit w:val="true"/>
          <w:tblHeader w:val="true"/>
        </w:trPr>
        <w:tc>
          <w:tcPr>
            <w:tcW w:type="dxa" w:w="2500"/>
            <w:tcMar>
              <w:top w:w="80" w:type="dxa"/>
              <w:start w:w="120" w:type="dxa"/>
              <w:bottom w:w="80" w:type="dxa"/>
              <w:end w:w="120" w:type="dxa"/>
            </w:tcMar>
            <w:vAlign w:val="center"/>
            <w:shd w:fill="0F4C81"/>
          </w:tcPr>
          <w:p>
            <w:pPr>
              <w:spacing w:before="0" w:after="40" w:line="252" w:lineRule="auto"/>
            </w:pPr>
            <w:r>
              <w:rPr>
                <w:rFonts w:ascii="Calibri" w:hAnsi="Calibri"/>
                <w:b/>
                <w:color w:val="FFFFFF"/>
                <w:sz w:val="16"/>
              </w:rPr>
              <w:t>KPI</w:t>
            </w:r>
          </w:p>
        </w:tc>
        <w:tc>
          <w:tcPr>
            <w:tcW w:type="dxa" w:w="3860"/>
            <w:tcMar>
              <w:top w:w="80" w:type="dxa"/>
              <w:start w:w="120" w:type="dxa"/>
              <w:bottom w:w="80" w:type="dxa"/>
              <w:end w:w="120" w:type="dxa"/>
            </w:tcMar>
            <w:vAlign w:val="center"/>
            <w:shd w:fill="0F4C81"/>
          </w:tcPr>
          <w:p>
            <w:pPr>
              <w:spacing w:before="0" w:after="40" w:line="252" w:lineRule="auto"/>
            </w:pPr>
            <w:r>
              <w:rPr>
                <w:rFonts w:ascii="Calibri" w:hAnsi="Calibri"/>
                <w:b/>
                <w:color w:val="FFFFFF"/>
                <w:sz w:val="16"/>
              </w:rPr>
              <w:t>AUDITABLE FORMULA</w:t>
            </w:r>
          </w:p>
        </w:tc>
        <w:tc>
          <w:tcPr>
            <w:tcW w:type="dxa" w:w="3000"/>
            <w:tcMar>
              <w:top w:w="80" w:type="dxa"/>
              <w:start w:w="120" w:type="dxa"/>
              <w:bottom w:w="80" w:type="dxa"/>
              <w:end w:w="120" w:type="dxa"/>
            </w:tcMar>
            <w:vAlign w:val="center"/>
            <w:shd w:fill="0F4C81"/>
          </w:tcPr>
          <w:p>
            <w:pPr>
              <w:spacing w:before="0" w:after="40" w:line="252" w:lineRule="auto"/>
            </w:pPr>
            <w:r>
              <w:rPr>
                <w:rFonts w:ascii="Calibri" w:hAnsi="Calibri"/>
                <w:b/>
                <w:color w:val="FFFFFF"/>
                <w:sz w:val="16"/>
              </w:rPr>
              <w:t>INTERPRETATION</w:t>
            </w:r>
          </w:p>
        </w:tc>
      </w:tr>
      <w:tr>
        <w:trPr>
          <w:cantSplit w:val="true"/>
        </w:trPr>
        <w:tc>
          <w:tcPr>
            <w:tcW w:type="dxa" w:w="2500"/>
            <w:tcMar>
              <w:top w:w="80" w:type="dxa"/>
              <w:start w:w="120" w:type="dxa"/>
              <w:bottom w:w="80" w:type="dxa"/>
              <w:end w:w="120" w:type="dxa"/>
            </w:tcMar>
            <w:vAlign w:val="center"/>
          </w:tcPr>
          <w:p>
            <w:pPr>
              <w:spacing w:before="0" w:after="40" w:line="252" w:lineRule="auto"/>
            </w:pPr>
            <w:r>
              <w:rPr>
                <w:rFonts w:ascii="Calibri" w:hAnsi="Calibri"/>
                <w:b w:val="0"/>
                <w:color w:val="243B53"/>
                <w:sz w:val="16"/>
              </w:rPr>
              <w:t>Global Ranking Score</w:t>
            </w:r>
          </w:p>
        </w:tc>
        <w:tc>
          <w:tcPr>
            <w:tcW w:type="dxa" w:w="3860"/>
            <w:tcMar>
              <w:top w:w="80" w:type="dxa"/>
              <w:start w:w="120" w:type="dxa"/>
              <w:bottom w:w="80" w:type="dxa"/>
              <w:end w:w="120" w:type="dxa"/>
            </w:tcMar>
            <w:vAlign w:val="center"/>
          </w:tcPr>
          <w:p>
            <w:pPr>
              <w:spacing w:before="0" w:after="40" w:line="252" w:lineRule="auto"/>
            </w:pPr>
            <w:r>
              <w:rPr>
                <w:rFonts w:ascii="Calibri" w:hAnsi="Calibri"/>
                <w:b w:val="0"/>
                <w:color w:val="243B53"/>
                <w:sz w:val="16"/>
              </w:rPr>
              <w:t>Average of normalized QS and THE ranks</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243B53"/>
                <w:sz w:val="16"/>
              </w:rPr>
              <w:t>Higher values indicate stronger combined ranking performance.</w:t>
            </w:r>
          </w:p>
        </w:tc>
      </w:tr>
      <w:tr>
        <w:trPr>
          <w:cantSplit w:val="true"/>
        </w:trPr>
        <w:tc>
          <w:tcPr>
            <w:tcW w:type="dxa" w:w="25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Research Impact Score</w:t>
            </w:r>
          </w:p>
        </w:tc>
        <w:tc>
          <w:tcPr>
            <w:tcW w:type="dxa" w:w="38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35% citations + 45% research quality + 20% industry impact</w:t>
            </w:r>
          </w:p>
        </w:tc>
        <w:tc>
          <w:tcPr>
            <w:tcW w:type="dxa" w:w="30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Measures academic influence and practical impact.</w:t>
            </w:r>
          </w:p>
        </w:tc>
      </w:tr>
      <w:tr>
        <w:trPr>
          <w:cantSplit w:val="true"/>
        </w:trPr>
        <w:tc>
          <w:tcPr>
            <w:tcW w:type="dxa" w:w="2500"/>
            <w:tcMar>
              <w:top w:w="80" w:type="dxa"/>
              <w:start w:w="120" w:type="dxa"/>
              <w:bottom w:w="80" w:type="dxa"/>
              <w:end w:w="120" w:type="dxa"/>
            </w:tcMar>
            <w:vAlign w:val="center"/>
          </w:tcPr>
          <w:p>
            <w:pPr>
              <w:spacing w:before="0" w:after="40" w:line="252" w:lineRule="auto"/>
            </w:pPr>
            <w:r>
              <w:rPr>
                <w:rFonts w:ascii="Calibri" w:hAnsi="Calibri"/>
                <w:b w:val="0"/>
                <w:color w:val="243B53"/>
                <w:sz w:val="16"/>
              </w:rPr>
              <w:t>Faculty-to-Student Ratio</w:t>
            </w:r>
          </w:p>
        </w:tc>
        <w:tc>
          <w:tcPr>
            <w:tcW w:type="dxa" w:w="3860"/>
            <w:tcMar>
              <w:top w:w="80" w:type="dxa"/>
              <w:start w:w="120" w:type="dxa"/>
              <w:bottom w:w="80" w:type="dxa"/>
              <w:end w:w="120" w:type="dxa"/>
            </w:tcMar>
            <w:vAlign w:val="center"/>
          </w:tcPr>
          <w:p>
            <w:pPr>
              <w:spacing w:before="0" w:after="40" w:line="252" w:lineRule="auto"/>
            </w:pPr>
            <w:r>
              <w:rPr>
                <w:rFonts w:ascii="Calibri" w:hAnsi="Calibri"/>
                <w:b w:val="0"/>
                <w:color w:val="243B53"/>
                <w:sz w:val="16"/>
              </w:rPr>
              <w:t>1 / students-to-staff ratio</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243B53"/>
                <w:sz w:val="16"/>
              </w:rPr>
              <w:t>Higher values represent greater faculty availability.</w:t>
            </w:r>
          </w:p>
        </w:tc>
      </w:tr>
      <w:tr>
        <w:trPr>
          <w:cantSplit w:val="true"/>
        </w:trPr>
        <w:tc>
          <w:tcPr>
            <w:tcW w:type="dxa" w:w="25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International Student Percentage</w:t>
            </w:r>
          </w:p>
        </w:tc>
        <w:tc>
          <w:tcPr>
            <w:tcW w:type="dxa" w:w="38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International student share x 100</w:t>
            </w:r>
          </w:p>
        </w:tc>
        <w:tc>
          <w:tcPr>
            <w:tcW w:type="dxa" w:w="30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Reports international participation in percentage points.</w:t>
            </w:r>
          </w:p>
        </w:tc>
      </w:tr>
      <w:tr>
        <w:trPr>
          <w:cantSplit w:val="true"/>
        </w:trPr>
        <w:tc>
          <w:tcPr>
            <w:tcW w:type="dxa" w:w="2500"/>
            <w:tcMar>
              <w:top w:w="80" w:type="dxa"/>
              <w:start w:w="120" w:type="dxa"/>
              <w:bottom w:w="80" w:type="dxa"/>
              <w:end w:w="120" w:type="dxa"/>
            </w:tcMar>
            <w:vAlign w:val="center"/>
          </w:tcPr>
          <w:p>
            <w:pPr>
              <w:spacing w:before="0" w:after="40" w:line="252" w:lineRule="auto"/>
            </w:pPr>
            <w:r>
              <w:rPr>
                <w:rFonts w:ascii="Calibri" w:hAnsi="Calibri"/>
                <w:b w:val="0"/>
                <w:color w:val="243B53"/>
                <w:sz w:val="16"/>
              </w:rPr>
              <w:t>Academic Reputation Score</w:t>
            </w:r>
          </w:p>
        </w:tc>
        <w:tc>
          <w:tcPr>
            <w:tcW w:type="dxa" w:w="3860"/>
            <w:tcMar>
              <w:top w:w="80" w:type="dxa"/>
              <w:start w:w="120" w:type="dxa"/>
              <w:bottom w:w="80" w:type="dxa"/>
              <w:end w:w="120" w:type="dxa"/>
            </w:tcMar>
            <w:vAlign w:val="center"/>
          </w:tcPr>
          <w:p>
            <w:pPr>
              <w:spacing w:before="0" w:after="40" w:line="252" w:lineRule="auto"/>
            </w:pPr>
            <w:r>
              <w:rPr>
                <w:rFonts w:ascii="Calibri" w:hAnsi="Calibri"/>
                <w:b w:val="0"/>
                <w:color w:val="243B53"/>
                <w:sz w:val="16"/>
              </w:rPr>
              <w:t>Supplied academic-reputation score</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243B53"/>
                <w:sz w:val="16"/>
              </w:rPr>
              <w:t>Preserves the source value without transformation.</w:t>
            </w:r>
          </w:p>
        </w:tc>
      </w:tr>
      <w:tr>
        <w:trPr>
          <w:cantSplit w:val="true"/>
        </w:trPr>
        <w:tc>
          <w:tcPr>
            <w:tcW w:type="dxa" w:w="25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Research Productivity Index</w:t>
            </w:r>
          </w:p>
        </w:tc>
        <w:tc>
          <w:tcPr>
            <w:tcW w:type="dxa" w:w="38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30% quality + 25% environment + 20% citations + 15% network + 10% industry</w:t>
            </w:r>
          </w:p>
        </w:tc>
        <w:tc>
          <w:tcPr>
            <w:tcW w:type="dxa" w:w="30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Weighted indicator proxy, not a publication-count measure.</w:t>
            </w:r>
          </w:p>
        </w:tc>
      </w:tr>
    </w:tbl>
    <w:p>
      <w:pPr>
        <w:spacing w:after="40"/>
      </w:pPr>
    </w:p>
    <w:tbl>
      <w:tblPr>
        <w:tblW w:type="auto" w:w="0"/>
        <w:tblLayout w:type="fixed"/>
        <w:tblLook w:firstColumn="1" w:firstRow="1" w:lastColumn="0" w:lastRow="0" w:noHBand="0" w:noVBand="1" w:val="04A0"/>
        <w:tblLayout w:type="fixed"/>
        <w:tblW w:w="9360" w:type="dxa"/>
        <w:tblInd w:w="120" w:type="dxa"/>
      </w:tblPr>
      <w:tblGrid>
        <w:gridCol w:w="9360"/>
      </w:tblGrid>
      <w:tr>
        <w:trPr>
          <w:cantSplit w:val="true"/>
          <w:tblHeader w:val="true"/>
        </w:trPr>
        <w:tc>
          <w:tcPr>
            <w:tcW w:type="dxa" w:w="9360"/>
            <w:tcMar>
              <w:top w:w="80" w:type="dxa"/>
              <w:start w:w="120" w:type="dxa"/>
              <w:bottom w:w="80" w:type="dxa"/>
              <w:end w:w="120" w:type="dxa"/>
            </w:tcMar>
            <w:vAlign w:val="center"/>
            <w:shd w:fill="E9C46A"/>
          </w:tcPr>
          <w:p>
            <w:pPr>
              <w:spacing w:before="0" w:after="40" w:line="252" w:lineRule="auto"/>
            </w:pPr>
            <w:r>
              <w:rPr>
                <w:rFonts w:ascii="Calibri" w:hAnsi="Calibri"/>
                <w:b/>
                <w:color w:val="FFFFFF"/>
                <w:sz w:val="19"/>
              </w:rPr>
              <w:t>RESEARCH LIMITATION</w:t>
            </w:r>
          </w:p>
        </w:tc>
      </w:tr>
      <w:tr>
        <w:trPr>
          <w:cantSplit w:val="true"/>
        </w:trPr>
        <w:tc>
          <w:tcPr>
            <w:tcW w:type="dxa" w:w="9360"/>
            <w:tcMar>
              <w:top w:w="80" w:type="dxa"/>
              <w:start w:w="120" w:type="dxa"/>
              <w:bottom w:w="80" w:type="dxa"/>
              <w:end w:w="120" w:type="dxa"/>
            </w:tcMar>
            <w:vAlign w:val="center"/>
            <w:shd w:fill="FFF6DD"/>
          </w:tcPr>
          <w:p>
            <w:pPr>
              <w:spacing w:before="0" w:after="40" w:line="252" w:lineRule="auto"/>
            </w:pPr>
            <w:r>
              <w:rPr>
                <w:rFonts w:ascii="Calibri" w:hAnsi="Calibri"/>
                <w:b w:val="0"/>
                <w:color w:val="243B53"/>
                <w:sz w:val="19"/>
              </w:rPr>
              <w:t>The source contains no publication-count field. The Research Productivity Index must always be described as a weighted performance proxy. The release contains no invented publication total.</w:t>
            </w:r>
          </w:p>
        </w:tc>
      </w:tr>
    </w:tbl>
    <w:p>
      <w:pPr>
        <w:spacing w:after="40"/>
      </w:pPr>
    </w:p>
    <w:p>
      <w:pPr>
        <w:pStyle w:val="Heading1"/>
      </w:pPr>
      <w:r>
        <w:t>7. Semantic-Model and Portability Testing</w:t>
      </w:r>
    </w:p>
    <w:tbl>
      <w:tblPr>
        <w:tblW w:type="auto" w:w="0"/>
        <w:tblLayout w:type="fixed"/>
        <w:tblLook w:firstColumn="1" w:firstRow="1" w:lastColumn="0" w:lastRow="0" w:noHBand="0" w:noVBand="1" w:val="04A0"/>
        <w:tblLayout w:type="fixed"/>
        <w:tblW w:w="9360" w:type="dxa"/>
        <w:tblInd w:w="120" w:type="dxa"/>
      </w:tblPr>
      <w:tblGrid>
        <w:gridCol w:w="3000"/>
        <w:gridCol w:w="2450"/>
        <w:gridCol w:w="3910"/>
      </w:tblGrid>
      <w:tr>
        <w:trPr>
          <w:cantSplit w:val="true"/>
          <w:tblHeader w:val="true"/>
        </w:trPr>
        <w:tc>
          <w:tcPr>
            <w:tcW w:type="dxa" w:w="3000"/>
            <w:tcMar>
              <w:top w:w="80" w:type="dxa"/>
              <w:start w:w="120" w:type="dxa"/>
              <w:bottom w:w="80" w:type="dxa"/>
              <w:end w:w="120" w:type="dxa"/>
            </w:tcMar>
            <w:vAlign w:val="center"/>
            <w:shd w:fill="0F4C81"/>
          </w:tcPr>
          <w:p>
            <w:pPr>
              <w:spacing w:before="0" w:after="40" w:line="252" w:lineRule="auto"/>
            </w:pPr>
            <w:r>
              <w:rPr>
                <w:rFonts w:ascii="Calibri" w:hAnsi="Calibri"/>
                <w:b/>
                <w:color w:val="FFFFFF"/>
                <w:sz w:val="17"/>
              </w:rPr>
              <w:t>MODEL CONTROL</w:t>
            </w:r>
          </w:p>
        </w:tc>
        <w:tc>
          <w:tcPr>
            <w:tcW w:type="dxa" w:w="2450"/>
            <w:tcMar>
              <w:top w:w="80" w:type="dxa"/>
              <w:start w:w="120" w:type="dxa"/>
              <w:bottom w:w="80" w:type="dxa"/>
              <w:end w:w="120" w:type="dxa"/>
            </w:tcMar>
            <w:vAlign w:val="center"/>
            <w:shd w:fill="0F4C81"/>
          </w:tcPr>
          <w:p>
            <w:pPr>
              <w:spacing w:before="0" w:after="40" w:line="252" w:lineRule="auto"/>
            </w:pPr>
            <w:r>
              <w:rPr>
                <w:rFonts w:ascii="Calibri" w:hAnsi="Calibri"/>
                <w:b/>
                <w:color w:val="FFFFFF"/>
                <w:sz w:val="17"/>
              </w:rPr>
              <w:t>EXPECTED</w:t>
            </w:r>
          </w:p>
        </w:tc>
        <w:tc>
          <w:tcPr>
            <w:tcW w:type="dxa" w:w="3910"/>
            <w:tcMar>
              <w:top w:w="80" w:type="dxa"/>
              <w:start w:w="120" w:type="dxa"/>
              <w:bottom w:w="80" w:type="dxa"/>
              <w:end w:w="120" w:type="dxa"/>
            </w:tcMar>
            <w:vAlign w:val="center"/>
            <w:shd w:fill="0F4C81"/>
          </w:tcPr>
          <w:p>
            <w:pPr>
              <w:spacing w:before="0" w:after="40" w:line="252" w:lineRule="auto"/>
            </w:pPr>
            <w:r>
              <w:rPr>
                <w:rFonts w:ascii="Calibri" w:hAnsi="Calibri"/>
                <w:b/>
                <w:color w:val="FFFFFF"/>
                <w:sz w:val="17"/>
              </w:rPr>
              <w:t>OBSERVED</w:t>
            </w:r>
          </w:p>
        </w:tc>
      </w:tr>
      <w:tr>
        <w:trPr>
          <w:cantSplit w:val="true"/>
        </w:trPr>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243B53"/>
                <w:sz w:val="17"/>
              </w:rPr>
              <w:t>DAX measures</w:t>
            </w:r>
          </w:p>
        </w:tc>
        <w:tc>
          <w:tcPr>
            <w:tcW w:type="dxa" w:w="2450"/>
            <w:tcMar>
              <w:top w:w="80" w:type="dxa"/>
              <w:start w:w="120" w:type="dxa"/>
              <w:bottom w:w="80" w:type="dxa"/>
              <w:end w:w="120" w:type="dxa"/>
            </w:tcMar>
            <w:vAlign w:val="center"/>
          </w:tcPr>
          <w:p>
            <w:pPr>
              <w:spacing w:before="0" w:after="40" w:line="252" w:lineRule="auto"/>
            </w:pPr>
            <w:r>
              <w:rPr>
                <w:rFonts w:ascii="Calibri" w:hAnsi="Calibri"/>
                <w:b w:val="0"/>
                <w:color w:val="243B53"/>
                <w:sz w:val="17"/>
              </w:rPr>
              <w:t>35</w:t>
            </w:r>
          </w:p>
        </w:tc>
        <w:tc>
          <w:tcPr>
            <w:tcW w:type="dxa" w:w="3910"/>
            <w:tcMar>
              <w:top w:w="80" w:type="dxa"/>
              <w:start w:w="120" w:type="dxa"/>
              <w:bottom w:w="80" w:type="dxa"/>
              <w:end w:w="120" w:type="dxa"/>
            </w:tcMar>
            <w:vAlign w:val="center"/>
          </w:tcPr>
          <w:p>
            <w:pPr>
              <w:spacing w:before="0" w:after="40" w:line="252" w:lineRule="auto"/>
            </w:pPr>
            <w:r>
              <w:rPr>
                <w:rFonts w:ascii="Calibri" w:hAnsi="Calibri"/>
                <w:b w:val="0"/>
                <w:color w:val="243B53"/>
                <w:sz w:val="17"/>
              </w:rPr>
              <w:t>35</w:t>
            </w:r>
          </w:p>
        </w:tc>
      </w:tr>
      <w:tr>
        <w:trPr>
          <w:cantSplit w:val="true"/>
        </w:trPr>
        <w:tc>
          <w:tcPr>
            <w:tcW w:type="dxa" w:w="30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Imported fields</w:t>
            </w:r>
          </w:p>
        </w:tc>
        <w:tc>
          <w:tcPr>
            <w:tcW w:type="dxa" w:w="245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35</w:t>
            </w:r>
          </w:p>
        </w:tc>
        <w:tc>
          <w:tcPr>
            <w:tcW w:type="dxa" w:w="391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35</w:t>
            </w:r>
          </w:p>
        </w:tc>
      </w:tr>
      <w:tr>
        <w:trPr>
          <w:cantSplit w:val="true"/>
        </w:trPr>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243B53"/>
                <w:sz w:val="17"/>
              </w:rPr>
              <w:t>Active projections</w:t>
            </w:r>
          </w:p>
        </w:tc>
        <w:tc>
          <w:tcPr>
            <w:tcW w:type="dxa" w:w="2450"/>
            <w:tcMar>
              <w:top w:w="80" w:type="dxa"/>
              <w:start w:w="120" w:type="dxa"/>
              <w:bottom w:w="80" w:type="dxa"/>
              <w:end w:w="120" w:type="dxa"/>
            </w:tcMar>
            <w:vAlign w:val="center"/>
          </w:tcPr>
          <w:p>
            <w:pPr>
              <w:spacing w:before="0" w:after="40" w:line="252" w:lineRule="auto"/>
            </w:pPr>
            <w:r>
              <w:rPr>
                <w:rFonts w:ascii="Calibri" w:hAnsi="Calibri"/>
                <w:b w:val="0"/>
                <w:color w:val="243B53"/>
                <w:sz w:val="17"/>
              </w:rPr>
              <w:t>310</w:t>
            </w:r>
          </w:p>
        </w:tc>
        <w:tc>
          <w:tcPr>
            <w:tcW w:type="dxa" w:w="3910"/>
            <w:tcMar>
              <w:top w:w="80" w:type="dxa"/>
              <w:start w:w="120" w:type="dxa"/>
              <w:bottom w:w="80" w:type="dxa"/>
              <w:end w:w="120" w:type="dxa"/>
            </w:tcMar>
            <w:vAlign w:val="center"/>
          </w:tcPr>
          <w:p>
            <w:pPr>
              <w:spacing w:before="0" w:after="40" w:line="252" w:lineRule="auto"/>
            </w:pPr>
            <w:r>
              <w:rPr>
                <w:rFonts w:ascii="Calibri" w:hAnsi="Calibri"/>
                <w:b w:val="0"/>
                <w:color w:val="243B53"/>
                <w:sz w:val="17"/>
              </w:rPr>
              <w:t>310</w:t>
            </w:r>
          </w:p>
        </w:tc>
      </w:tr>
      <w:tr>
        <w:trPr>
          <w:cantSplit w:val="true"/>
        </w:trPr>
        <w:tc>
          <w:tcPr>
            <w:tcW w:type="dxa" w:w="30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Inactive projections</w:t>
            </w:r>
          </w:p>
        </w:tc>
        <w:tc>
          <w:tcPr>
            <w:tcW w:type="dxa" w:w="245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0</w:t>
            </w:r>
          </w:p>
        </w:tc>
        <w:tc>
          <w:tcPr>
            <w:tcW w:type="dxa" w:w="391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0</w:t>
            </w:r>
          </w:p>
        </w:tc>
      </w:tr>
      <w:tr>
        <w:trPr>
          <w:cantSplit w:val="true"/>
        </w:trPr>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243B53"/>
                <w:sz w:val="17"/>
              </w:rPr>
              <w:t>Import partition</w:t>
            </w:r>
          </w:p>
        </w:tc>
        <w:tc>
          <w:tcPr>
            <w:tcW w:type="dxa" w:w="2450"/>
            <w:tcMar>
              <w:top w:w="80" w:type="dxa"/>
              <w:start w:w="120" w:type="dxa"/>
              <w:bottom w:w="80" w:type="dxa"/>
              <w:end w:w="120" w:type="dxa"/>
            </w:tcMar>
            <w:vAlign w:val="center"/>
          </w:tcPr>
          <w:p>
            <w:pPr>
              <w:spacing w:before="0" w:after="40" w:line="252" w:lineRule="auto"/>
            </w:pPr>
            <w:r>
              <w:rPr>
                <w:rFonts w:ascii="Calibri" w:hAnsi="Calibri"/>
                <w:b w:val="0"/>
                <w:color w:val="243B53"/>
                <w:sz w:val="17"/>
              </w:rPr>
              <w:t>Embedded</w:t>
            </w:r>
          </w:p>
        </w:tc>
        <w:tc>
          <w:tcPr>
            <w:tcW w:type="dxa" w:w="3910"/>
            <w:tcMar>
              <w:top w:w="80" w:type="dxa"/>
              <w:start w:w="120" w:type="dxa"/>
              <w:bottom w:w="80" w:type="dxa"/>
              <w:end w:w="120" w:type="dxa"/>
            </w:tcMar>
            <w:vAlign w:val="center"/>
          </w:tcPr>
          <w:p>
            <w:pPr>
              <w:spacing w:before="0" w:after="40" w:line="252" w:lineRule="auto"/>
            </w:pPr>
            <w:r>
              <w:rPr>
                <w:rFonts w:ascii="Calibri" w:hAnsi="Calibri"/>
                <w:b w:val="0"/>
                <w:color w:val="243B53"/>
                <w:sz w:val="17"/>
              </w:rPr>
              <w:t>Binary.Decompress and Binary.FromText present</w:t>
            </w:r>
          </w:p>
        </w:tc>
      </w:tr>
      <w:tr>
        <w:trPr>
          <w:cantSplit w:val="true"/>
        </w:trPr>
        <w:tc>
          <w:tcPr>
            <w:tcW w:type="dxa" w:w="30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Machine path</w:t>
            </w:r>
          </w:p>
        </w:tc>
        <w:tc>
          <w:tcPr>
            <w:tcW w:type="dxa" w:w="245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Absent</w:t>
            </w:r>
          </w:p>
        </w:tc>
        <w:tc>
          <w:tcPr>
            <w:tcW w:type="dxa" w:w="391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No File.Contents path</w:t>
            </w:r>
          </w:p>
        </w:tc>
      </w:tr>
      <w:tr>
        <w:trPr>
          <w:cantSplit w:val="true"/>
        </w:trPr>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243B53"/>
                <w:sz w:val="17"/>
              </w:rPr>
              <w:t>External datasource objects</w:t>
            </w:r>
          </w:p>
        </w:tc>
        <w:tc>
          <w:tcPr>
            <w:tcW w:type="dxa" w:w="2450"/>
            <w:tcMar>
              <w:top w:w="80" w:type="dxa"/>
              <w:start w:w="120" w:type="dxa"/>
              <w:bottom w:w="80" w:type="dxa"/>
              <w:end w:w="120" w:type="dxa"/>
            </w:tcMar>
            <w:vAlign w:val="center"/>
          </w:tcPr>
          <w:p>
            <w:pPr>
              <w:spacing w:before="0" w:after="40" w:line="252" w:lineRule="auto"/>
            </w:pPr>
            <w:r>
              <w:rPr>
                <w:rFonts w:ascii="Calibri" w:hAnsi="Calibri"/>
                <w:b w:val="0"/>
                <w:color w:val="243B53"/>
                <w:sz w:val="17"/>
              </w:rPr>
              <w:t>0</w:t>
            </w:r>
          </w:p>
        </w:tc>
        <w:tc>
          <w:tcPr>
            <w:tcW w:type="dxa" w:w="3910"/>
            <w:tcMar>
              <w:top w:w="80" w:type="dxa"/>
              <w:start w:w="120" w:type="dxa"/>
              <w:bottom w:w="80" w:type="dxa"/>
              <w:end w:w="120" w:type="dxa"/>
            </w:tcMar>
            <w:vAlign w:val="center"/>
          </w:tcPr>
          <w:p>
            <w:pPr>
              <w:spacing w:before="0" w:after="40" w:line="252" w:lineRule="auto"/>
            </w:pPr>
            <w:r>
              <w:rPr>
                <w:rFonts w:ascii="Calibri" w:hAnsi="Calibri"/>
                <w:b w:val="0"/>
                <w:color w:val="243B53"/>
                <w:sz w:val="17"/>
              </w:rPr>
              <w:t>0</w:t>
            </w:r>
          </w:p>
        </w:tc>
      </w:tr>
      <w:tr>
        <w:trPr>
          <w:cantSplit w:val="true"/>
        </w:trPr>
        <w:tc>
          <w:tcPr>
            <w:tcW w:type="dxa" w:w="30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Compatibility level</w:t>
            </w:r>
          </w:p>
        </w:tc>
        <w:tc>
          <w:tcPr>
            <w:tcW w:type="dxa" w:w="245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1702</w:t>
            </w:r>
          </w:p>
        </w:tc>
        <w:tc>
          <w:tcPr>
            <w:tcW w:type="dxa" w:w="391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1702</w:t>
            </w:r>
          </w:p>
        </w:tc>
      </w:tr>
    </w:tbl>
    <w:p>
      <w:pPr>
        <w:spacing w:after="40"/>
      </w:pPr>
    </w:p>
    <w:p>
      <w:pPr>
        <w:widowControl/>
      </w:pPr>
      <w:r>
        <w:rPr>
          <w:i w:val="0"/>
        </w:rPr>
        <w:t>The embedded Import design allows the PBIP project to load data without a machine-specific Excel path, gateway, credentials or Power BI sign-in. The first PBIP open still requires one model refresh because PBIP projects do not include a processed local cache by default. Saving as PBIX stores the refreshed model for normal future use.</w:t>
      </w:r>
    </w:p>
    <w:p>
      <w:pPr>
        <w:pStyle w:val="Heading1"/>
      </w:pPr>
      <w:r>
        <w:t>8. Dashboard Functional Testing by Page</w:t>
      </w:r>
    </w:p>
    <w:tbl>
      <w:tblPr>
        <w:tblW w:type="auto" w:w="0"/>
        <w:tblLayout w:type="fixed"/>
        <w:tblLook w:firstColumn="1" w:firstRow="1" w:lastColumn="0" w:lastRow="0" w:noHBand="0" w:noVBand="1" w:val="04A0"/>
        <w:tblLayout w:type="fixed"/>
        <w:tblW w:w="9360" w:type="dxa"/>
        <w:tblInd w:w="120" w:type="dxa"/>
      </w:tblPr>
      <w:tblGrid>
        <w:gridCol w:w="2500"/>
        <w:gridCol w:w="950"/>
        <w:gridCol w:w="1150"/>
        <w:gridCol w:w="850"/>
        <w:gridCol w:w="950"/>
        <w:gridCol w:w="850"/>
        <w:gridCol w:w="850"/>
        <w:gridCol w:w="1260"/>
      </w:tblGrid>
      <w:tr>
        <w:trPr>
          <w:cantSplit w:val="true"/>
          <w:tblHeader w:val="true"/>
        </w:trPr>
        <w:tc>
          <w:tcPr>
            <w:tcW w:type="dxa" w:w="2500"/>
            <w:tcMar>
              <w:top w:w="80" w:type="dxa"/>
              <w:start w:w="120" w:type="dxa"/>
              <w:bottom w:w="80" w:type="dxa"/>
              <w:end w:w="120" w:type="dxa"/>
            </w:tcMar>
            <w:vAlign w:val="center"/>
            <w:shd w:fill="0F4C81"/>
          </w:tcPr>
          <w:p>
            <w:pPr>
              <w:spacing w:before="0" w:after="40" w:line="252" w:lineRule="auto"/>
            </w:pPr>
            <w:r>
              <w:rPr>
                <w:rFonts w:ascii="Calibri" w:hAnsi="Calibri"/>
                <w:b/>
                <w:color w:val="FFFFFF"/>
                <w:sz w:val="15"/>
              </w:rPr>
              <w:t>PAGE</w:t>
            </w:r>
          </w:p>
        </w:tc>
        <w:tc>
          <w:tcPr>
            <w:tcW w:type="dxa" w:w="950"/>
            <w:tcMar>
              <w:top w:w="80" w:type="dxa"/>
              <w:start w:w="120" w:type="dxa"/>
              <w:bottom w:w="80" w:type="dxa"/>
              <w:end w:w="120" w:type="dxa"/>
            </w:tcMar>
            <w:vAlign w:val="center"/>
            <w:shd w:fill="0F4C81"/>
          </w:tcPr>
          <w:p>
            <w:pPr>
              <w:spacing w:before="0" w:after="40" w:line="252" w:lineRule="auto"/>
            </w:pPr>
            <w:r>
              <w:rPr>
                <w:rFonts w:ascii="Calibri" w:hAnsi="Calibri"/>
                <w:b/>
                <w:color w:val="FFFFFF"/>
                <w:sz w:val="15"/>
              </w:rPr>
              <w:t>VISUALS</w:t>
            </w:r>
          </w:p>
        </w:tc>
        <w:tc>
          <w:tcPr>
            <w:tcW w:type="dxa" w:w="1150"/>
            <w:tcMar>
              <w:top w:w="80" w:type="dxa"/>
              <w:start w:w="120" w:type="dxa"/>
              <w:bottom w:w="80" w:type="dxa"/>
              <w:end w:w="120" w:type="dxa"/>
            </w:tcMar>
            <w:vAlign w:val="center"/>
            <w:shd w:fill="0F4C81"/>
          </w:tcPr>
          <w:p>
            <w:pPr>
              <w:spacing w:before="0" w:after="40" w:line="252" w:lineRule="auto"/>
            </w:pPr>
            <w:r>
              <w:rPr>
                <w:rFonts w:ascii="Calibri" w:hAnsi="Calibri"/>
                <w:b/>
                <w:color w:val="FFFFFF"/>
                <w:sz w:val="15"/>
              </w:rPr>
              <w:t>DATA VISUALS</w:t>
            </w:r>
          </w:p>
        </w:tc>
        <w:tc>
          <w:tcPr>
            <w:tcW w:type="dxa" w:w="850"/>
            <w:tcMar>
              <w:top w:w="80" w:type="dxa"/>
              <w:start w:w="120" w:type="dxa"/>
              <w:bottom w:w="80" w:type="dxa"/>
              <w:end w:w="120" w:type="dxa"/>
            </w:tcMar>
            <w:vAlign w:val="center"/>
            <w:shd w:fill="0F4C81"/>
          </w:tcPr>
          <w:p>
            <w:pPr>
              <w:spacing w:before="0" w:after="40" w:line="252" w:lineRule="auto"/>
            </w:pPr>
            <w:r>
              <w:rPr>
                <w:rFonts w:ascii="Calibri" w:hAnsi="Calibri"/>
                <w:b/>
                <w:color w:val="FFFFFF"/>
                <w:sz w:val="15"/>
              </w:rPr>
              <w:t>KPI</w:t>
            </w:r>
          </w:p>
        </w:tc>
        <w:tc>
          <w:tcPr>
            <w:tcW w:type="dxa" w:w="950"/>
            <w:tcMar>
              <w:top w:w="80" w:type="dxa"/>
              <w:start w:w="120" w:type="dxa"/>
              <w:bottom w:w="80" w:type="dxa"/>
              <w:end w:w="120" w:type="dxa"/>
            </w:tcMar>
            <w:vAlign w:val="center"/>
            <w:shd w:fill="0F4C81"/>
          </w:tcPr>
          <w:p>
            <w:pPr>
              <w:spacing w:before="0" w:after="40" w:line="252" w:lineRule="auto"/>
            </w:pPr>
            <w:r>
              <w:rPr>
                <w:rFonts w:ascii="Calibri" w:hAnsi="Calibri"/>
                <w:b/>
                <w:color w:val="FFFFFF"/>
                <w:sz w:val="15"/>
              </w:rPr>
              <w:t>SLICERS</w:t>
            </w:r>
          </w:p>
        </w:tc>
        <w:tc>
          <w:tcPr>
            <w:tcW w:type="dxa" w:w="850"/>
            <w:tcMar>
              <w:top w:w="80" w:type="dxa"/>
              <w:start w:w="120" w:type="dxa"/>
              <w:bottom w:w="80" w:type="dxa"/>
              <w:end w:w="120" w:type="dxa"/>
            </w:tcMar>
            <w:vAlign w:val="center"/>
            <w:shd w:fill="0F4C81"/>
          </w:tcPr>
          <w:p>
            <w:pPr>
              <w:spacing w:before="0" w:after="40" w:line="252" w:lineRule="auto"/>
            </w:pPr>
            <w:r>
              <w:rPr>
                <w:rFonts w:ascii="Calibri" w:hAnsi="Calibri"/>
                <w:b/>
                <w:color w:val="FFFFFF"/>
                <w:sz w:val="15"/>
              </w:rPr>
              <w:t>NAV</w:t>
            </w:r>
          </w:p>
        </w:tc>
        <w:tc>
          <w:tcPr>
            <w:tcW w:type="dxa" w:w="850"/>
            <w:tcMar>
              <w:top w:w="80" w:type="dxa"/>
              <w:start w:w="120" w:type="dxa"/>
              <w:bottom w:w="80" w:type="dxa"/>
              <w:end w:w="120" w:type="dxa"/>
            </w:tcMar>
            <w:vAlign w:val="center"/>
            <w:shd w:fill="0F4C81"/>
          </w:tcPr>
          <w:p>
            <w:pPr>
              <w:spacing w:before="0" w:after="40" w:line="252" w:lineRule="auto"/>
            </w:pPr>
            <w:r>
              <w:rPr>
                <w:rFonts w:ascii="Calibri" w:hAnsi="Calibri"/>
                <w:b/>
                <w:color w:val="FFFFFF"/>
                <w:sz w:val="15"/>
              </w:rPr>
              <w:t>MAP</w:t>
            </w:r>
          </w:p>
        </w:tc>
        <w:tc>
          <w:tcPr>
            <w:tcW w:type="dxa" w:w="1260"/>
            <w:tcMar>
              <w:top w:w="80" w:type="dxa"/>
              <w:start w:w="120" w:type="dxa"/>
              <w:bottom w:w="80" w:type="dxa"/>
              <w:end w:w="120" w:type="dxa"/>
            </w:tcMar>
            <w:vAlign w:val="center"/>
            <w:shd w:fill="0F4C81"/>
          </w:tcPr>
          <w:p>
            <w:pPr>
              <w:spacing w:before="0" w:after="40" w:line="252" w:lineRule="auto"/>
            </w:pPr>
            <w:r>
              <w:rPr>
                <w:rFonts w:ascii="Calibri" w:hAnsi="Calibri"/>
                <w:b/>
                <w:color w:val="FFFFFF"/>
                <w:sz w:val="15"/>
              </w:rPr>
              <w:t>BINDINGS</w:t>
            </w:r>
          </w:p>
        </w:tc>
      </w:tr>
      <w:tr>
        <w:trPr>
          <w:cantSplit w:val="true"/>
        </w:trPr>
        <w:tc>
          <w:tcPr>
            <w:tcW w:type="dxa" w:w="2500"/>
            <w:tcMar>
              <w:top w:w="80" w:type="dxa"/>
              <w:start w:w="120" w:type="dxa"/>
              <w:bottom w:w="80" w:type="dxa"/>
              <w:end w:w="120" w:type="dxa"/>
            </w:tcMar>
            <w:vAlign w:val="center"/>
          </w:tcPr>
          <w:p>
            <w:pPr>
              <w:spacing w:before="0" w:after="40" w:line="252" w:lineRule="auto"/>
            </w:pPr>
            <w:r>
              <w:rPr>
                <w:rFonts w:ascii="Calibri" w:hAnsi="Calibri"/>
                <w:b w:val="0"/>
                <w:color w:val="243B53"/>
                <w:sz w:val="15"/>
              </w:rPr>
              <w:t>University Overview</w:t>
            </w:r>
          </w:p>
        </w:tc>
        <w:tc>
          <w:tcPr>
            <w:tcW w:type="dxa" w:w="950"/>
            <w:tcMar>
              <w:top w:w="80" w:type="dxa"/>
              <w:start w:w="120" w:type="dxa"/>
              <w:bottom w:w="80" w:type="dxa"/>
              <w:end w:w="120" w:type="dxa"/>
            </w:tcMar>
            <w:vAlign w:val="center"/>
          </w:tcPr>
          <w:p>
            <w:pPr>
              <w:spacing w:before="0" w:after="40" w:line="252" w:lineRule="auto"/>
            </w:pPr>
            <w:r>
              <w:rPr>
                <w:rFonts w:ascii="Calibri" w:hAnsi="Calibri"/>
                <w:b w:val="0"/>
                <w:color w:val="243B53"/>
                <w:sz w:val="15"/>
              </w:rPr>
              <w:t>21</w:t>
            </w:r>
          </w:p>
        </w:tc>
        <w:tc>
          <w:tcPr>
            <w:tcW w:type="dxa" w:w="1150"/>
            <w:tcMar>
              <w:top w:w="80" w:type="dxa"/>
              <w:start w:w="120" w:type="dxa"/>
              <w:bottom w:w="80" w:type="dxa"/>
              <w:end w:w="120" w:type="dxa"/>
            </w:tcMar>
            <w:vAlign w:val="center"/>
          </w:tcPr>
          <w:p>
            <w:pPr>
              <w:spacing w:before="0" w:after="40" w:line="252" w:lineRule="auto"/>
            </w:pPr>
            <w:r>
              <w:rPr>
                <w:rFonts w:ascii="Calibri" w:hAnsi="Calibri"/>
                <w:b w:val="0"/>
                <w:color w:val="243B53"/>
                <w:sz w:val="15"/>
              </w:rPr>
              <w:t>18</w:t>
            </w:r>
          </w:p>
        </w:tc>
        <w:tc>
          <w:tcPr>
            <w:tcW w:type="dxa" w:w="850"/>
            <w:tcMar>
              <w:top w:w="80" w:type="dxa"/>
              <w:start w:w="120" w:type="dxa"/>
              <w:bottom w:w="80" w:type="dxa"/>
              <w:end w:w="120" w:type="dxa"/>
            </w:tcMar>
            <w:vAlign w:val="center"/>
          </w:tcPr>
          <w:p>
            <w:pPr>
              <w:spacing w:before="0" w:after="40" w:line="252" w:lineRule="auto"/>
            </w:pPr>
            <w:r>
              <w:rPr>
                <w:rFonts w:ascii="Calibri" w:hAnsi="Calibri"/>
                <w:b w:val="0"/>
                <w:color w:val="243B53"/>
                <w:sz w:val="15"/>
              </w:rPr>
              <w:t>4</w:t>
            </w:r>
          </w:p>
        </w:tc>
        <w:tc>
          <w:tcPr>
            <w:tcW w:type="dxa" w:w="950"/>
            <w:tcMar>
              <w:top w:w="80" w:type="dxa"/>
              <w:start w:w="120" w:type="dxa"/>
              <w:bottom w:w="80" w:type="dxa"/>
              <w:end w:w="120" w:type="dxa"/>
            </w:tcMar>
            <w:vAlign w:val="center"/>
          </w:tcPr>
          <w:p>
            <w:pPr>
              <w:spacing w:before="0" w:after="40" w:line="252" w:lineRule="auto"/>
            </w:pPr>
            <w:r>
              <w:rPr>
                <w:rFonts w:ascii="Calibri" w:hAnsi="Calibri"/>
                <w:b w:val="0"/>
                <w:color w:val="243B53"/>
                <w:sz w:val="15"/>
              </w:rPr>
              <w:t>6</w:t>
            </w:r>
          </w:p>
        </w:tc>
        <w:tc>
          <w:tcPr>
            <w:tcW w:type="dxa" w:w="850"/>
            <w:tcMar>
              <w:top w:w="80" w:type="dxa"/>
              <w:start w:w="120" w:type="dxa"/>
              <w:bottom w:w="80" w:type="dxa"/>
              <w:end w:w="120" w:type="dxa"/>
            </w:tcMar>
            <w:vAlign w:val="center"/>
          </w:tcPr>
          <w:p>
            <w:pPr>
              <w:spacing w:before="0" w:after="40" w:line="252" w:lineRule="auto"/>
            </w:pPr>
            <w:r>
              <w:rPr>
                <w:rFonts w:ascii="Calibri" w:hAnsi="Calibri"/>
                <w:b w:val="0"/>
                <w:color w:val="243B53"/>
                <w:sz w:val="15"/>
              </w:rPr>
              <w:t>1</w:t>
            </w:r>
          </w:p>
        </w:tc>
        <w:tc>
          <w:tcPr>
            <w:tcW w:type="dxa" w:w="850"/>
            <w:tcMar>
              <w:top w:w="80" w:type="dxa"/>
              <w:start w:w="120" w:type="dxa"/>
              <w:bottom w:w="80" w:type="dxa"/>
              <w:end w:w="120" w:type="dxa"/>
            </w:tcMar>
            <w:vAlign w:val="center"/>
          </w:tcPr>
          <w:p>
            <w:pPr>
              <w:spacing w:before="0" w:after="40" w:line="252" w:lineRule="auto"/>
            </w:pPr>
            <w:r>
              <w:rPr>
                <w:rFonts w:ascii="Calibri" w:hAnsi="Calibri"/>
                <w:b w:val="0"/>
                <w:color w:val="243B53"/>
                <w:sz w:val="15"/>
              </w:rPr>
              <w:t>1</w:t>
            </w:r>
          </w:p>
        </w:tc>
        <w:tc>
          <w:tcPr>
            <w:tcW w:type="dxa" w:w="1260"/>
            <w:tcMar>
              <w:top w:w="80" w:type="dxa"/>
              <w:start w:w="120" w:type="dxa"/>
              <w:bottom w:w="80" w:type="dxa"/>
              <w:end w:w="120" w:type="dxa"/>
            </w:tcMar>
            <w:vAlign w:val="center"/>
          </w:tcPr>
          <w:p>
            <w:pPr>
              <w:spacing w:before="0" w:after="40" w:line="252" w:lineRule="auto"/>
            </w:pPr>
            <w:r>
              <w:rPr>
                <w:rFonts w:ascii="Calibri" w:hAnsi="Calibri"/>
                <w:b w:val="0"/>
                <w:color w:val="243B53"/>
                <w:sz w:val="15"/>
              </w:rPr>
              <w:t>56</w:t>
            </w:r>
          </w:p>
        </w:tc>
      </w:tr>
      <w:tr>
        <w:trPr>
          <w:cantSplit w:val="true"/>
        </w:trPr>
        <w:tc>
          <w:tcPr>
            <w:tcW w:type="dxa" w:w="25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Research Analytics</w:t>
            </w:r>
          </w:p>
        </w:tc>
        <w:tc>
          <w:tcPr>
            <w:tcW w:type="dxa" w:w="95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21</w:t>
            </w:r>
          </w:p>
        </w:tc>
        <w:tc>
          <w:tcPr>
            <w:tcW w:type="dxa" w:w="115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18</w:t>
            </w:r>
          </w:p>
        </w:tc>
        <w:tc>
          <w:tcPr>
            <w:tcW w:type="dxa" w:w="85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4</w:t>
            </w:r>
          </w:p>
        </w:tc>
        <w:tc>
          <w:tcPr>
            <w:tcW w:type="dxa" w:w="95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6</w:t>
            </w:r>
          </w:p>
        </w:tc>
        <w:tc>
          <w:tcPr>
            <w:tcW w:type="dxa" w:w="85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1</w:t>
            </w:r>
          </w:p>
        </w:tc>
        <w:tc>
          <w:tcPr>
            <w:tcW w:type="dxa" w:w="85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1</w:t>
            </w:r>
          </w:p>
        </w:tc>
        <w:tc>
          <w:tcPr>
            <w:tcW w:type="dxa" w:w="12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59</w:t>
            </w:r>
          </w:p>
        </w:tc>
      </w:tr>
      <w:tr>
        <w:trPr>
          <w:cantSplit w:val="true"/>
        </w:trPr>
        <w:tc>
          <w:tcPr>
            <w:tcW w:type="dxa" w:w="2500"/>
            <w:tcMar>
              <w:top w:w="80" w:type="dxa"/>
              <w:start w:w="120" w:type="dxa"/>
              <w:bottom w:w="80" w:type="dxa"/>
              <w:end w:w="120" w:type="dxa"/>
            </w:tcMar>
            <w:vAlign w:val="center"/>
          </w:tcPr>
          <w:p>
            <w:pPr>
              <w:spacing w:before="0" w:after="40" w:line="252" w:lineRule="auto"/>
            </w:pPr>
            <w:r>
              <w:rPr>
                <w:rFonts w:ascii="Calibri" w:hAnsi="Calibri"/>
                <w:b w:val="0"/>
                <w:color w:val="243B53"/>
                <w:sz w:val="15"/>
              </w:rPr>
              <w:t>Student Analytics</w:t>
            </w:r>
          </w:p>
        </w:tc>
        <w:tc>
          <w:tcPr>
            <w:tcW w:type="dxa" w:w="950"/>
            <w:tcMar>
              <w:top w:w="80" w:type="dxa"/>
              <w:start w:w="120" w:type="dxa"/>
              <w:bottom w:w="80" w:type="dxa"/>
              <w:end w:w="120" w:type="dxa"/>
            </w:tcMar>
            <w:vAlign w:val="center"/>
          </w:tcPr>
          <w:p>
            <w:pPr>
              <w:spacing w:before="0" w:after="40" w:line="252" w:lineRule="auto"/>
            </w:pPr>
            <w:r>
              <w:rPr>
                <w:rFonts w:ascii="Calibri" w:hAnsi="Calibri"/>
                <w:b w:val="0"/>
                <w:color w:val="243B53"/>
                <w:sz w:val="15"/>
              </w:rPr>
              <w:t>21</w:t>
            </w:r>
          </w:p>
        </w:tc>
        <w:tc>
          <w:tcPr>
            <w:tcW w:type="dxa" w:w="1150"/>
            <w:tcMar>
              <w:top w:w="80" w:type="dxa"/>
              <w:start w:w="120" w:type="dxa"/>
              <w:bottom w:w="80" w:type="dxa"/>
              <w:end w:w="120" w:type="dxa"/>
            </w:tcMar>
            <w:vAlign w:val="center"/>
          </w:tcPr>
          <w:p>
            <w:pPr>
              <w:spacing w:before="0" w:after="40" w:line="252" w:lineRule="auto"/>
            </w:pPr>
            <w:r>
              <w:rPr>
                <w:rFonts w:ascii="Calibri" w:hAnsi="Calibri"/>
                <w:b w:val="0"/>
                <w:color w:val="243B53"/>
                <w:sz w:val="15"/>
              </w:rPr>
              <w:t>18</w:t>
            </w:r>
          </w:p>
        </w:tc>
        <w:tc>
          <w:tcPr>
            <w:tcW w:type="dxa" w:w="850"/>
            <w:tcMar>
              <w:top w:w="80" w:type="dxa"/>
              <w:start w:w="120" w:type="dxa"/>
              <w:bottom w:w="80" w:type="dxa"/>
              <w:end w:w="120" w:type="dxa"/>
            </w:tcMar>
            <w:vAlign w:val="center"/>
          </w:tcPr>
          <w:p>
            <w:pPr>
              <w:spacing w:before="0" w:after="40" w:line="252" w:lineRule="auto"/>
            </w:pPr>
            <w:r>
              <w:rPr>
                <w:rFonts w:ascii="Calibri" w:hAnsi="Calibri"/>
                <w:b w:val="0"/>
                <w:color w:val="243B53"/>
                <w:sz w:val="15"/>
              </w:rPr>
              <w:t>4</w:t>
            </w:r>
          </w:p>
        </w:tc>
        <w:tc>
          <w:tcPr>
            <w:tcW w:type="dxa" w:w="950"/>
            <w:tcMar>
              <w:top w:w="80" w:type="dxa"/>
              <w:start w:w="120" w:type="dxa"/>
              <w:bottom w:w="80" w:type="dxa"/>
              <w:end w:w="120" w:type="dxa"/>
            </w:tcMar>
            <w:vAlign w:val="center"/>
          </w:tcPr>
          <w:p>
            <w:pPr>
              <w:spacing w:before="0" w:after="40" w:line="252" w:lineRule="auto"/>
            </w:pPr>
            <w:r>
              <w:rPr>
                <w:rFonts w:ascii="Calibri" w:hAnsi="Calibri"/>
                <w:b w:val="0"/>
                <w:color w:val="243B53"/>
                <w:sz w:val="15"/>
              </w:rPr>
              <w:t>6</w:t>
            </w:r>
          </w:p>
        </w:tc>
        <w:tc>
          <w:tcPr>
            <w:tcW w:type="dxa" w:w="850"/>
            <w:tcMar>
              <w:top w:w="80" w:type="dxa"/>
              <w:start w:w="120" w:type="dxa"/>
              <w:bottom w:w="80" w:type="dxa"/>
              <w:end w:w="120" w:type="dxa"/>
            </w:tcMar>
            <w:vAlign w:val="center"/>
          </w:tcPr>
          <w:p>
            <w:pPr>
              <w:spacing w:before="0" w:after="40" w:line="252" w:lineRule="auto"/>
            </w:pPr>
            <w:r>
              <w:rPr>
                <w:rFonts w:ascii="Calibri" w:hAnsi="Calibri"/>
                <w:b w:val="0"/>
                <w:color w:val="243B53"/>
                <w:sz w:val="15"/>
              </w:rPr>
              <w:t>1</w:t>
            </w:r>
          </w:p>
        </w:tc>
        <w:tc>
          <w:tcPr>
            <w:tcW w:type="dxa" w:w="850"/>
            <w:tcMar>
              <w:top w:w="80" w:type="dxa"/>
              <w:start w:w="120" w:type="dxa"/>
              <w:bottom w:w="80" w:type="dxa"/>
              <w:end w:w="120" w:type="dxa"/>
            </w:tcMar>
            <w:vAlign w:val="center"/>
          </w:tcPr>
          <w:p>
            <w:pPr>
              <w:spacing w:before="0" w:after="40" w:line="252" w:lineRule="auto"/>
            </w:pPr>
            <w:r>
              <w:rPr>
                <w:rFonts w:ascii="Calibri" w:hAnsi="Calibri"/>
                <w:b w:val="0"/>
                <w:color w:val="243B53"/>
                <w:sz w:val="15"/>
              </w:rPr>
              <w:t>1</w:t>
            </w:r>
          </w:p>
        </w:tc>
        <w:tc>
          <w:tcPr>
            <w:tcW w:type="dxa" w:w="1260"/>
            <w:tcMar>
              <w:top w:w="80" w:type="dxa"/>
              <w:start w:w="120" w:type="dxa"/>
              <w:bottom w:w="80" w:type="dxa"/>
              <w:end w:w="120" w:type="dxa"/>
            </w:tcMar>
            <w:vAlign w:val="center"/>
          </w:tcPr>
          <w:p>
            <w:pPr>
              <w:spacing w:before="0" w:after="40" w:line="252" w:lineRule="auto"/>
            </w:pPr>
            <w:r>
              <w:rPr>
                <w:rFonts w:ascii="Calibri" w:hAnsi="Calibri"/>
                <w:b w:val="0"/>
                <w:color w:val="243B53"/>
                <w:sz w:val="15"/>
              </w:rPr>
              <w:t>58</w:t>
            </w:r>
          </w:p>
        </w:tc>
      </w:tr>
      <w:tr>
        <w:trPr>
          <w:cantSplit w:val="true"/>
        </w:trPr>
        <w:tc>
          <w:tcPr>
            <w:tcW w:type="dxa" w:w="25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Country Comparison</w:t>
            </w:r>
          </w:p>
        </w:tc>
        <w:tc>
          <w:tcPr>
            <w:tcW w:type="dxa" w:w="95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21</w:t>
            </w:r>
          </w:p>
        </w:tc>
        <w:tc>
          <w:tcPr>
            <w:tcW w:type="dxa" w:w="115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18</w:t>
            </w:r>
          </w:p>
        </w:tc>
        <w:tc>
          <w:tcPr>
            <w:tcW w:type="dxa" w:w="85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4</w:t>
            </w:r>
          </w:p>
        </w:tc>
        <w:tc>
          <w:tcPr>
            <w:tcW w:type="dxa" w:w="95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6</w:t>
            </w:r>
          </w:p>
        </w:tc>
        <w:tc>
          <w:tcPr>
            <w:tcW w:type="dxa" w:w="85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1</w:t>
            </w:r>
          </w:p>
        </w:tc>
        <w:tc>
          <w:tcPr>
            <w:tcW w:type="dxa" w:w="85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1</w:t>
            </w:r>
          </w:p>
        </w:tc>
        <w:tc>
          <w:tcPr>
            <w:tcW w:type="dxa" w:w="12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59</w:t>
            </w:r>
          </w:p>
        </w:tc>
      </w:tr>
      <w:tr>
        <w:trPr>
          <w:cantSplit w:val="true"/>
        </w:trPr>
        <w:tc>
          <w:tcPr>
            <w:tcW w:type="dxa" w:w="2500"/>
            <w:tcMar>
              <w:top w:w="80" w:type="dxa"/>
              <w:start w:w="120" w:type="dxa"/>
              <w:bottom w:w="80" w:type="dxa"/>
              <w:end w:w="120" w:type="dxa"/>
            </w:tcMar>
            <w:vAlign w:val="center"/>
          </w:tcPr>
          <w:p>
            <w:pPr>
              <w:spacing w:before="0" w:after="40" w:line="252" w:lineRule="auto"/>
            </w:pPr>
            <w:r>
              <w:rPr>
                <w:rFonts w:ascii="Calibri" w:hAnsi="Calibri"/>
                <w:b w:val="0"/>
                <w:color w:val="243B53"/>
                <w:sz w:val="15"/>
              </w:rPr>
              <w:t>Executive Command Center</w:t>
            </w:r>
          </w:p>
        </w:tc>
        <w:tc>
          <w:tcPr>
            <w:tcW w:type="dxa" w:w="950"/>
            <w:tcMar>
              <w:top w:w="80" w:type="dxa"/>
              <w:start w:w="120" w:type="dxa"/>
              <w:bottom w:w="80" w:type="dxa"/>
              <w:end w:w="120" w:type="dxa"/>
            </w:tcMar>
            <w:vAlign w:val="center"/>
          </w:tcPr>
          <w:p>
            <w:pPr>
              <w:spacing w:before="0" w:after="40" w:line="252" w:lineRule="auto"/>
            </w:pPr>
            <w:r>
              <w:rPr>
                <w:rFonts w:ascii="Calibri" w:hAnsi="Calibri"/>
                <w:b w:val="0"/>
                <w:color w:val="243B53"/>
                <w:sz w:val="15"/>
              </w:rPr>
              <w:t>26</w:t>
            </w:r>
          </w:p>
        </w:tc>
        <w:tc>
          <w:tcPr>
            <w:tcW w:type="dxa" w:w="1150"/>
            <w:tcMar>
              <w:top w:w="80" w:type="dxa"/>
              <w:start w:w="120" w:type="dxa"/>
              <w:bottom w:w="80" w:type="dxa"/>
              <w:end w:w="120" w:type="dxa"/>
            </w:tcMar>
            <w:vAlign w:val="center"/>
          </w:tcPr>
          <w:p>
            <w:pPr>
              <w:spacing w:before="0" w:after="40" w:line="252" w:lineRule="auto"/>
            </w:pPr>
            <w:r>
              <w:rPr>
                <w:rFonts w:ascii="Calibri" w:hAnsi="Calibri"/>
                <w:b w:val="0"/>
                <w:color w:val="243B53"/>
                <w:sz w:val="15"/>
              </w:rPr>
              <w:t>23</w:t>
            </w:r>
          </w:p>
        </w:tc>
        <w:tc>
          <w:tcPr>
            <w:tcW w:type="dxa" w:w="850"/>
            <w:tcMar>
              <w:top w:w="80" w:type="dxa"/>
              <w:start w:w="120" w:type="dxa"/>
              <w:bottom w:w="80" w:type="dxa"/>
              <w:end w:w="120" w:type="dxa"/>
            </w:tcMar>
            <w:vAlign w:val="center"/>
          </w:tcPr>
          <w:p>
            <w:pPr>
              <w:spacing w:before="0" w:after="40" w:line="252" w:lineRule="auto"/>
            </w:pPr>
            <w:r>
              <w:rPr>
                <w:rFonts w:ascii="Calibri" w:hAnsi="Calibri"/>
                <w:b w:val="0"/>
                <w:color w:val="243B53"/>
                <w:sz w:val="15"/>
              </w:rPr>
              <w:t>6</w:t>
            </w:r>
          </w:p>
        </w:tc>
        <w:tc>
          <w:tcPr>
            <w:tcW w:type="dxa" w:w="950"/>
            <w:tcMar>
              <w:top w:w="80" w:type="dxa"/>
              <w:start w:w="120" w:type="dxa"/>
              <w:bottom w:w="80" w:type="dxa"/>
              <w:end w:w="120" w:type="dxa"/>
            </w:tcMar>
            <w:vAlign w:val="center"/>
          </w:tcPr>
          <w:p>
            <w:pPr>
              <w:spacing w:before="0" w:after="40" w:line="252" w:lineRule="auto"/>
            </w:pPr>
            <w:r>
              <w:rPr>
                <w:rFonts w:ascii="Calibri" w:hAnsi="Calibri"/>
                <w:b w:val="0"/>
                <w:color w:val="243B53"/>
                <w:sz w:val="15"/>
              </w:rPr>
              <w:t>6</w:t>
            </w:r>
          </w:p>
        </w:tc>
        <w:tc>
          <w:tcPr>
            <w:tcW w:type="dxa" w:w="850"/>
            <w:tcMar>
              <w:top w:w="80" w:type="dxa"/>
              <w:start w:w="120" w:type="dxa"/>
              <w:bottom w:w="80" w:type="dxa"/>
              <w:end w:w="120" w:type="dxa"/>
            </w:tcMar>
            <w:vAlign w:val="center"/>
          </w:tcPr>
          <w:p>
            <w:pPr>
              <w:spacing w:before="0" w:after="40" w:line="252" w:lineRule="auto"/>
            </w:pPr>
            <w:r>
              <w:rPr>
                <w:rFonts w:ascii="Calibri" w:hAnsi="Calibri"/>
                <w:b w:val="0"/>
                <w:color w:val="243B53"/>
                <w:sz w:val="15"/>
              </w:rPr>
              <w:t>1</w:t>
            </w:r>
          </w:p>
        </w:tc>
        <w:tc>
          <w:tcPr>
            <w:tcW w:type="dxa" w:w="850"/>
            <w:tcMar>
              <w:top w:w="80" w:type="dxa"/>
              <w:start w:w="120" w:type="dxa"/>
              <w:bottom w:w="80" w:type="dxa"/>
              <w:end w:w="120" w:type="dxa"/>
            </w:tcMar>
            <w:vAlign w:val="center"/>
          </w:tcPr>
          <w:p>
            <w:pPr>
              <w:spacing w:before="0" w:after="40" w:line="252" w:lineRule="auto"/>
            </w:pPr>
            <w:r>
              <w:rPr>
                <w:rFonts w:ascii="Calibri" w:hAnsi="Calibri"/>
                <w:b w:val="0"/>
                <w:color w:val="243B53"/>
                <w:sz w:val="15"/>
              </w:rPr>
              <w:t>1</w:t>
            </w:r>
          </w:p>
        </w:tc>
        <w:tc>
          <w:tcPr>
            <w:tcW w:type="dxa" w:w="1260"/>
            <w:tcMar>
              <w:top w:w="80" w:type="dxa"/>
              <w:start w:w="120" w:type="dxa"/>
              <w:bottom w:w="80" w:type="dxa"/>
              <w:end w:w="120" w:type="dxa"/>
            </w:tcMar>
            <w:vAlign w:val="center"/>
          </w:tcPr>
          <w:p>
            <w:pPr>
              <w:spacing w:before="0" w:after="40" w:line="252" w:lineRule="auto"/>
            </w:pPr>
            <w:r>
              <w:rPr>
                <w:rFonts w:ascii="Calibri" w:hAnsi="Calibri"/>
                <w:b w:val="0"/>
                <w:color w:val="243B53"/>
                <w:sz w:val="15"/>
              </w:rPr>
              <w:t>78</w:t>
            </w:r>
          </w:p>
        </w:tc>
      </w:tr>
    </w:tbl>
    <w:p>
      <w:pPr>
        <w:spacing w:after="40"/>
      </w:pPr>
    </w:p>
    <w:p>
      <w:pPr>
        <w:pStyle w:val="Heading2"/>
      </w:pPr>
      <w:r>
        <w:t>University Overview</w:t>
      </w:r>
    </w:p>
    <w:p>
      <w:pPr>
        <w:widowControl/>
      </w:pPr>
      <w:r>
        <w:rPr>
          <w:i w:val="0"/>
        </w:rPr>
        <w:t>The page contains 21 total report elements, 18 data visuals, 4 stable KPI cards, 6 dropdown slicers, one native page navigator and one standard map. It has 56 active query projections and zero inactive projections.</w:t>
      </w:r>
    </w:p>
    <w:p>
      <w:pPr>
        <w:pStyle w:val="ListBullet"/>
        <w:widowControl/>
      </w:pPr>
      <w:r>
        <w:rPr>
          <w:i w:val="0"/>
        </w:rPr>
        <w:t>KPI measures: Highest Global Score; Average Global Score; Country Count; University Count.</w:t>
      </w:r>
    </w:p>
    <w:p>
      <w:pPr>
        <w:pStyle w:val="ListBullet"/>
        <w:widowControl/>
      </w:pPr>
      <w:r>
        <w:rPr>
          <w:i w:val="0"/>
        </w:rPr>
        <w:t>Visual types: card (4), clusteredBarChart (1), clusteredColumnChart (1), donutChart (1), funnel (1), hundredPercentStackedBarChart (1), map (1), pageNavigator (1), pivotTable (1), slicer (6), textbox (2), waterfallChart (1).</w:t>
      </w:r>
    </w:p>
    <w:p>
      <w:pPr>
        <w:pStyle w:val="Heading2"/>
      </w:pPr>
      <w:r>
        <w:t>Research Analytics</w:t>
      </w:r>
    </w:p>
    <w:p>
      <w:pPr>
        <w:widowControl/>
      </w:pPr>
      <w:r>
        <w:rPr>
          <w:i w:val="0"/>
        </w:rPr>
        <w:t>The page contains 21 total report elements, 18 data visuals, 4 stable KPI cards, 6 dropdown slicers, one native page navigator and one standard map. It has 59 active query projections and zero inactive projections.</w:t>
      </w:r>
    </w:p>
    <w:p>
      <w:pPr>
        <w:pStyle w:val="ListBullet"/>
        <w:widowControl/>
      </w:pPr>
      <w:r>
        <w:rPr>
          <w:i w:val="0"/>
        </w:rPr>
        <w:t>KPI measures: Average Citations per Faculty; Average Research Productivity; Average Research Quality; Average Research Impact.</w:t>
      </w:r>
    </w:p>
    <w:p>
      <w:pPr>
        <w:pStyle w:val="ListBullet"/>
        <w:widowControl/>
      </w:pPr>
      <w:r>
        <w:rPr>
          <w:i w:val="0"/>
        </w:rPr>
        <w:t>Visual types: card (4), clusteredBarChart (1), clusteredColumnChart (1), lineClusteredColumnComboChart (1), map (1), pageNavigator (1), pivotTable (1), ribbonChart (1), scatterChart (1), slicer (6), textbox (2), treemap (1).</w:t>
      </w:r>
    </w:p>
    <w:p>
      <w:pPr>
        <w:pStyle w:val="Heading2"/>
      </w:pPr>
      <w:r>
        <w:t>Student Analytics</w:t>
      </w:r>
    </w:p>
    <w:p>
      <w:pPr>
        <w:widowControl/>
      </w:pPr>
      <w:r>
        <w:rPr>
          <w:i w:val="0"/>
        </w:rPr>
        <w:t>The page contains 21 total report elements, 18 data visuals, 4 stable KPI cards, 6 dropdown slicers, one native page navigator and one standard map. It has 58 active query projections and zero inactive projections.</w:t>
      </w:r>
    </w:p>
    <w:p>
      <w:pPr>
        <w:pStyle w:val="ListBullet"/>
        <w:widowControl/>
      </w:pPr>
      <w:r>
        <w:rPr>
          <w:i w:val="0"/>
        </w:rPr>
        <w:t>KPI measures: Average Student Population; Average Student Diversity; International Students %; Average Students to Staff.</w:t>
      </w:r>
    </w:p>
    <w:p>
      <w:pPr>
        <w:pStyle w:val="ListBullet"/>
        <w:widowControl/>
      </w:pPr>
      <w:r>
        <w:rPr>
          <w:i w:val="0"/>
        </w:rPr>
        <w:t>Visual types: card (4), clusteredBarChart (1), clusteredColumnChart (1), donutChart (1), gauge (1), map (1), pageNavigator (1), pivotTable (1), scatterChart (1), slicer (6), stackedAreaChart (1), textbox (2).</w:t>
      </w:r>
    </w:p>
    <w:p>
      <w:pPr>
        <w:pStyle w:val="Heading2"/>
      </w:pPr>
      <w:r>
        <w:t>Country Comparison</w:t>
      </w:r>
    </w:p>
    <w:p>
      <w:pPr>
        <w:widowControl/>
      </w:pPr>
      <w:r>
        <w:rPr>
          <w:i w:val="0"/>
        </w:rPr>
        <w:t>The page contains 21 total report elements, 18 data visuals, 4 stable KPI cards, 6 dropdown slicers, one native page navigator and one standard map. It has 59 active query projections and zero inactive projections.</w:t>
      </w:r>
    </w:p>
    <w:p>
      <w:pPr>
        <w:pStyle w:val="ListBullet"/>
        <w:widowControl/>
      </w:pPr>
      <w:r>
        <w:rPr>
          <w:i w:val="0"/>
        </w:rPr>
        <w:t>KPI measures: Declined Universities; Country Count; Improved Universities; University Count.</w:t>
      </w:r>
    </w:p>
    <w:p>
      <w:pPr>
        <w:pStyle w:val="ListBullet"/>
        <w:widowControl/>
      </w:pPr>
      <w:r>
        <w:rPr>
          <w:i w:val="0"/>
        </w:rPr>
        <w:t>Visual types: card (4), clusteredBarChart (1), clusteredColumnChart (1), decompositionTreeVisual (1), map (1), pageNavigator (1), pieChart (1), pivotTable (2), slicer (6), textbox (2), waterfallChart (1).</w:t>
      </w:r>
    </w:p>
    <w:p>
      <w:pPr>
        <w:pStyle w:val="Heading2"/>
      </w:pPr>
      <w:r>
        <w:t>Executive Command Center</w:t>
      </w:r>
    </w:p>
    <w:p>
      <w:pPr>
        <w:widowControl/>
      </w:pPr>
      <w:r>
        <w:rPr>
          <w:i w:val="0"/>
        </w:rPr>
        <w:t>The page contains 26 total report elements, 23 data visuals, 6 stable KPI cards, 6 dropdown slicers, one native page navigator and one standard map. It has 78 active query projections and zero inactive projections.</w:t>
      </w:r>
    </w:p>
    <w:p>
      <w:pPr>
        <w:pStyle w:val="ListBullet"/>
        <w:widowControl/>
      </w:pPr>
      <w:r>
        <w:rPr>
          <w:i w:val="0"/>
        </w:rPr>
        <w:t>KPI measures: Average Sustainability; University Count; Country Count; International Students %; Average Global Score; Average Research Impact.</w:t>
      </w:r>
    </w:p>
    <w:p>
      <w:pPr>
        <w:pStyle w:val="ListBullet"/>
        <w:widowControl/>
      </w:pPr>
      <w:r>
        <w:rPr>
          <w:i w:val="0"/>
        </w:rPr>
        <w:t>Visual types: card (6), decompositionTreeVisual (1), donutChart (1), funnel (1), gauge (1), hundredPercentStackedBarChart (1), lineClusteredColumnComboChart (1), map (1), pageNavigator (1), pivotTable (1), ribbonChart (1), scatterChart (1), slicer (6), textbox (2), treemap (1).</w:t>
      </w:r>
    </w:p>
    <w:p>
      <w:pPr>
        <w:keepNext/>
        <w:jc w:val="center"/>
      </w:pPr>
      <w:r>
        <w:drawing>
          <wp:inline xmlns:a="http://schemas.openxmlformats.org/drawingml/2006/main" xmlns:pic="http://schemas.openxmlformats.org/drawingml/2006/picture">
            <wp:extent cx="5760720" cy="3841680"/>
            <wp:docPr id="1" name="Picture 1"/>
            <wp:cNvGraphicFramePr>
              <a:graphicFrameLocks noChangeAspect="1"/>
            </wp:cNvGraphicFramePr>
            <a:graphic>
              <a:graphicData uri="http://schemas.openxmlformats.org/drawingml/2006/picture">
                <pic:pic>
                  <pic:nvPicPr>
                    <pic:cNvPr id="0" name="university_overview.png"/>
                    <pic:cNvPicPr/>
                  </pic:nvPicPr>
                  <pic:blipFill>
                    <a:blip r:embed="rId11"/>
                    <a:stretch>
                      <a:fillRect/>
                    </a:stretch>
                  </pic:blipFill>
                  <pic:spPr>
                    <a:xfrm>
                      <a:off x="0" y="0"/>
                      <a:ext cx="5760720" cy="3841680"/>
                    </a:xfrm>
                    <a:prstGeom prst="rect"/>
                  </pic:spPr>
                </pic:pic>
              </a:graphicData>
            </a:graphic>
          </wp:inline>
        </w:drawing>
      </w:r>
    </w:p>
    <w:p>
      <w:pPr>
        <w:spacing w:after="160"/>
        <w:jc w:val="center"/>
      </w:pPr>
      <w:r>
        <w:rPr>
          <w:i/>
          <w:color w:val="64748B"/>
          <w:sz w:val="17"/>
        </w:rPr>
        <w:t>Figure 1. University Overview - validated KPI, ranking, regional and institutional analytics.</w:t>
      </w:r>
    </w:p>
    <w:p>
      <w:pPr>
        <w:keepNext/>
        <w:jc w:val="center"/>
      </w:pPr>
      <w:r>
        <w:drawing>
          <wp:inline xmlns:a="http://schemas.openxmlformats.org/drawingml/2006/main" xmlns:pic="http://schemas.openxmlformats.org/drawingml/2006/picture">
            <wp:extent cx="5760720" cy="3841680"/>
            <wp:docPr id="2" name="Picture 2"/>
            <wp:cNvGraphicFramePr>
              <a:graphicFrameLocks noChangeAspect="1"/>
            </wp:cNvGraphicFramePr>
            <a:graphic>
              <a:graphicData uri="http://schemas.openxmlformats.org/drawingml/2006/picture">
                <pic:pic>
                  <pic:nvPicPr>
                    <pic:cNvPr id="0" name="research_analytics.png"/>
                    <pic:cNvPicPr/>
                  </pic:nvPicPr>
                  <pic:blipFill>
                    <a:blip r:embed="rId12"/>
                    <a:stretch>
                      <a:fillRect/>
                    </a:stretch>
                  </pic:blipFill>
                  <pic:spPr>
                    <a:xfrm>
                      <a:off x="0" y="0"/>
                      <a:ext cx="5760720" cy="3841680"/>
                    </a:xfrm>
                    <a:prstGeom prst="rect"/>
                  </pic:spPr>
                </pic:pic>
              </a:graphicData>
            </a:graphic>
          </wp:inline>
        </w:drawing>
      </w:r>
    </w:p>
    <w:p>
      <w:pPr>
        <w:spacing w:after="160"/>
        <w:jc w:val="center"/>
      </w:pPr>
      <w:r>
        <w:rPr>
          <w:i/>
          <w:color w:val="64748B"/>
          <w:sz w:val="17"/>
        </w:rPr>
        <w:t>Figure 2. Research Analytics - validated research impact, quality, citation and institution comparisons.</w:t>
      </w:r>
    </w:p>
    <w:p>
      <w:pPr>
        <w:pStyle w:val="Heading1"/>
      </w:pPr>
      <w:r>
        <w:t>9. Filter, Navigation and Cross-Interaction Testing</w:t>
      </w:r>
    </w:p>
    <w:p>
      <w:pPr>
        <w:pStyle w:val="ListBullet"/>
        <w:widowControl/>
      </w:pPr>
      <w:r>
        <w:rPr>
          <w:i w:val="0"/>
        </w:rPr>
        <w:t>Each page contains Region, Country, Size, Focus, Research Activity and Institution Status slicers.</w:t>
      </w:r>
    </w:p>
    <w:p>
      <w:pPr>
        <w:pStyle w:val="ListBullet"/>
        <w:widowControl/>
      </w:pPr>
      <w:r>
        <w:rPr>
          <w:i w:val="0"/>
        </w:rPr>
        <w:t>Slicer projections are active and use model fields that exist in the Universities table.</w:t>
      </w:r>
    </w:p>
    <w:p>
      <w:pPr>
        <w:pStyle w:val="ListBullet"/>
        <w:widowControl/>
      </w:pPr>
      <w:r>
        <w:rPr>
          <w:i w:val="0"/>
        </w:rPr>
        <w:t>KPI cards, graphs, matrices and maps on the same page respond to the selected filter context.</w:t>
      </w:r>
    </w:p>
    <w:p>
      <w:pPr>
        <w:pStyle w:val="ListBullet"/>
        <w:widowControl/>
      </w:pPr>
      <w:r>
        <w:rPr>
          <w:i w:val="0"/>
        </w:rPr>
        <w:t>Country Comparison supports multiple countries for direct benchmarking.</w:t>
      </w:r>
    </w:p>
    <w:p>
      <w:pPr>
        <w:pStyle w:val="ListBullet"/>
        <w:widowControl/>
      </w:pPr>
      <w:r>
        <w:rPr>
          <w:i w:val="0"/>
        </w:rPr>
        <w:t>Selecting a chart mark uses Power BI's native cross-filtering behaviour because the data projections remain active.</w:t>
      </w:r>
    </w:p>
    <w:p>
      <w:pPr>
        <w:pStyle w:val="ListBullet"/>
        <w:widowControl/>
      </w:pPr>
      <w:r>
        <w:rPr>
          <w:i w:val="0"/>
        </w:rPr>
        <w:t>Every page contains one native page navigator. In Power BI Desktop editing mode, Ctrl+click is required; in reading mode, normal single-click navigation applies.</w:t>
      </w:r>
    </w:p>
    <w:p>
      <w:pPr>
        <w:pStyle w:val="ListBullet"/>
        <w:widowControl/>
      </w:pPr>
      <w:r>
        <w:rPr>
          <w:i w:val="0"/>
        </w:rPr>
        <w:t>Clearing slicer selections returns the page to the baseline 1,120-university context.</w:t>
      </w:r>
    </w:p>
    <w:p>
      <w:pPr>
        <w:pStyle w:val="Heading1"/>
      </w:pPr>
      <w:r>
        <w:t>10. Standard Map Testing</w:t>
      </w:r>
    </w:p>
    <w:p>
      <w:pPr>
        <w:widowControl/>
      </w:pPr>
      <w:r>
        <w:rPr>
          <w:i w:val="0"/>
        </w:rPr>
        <w:t>The approved release uses Power BI's standard map visual, not Azure Maps. This change removes the Power BI account sign-in gate while retaining country-level geographic analysis. Map tiles and geocoding still require internet access, and the local Map/Filled Map security option must be enabled.</w:t>
      </w:r>
    </w:p>
    <w:tbl>
      <w:tblPr>
        <w:tblW w:type="auto" w:w="0"/>
        <w:tblLayout w:type="fixed"/>
        <w:tblLook w:firstColumn="1" w:firstRow="1" w:lastColumn="0" w:lastRow="0" w:noHBand="0" w:noVBand="1" w:val="04A0"/>
        <w:tblLayout w:type="fixed"/>
        <w:tblW w:w="9360" w:type="dxa"/>
        <w:tblInd w:w="120" w:type="dxa"/>
      </w:tblPr>
      <w:tblGrid>
        <w:gridCol w:w="2000"/>
        <w:gridCol w:w="1500"/>
        <w:gridCol w:w="1400"/>
        <w:gridCol w:w="1900"/>
        <w:gridCol w:w="2560"/>
      </w:tblGrid>
      <w:tr>
        <w:trPr>
          <w:cantSplit w:val="true"/>
          <w:tblHeader w:val="true"/>
        </w:trPr>
        <w:tc>
          <w:tcPr>
            <w:tcW w:type="dxa" w:w="2000"/>
            <w:tcMar>
              <w:top w:w="80" w:type="dxa"/>
              <w:start w:w="120" w:type="dxa"/>
              <w:bottom w:w="80" w:type="dxa"/>
              <w:end w:w="120" w:type="dxa"/>
            </w:tcMar>
            <w:vAlign w:val="center"/>
            <w:shd w:fill="0F4C81"/>
          </w:tcPr>
          <w:p>
            <w:pPr>
              <w:spacing w:before="0" w:after="40" w:line="252" w:lineRule="auto"/>
            </w:pPr>
            <w:r>
              <w:rPr>
                <w:rFonts w:ascii="Calibri" w:hAnsi="Calibri"/>
                <w:b/>
                <w:color w:val="FFFFFF"/>
                <w:sz w:val="16"/>
              </w:rPr>
              <w:t>PAGE</w:t>
            </w:r>
          </w:p>
        </w:tc>
        <w:tc>
          <w:tcPr>
            <w:tcW w:type="dxa" w:w="1500"/>
            <w:tcMar>
              <w:top w:w="80" w:type="dxa"/>
              <w:start w:w="120" w:type="dxa"/>
              <w:bottom w:w="80" w:type="dxa"/>
              <w:end w:w="120" w:type="dxa"/>
            </w:tcMar>
            <w:vAlign w:val="center"/>
            <w:shd w:fill="0F4C81"/>
          </w:tcPr>
          <w:p>
            <w:pPr>
              <w:spacing w:before="0" w:after="40" w:line="252" w:lineRule="auto"/>
            </w:pPr>
            <w:r>
              <w:rPr>
                <w:rFonts w:ascii="Calibri" w:hAnsi="Calibri"/>
                <w:b/>
                <w:color w:val="FFFFFF"/>
                <w:sz w:val="16"/>
              </w:rPr>
              <w:t>LOCATION</w:t>
            </w:r>
          </w:p>
        </w:tc>
        <w:tc>
          <w:tcPr>
            <w:tcW w:type="dxa" w:w="1400"/>
            <w:tcMar>
              <w:top w:w="80" w:type="dxa"/>
              <w:start w:w="120" w:type="dxa"/>
              <w:bottom w:w="80" w:type="dxa"/>
              <w:end w:w="120" w:type="dxa"/>
            </w:tcMar>
            <w:vAlign w:val="center"/>
            <w:shd w:fill="0F4C81"/>
          </w:tcPr>
          <w:p>
            <w:pPr>
              <w:spacing w:before="0" w:after="40" w:line="252" w:lineRule="auto"/>
            </w:pPr>
            <w:r>
              <w:rPr>
                <w:rFonts w:ascii="Calibri" w:hAnsi="Calibri"/>
                <w:b/>
                <w:color w:val="FFFFFF"/>
                <w:sz w:val="16"/>
              </w:rPr>
              <w:t>LEGEND</w:t>
            </w:r>
          </w:p>
        </w:tc>
        <w:tc>
          <w:tcPr>
            <w:tcW w:type="dxa" w:w="1900"/>
            <w:tcMar>
              <w:top w:w="80" w:type="dxa"/>
              <w:start w:w="120" w:type="dxa"/>
              <w:bottom w:w="80" w:type="dxa"/>
              <w:end w:w="120" w:type="dxa"/>
            </w:tcMar>
            <w:vAlign w:val="center"/>
            <w:shd w:fill="0F4C81"/>
          </w:tcPr>
          <w:p>
            <w:pPr>
              <w:spacing w:before="0" w:after="40" w:line="252" w:lineRule="auto"/>
            </w:pPr>
            <w:r>
              <w:rPr>
                <w:rFonts w:ascii="Calibri" w:hAnsi="Calibri"/>
                <w:b/>
                <w:color w:val="FFFFFF"/>
                <w:sz w:val="16"/>
              </w:rPr>
              <w:t>BUBBLE SIZE</w:t>
            </w:r>
          </w:p>
        </w:tc>
        <w:tc>
          <w:tcPr>
            <w:tcW w:type="dxa" w:w="2560"/>
            <w:tcMar>
              <w:top w:w="80" w:type="dxa"/>
              <w:start w:w="120" w:type="dxa"/>
              <w:bottom w:w="80" w:type="dxa"/>
              <w:end w:w="120" w:type="dxa"/>
            </w:tcMar>
            <w:vAlign w:val="center"/>
            <w:shd w:fill="0F4C81"/>
          </w:tcPr>
          <w:p>
            <w:pPr>
              <w:spacing w:before="0" w:after="40" w:line="252" w:lineRule="auto"/>
            </w:pPr>
            <w:r>
              <w:rPr>
                <w:rFonts w:ascii="Calibri" w:hAnsi="Calibri"/>
                <w:b/>
                <w:color w:val="FFFFFF"/>
                <w:sz w:val="16"/>
              </w:rPr>
              <w:t>TOOLTIPS</w:t>
            </w:r>
          </w:p>
        </w:tc>
      </w:tr>
      <w:tr>
        <w:trPr>
          <w:cantSplit w:val="true"/>
        </w:trPr>
        <w:tc>
          <w:tcPr>
            <w:tcW w:type="dxa" w:w="2000"/>
            <w:tcMar>
              <w:top w:w="80" w:type="dxa"/>
              <w:start w:w="120" w:type="dxa"/>
              <w:bottom w:w="80" w:type="dxa"/>
              <w:end w:w="120" w:type="dxa"/>
            </w:tcMar>
            <w:vAlign w:val="center"/>
          </w:tcPr>
          <w:p>
            <w:pPr>
              <w:spacing w:before="0" w:after="40" w:line="252" w:lineRule="auto"/>
            </w:pPr>
            <w:r>
              <w:rPr>
                <w:rFonts w:ascii="Calibri" w:hAnsi="Calibri"/>
                <w:b w:val="0"/>
                <w:color w:val="243B53"/>
                <w:sz w:val="16"/>
              </w:rPr>
              <w:t>University Overview</w:t>
            </w:r>
          </w:p>
        </w:tc>
        <w:tc>
          <w:tcPr>
            <w:tcW w:type="dxa" w:w="1500"/>
            <w:tcMar>
              <w:top w:w="80" w:type="dxa"/>
              <w:start w:w="120" w:type="dxa"/>
              <w:bottom w:w="80" w:type="dxa"/>
              <w:end w:w="120" w:type="dxa"/>
            </w:tcMar>
            <w:vAlign w:val="center"/>
          </w:tcPr>
          <w:p>
            <w:pPr>
              <w:spacing w:before="0" w:after="40" w:line="252" w:lineRule="auto"/>
            </w:pPr>
            <w:r>
              <w:rPr>
                <w:rFonts w:ascii="Calibri" w:hAnsi="Calibri"/>
                <w:b w:val="0"/>
                <w:color w:val="243B53"/>
                <w:sz w:val="16"/>
              </w:rPr>
              <w:t>Country</w:t>
            </w:r>
          </w:p>
        </w:tc>
        <w:tc>
          <w:tcPr>
            <w:tcW w:type="dxa" w:w="1400"/>
            <w:tcMar>
              <w:top w:w="80" w:type="dxa"/>
              <w:start w:w="120" w:type="dxa"/>
              <w:bottom w:w="80" w:type="dxa"/>
              <w:end w:w="120" w:type="dxa"/>
            </w:tcMar>
            <w:vAlign w:val="center"/>
          </w:tcPr>
          <w:p>
            <w:pPr>
              <w:spacing w:before="0" w:after="40" w:line="252" w:lineRule="auto"/>
            </w:pPr>
            <w:r>
              <w:rPr>
                <w:rFonts w:ascii="Calibri" w:hAnsi="Calibri"/>
                <w:b w:val="0"/>
                <w:color w:val="243B53"/>
                <w:sz w:val="16"/>
              </w:rPr>
              <w:t>Region</w:t>
            </w:r>
          </w:p>
        </w:tc>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243B53"/>
                <w:sz w:val="16"/>
              </w:rPr>
              <w:t>University Count</w:t>
            </w:r>
          </w:p>
        </w:tc>
        <w:tc>
          <w:tcPr>
            <w:tcW w:type="dxa" w:w="2560"/>
            <w:tcMar>
              <w:top w:w="80" w:type="dxa"/>
              <w:start w:w="120" w:type="dxa"/>
              <w:bottom w:w="80" w:type="dxa"/>
              <w:end w:w="120" w:type="dxa"/>
            </w:tcMar>
            <w:vAlign w:val="center"/>
          </w:tcPr>
          <w:p>
            <w:pPr>
              <w:spacing w:before="0" w:after="40" w:line="252" w:lineRule="auto"/>
            </w:pPr>
            <w:r>
              <w:rPr>
                <w:rFonts w:ascii="Calibri" w:hAnsi="Calibri"/>
                <w:b w:val="0"/>
                <w:color w:val="243B53"/>
                <w:sz w:val="16"/>
              </w:rPr>
              <w:t>Global score, reputation and research impact</w:t>
            </w:r>
          </w:p>
        </w:tc>
      </w:tr>
      <w:tr>
        <w:trPr>
          <w:cantSplit w:val="true"/>
        </w:trPr>
        <w:tc>
          <w:tcPr>
            <w:tcW w:type="dxa" w:w="20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Research Analytics</w:t>
            </w:r>
          </w:p>
        </w:tc>
        <w:tc>
          <w:tcPr>
            <w:tcW w:type="dxa" w:w="15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Country</w:t>
            </w:r>
          </w:p>
        </w:tc>
        <w:tc>
          <w:tcPr>
            <w:tcW w:type="dxa" w:w="14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Region</w:t>
            </w:r>
          </w:p>
        </w:tc>
        <w:tc>
          <w:tcPr>
            <w:tcW w:type="dxa" w:w="19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Research Impact</w:t>
            </w:r>
          </w:p>
        </w:tc>
        <w:tc>
          <w:tcPr>
            <w:tcW w:type="dxa" w:w="25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Count, productivity, quality and citations</w:t>
            </w:r>
          </w:p>
        </w:tc>
      </w:tr>
      <w:tr>
        <w:trPr>
          <w:cantSplit w:val="true"/>
        </w:trPr>
        <w:tc>
          <w:tcPr>
            <w:tcW w:type="dxa" w:w="2000"/>
            <w:tcMar>
              <w:top w:w="80" w:type="dxa"/>
              <w:start w:w="120" w:type="dxa"/>
              <w:bottom w:w="80" w:type="dxa"/>
              <w:end w:w="120" w:type="dxa"/>
            </w:tcMar>
            <w:vAlign w:val="center"/>
          </w:tcPr>
          <w:p>
            <w:pPr>
              <w:spacing w:before="0" w:after="40" w:line="252" w:lineRule="auto"/>
            </w:pPr>
            <w:r>
              <w:rPr>
                <w:rFonts w:ascii="Calibri" w:hAnsi="Calibri"/>
                <w:b w:val="0"/>
                <w:color w:val="243B53"/>
                <w:sz w:val="16"/>
              </w:rPr>
              <w:t>Student Analytics</w:t>
            </w:r>
          </w:p>
        </w:tc>
        <w:tc>
          <w:tcPr>
            <w:tcW w:type="dxa" w:w="1500"/>
            <w:tcMar>
              <w:top w:w="80" w:type="dxa"/>
              <w:start w:w="120" w:type="dxa"/>
              <w:bottom w:w="80" w:type="dxa"/>
              <w:end w:w="120" w:type="dxa"/>
            </w:tcMar>
            <w:vAlign w:val="center"/>
          </w:tcPr>
          <w:p>
            <w:pPr>
              <w:spacing w:before="0" w:after="40" w:line="252" w:lineRule="auto"/>
            </w:pPr>
            <w:r>
              <w:rPr>
                <w:rFonts w:ascii="Calibri" w:hAnsi="Calibri"/>
                <w:b w:val="0"/>
                <w:color w:val="243B53"/>
                <w:sz w:val="16"/>
              </w:rPr>
              <w:t>Country</w:t>
            </w:r>
          </w:p>
        </w:tc>
        <w:tc>
          <w:tcPr>
            <w:tcW w:type="dxa" w:w="1400"/>
            <w:tcMar>
              <w:top w:w="80" w:type="dxa"/>
              <w:start w:w="120" w:type="dxa"/>
              <w:bottom w:w="80" w:type="dxa"/>
              <w:end w:w="120" w:type="dxa"/>
            </w:tcMar>
            <w:vAlign w:val="center"/>
          </w:tcPr>
          <w:p>
            <w:pPr>
              <w:spacing w:before="0" w:after="40" w:line="252" w:lineRule="auto"/>
            </w:pPr>
            <w:r>
              <w:rPr>
                <w:rFonts w:ascii="Calibri" w:hAnsi="Calibri"/>
                <w:b w:val="0"/>
                <w:color w:val="243B53"/>
                <w:sz w:val="16"/>
              </w:rPr>
              <w:t>Region</w:t>
            </w:r>
          </w:p>
        </w:tc>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243B53"/>
                <w:sz w:val="16"/>
              </w:rPr>
              <w:t>International Students %</w:t>
            </w:r>
          </w:p>
        </w:tc>
        <w:tc>
          <w:tcPr>
            <w:tcW w:type="dxa" w:w="2560"/>
            <w:tcMar>
              <w:top w:w="80" w:type="dxa"/>
              <w:start w:w="120" w:type="dxa"/>
              <w:bottom w:w="80" w:type="dxa"/>
              <w:end w:w="120" w:type="dxa"/>
            </w:tcMar>
            <w:vAlign w:val="center"/>
          </w:tcPr>
          <w:p>
            <w:pPr>
              <w:spacing w:before="0" w:after="40" w:line="252" w:lineRule="auto"/>
            </w:pPr>
            <w:r>
              <w:rPr>
                <w:rFonts w:ascii="Calibri" w:hAnsi="Calibri"/>
                <w:b w:val="0"/>
                <w:color w:val="243B53"/>
                <w:sz w:val="16"/>
              </w:rPr>
              <w:t>Count, population, diversity and staffing</w:t>
            </w:r>
          </w:p>
        </w:tc>
      </w:tr>
      <w:tr>
        <w:trPr>
          <w:cantSplit w:val="true"/>
        </w:trPr>
        <w:tc>
          <w:tcPr>
            <w:tcW w:type="dxa" w:w="20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Country Comparison</w:t>
            </w:r>
          </w:p>
        </w:tc>
        <w:tc>
          <w:tcPr>
            <w:tcW w:type="dxa" w:w="15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Country</w:t>
            </w:r>
          </w:p>
        </w:tc>
        <w:tc>
          <w:tcPr>
            <w:tcW w:type="dxa" w:w="14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Region</w:t>
            </w:r>
          </w:p>
        </w:tc>
        <w:tc>
          <w:tcPr>
            <w:tcW w:type="dxa" w:w="19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Global Score</w:t>
            </w:r>
          </w:p>
        </w:tc>
        <w:tc>
          <w:tcPr>
            <w:tcW w:type="dxa" w:w="25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Count, research, reputation and rank movement</w:t>
            </w:r>
          </w:p>
        </w:tc>
      </w:tr>
      <w:tr>
        <w:trPr>
          <w:cantSplit w:val="true"/>
        </w:trPr>
        <w:tc>
          <w:tcPr>
            <w:tcW w:type="dxa" w:w="2000"/>
            <w:tcMar>
              <w:top w:w="80" w:type="dxa"/>
              <w:start w:w="120" w:type="dxa"/>
              <w:bottom w:w="80" w:type="dxa"/>
              <w:end w:w="120" w:type="dxa"/>
            </w:tcMar>
            <w:vAlign w:val="center"/>
          </w:tcPr>
          <w:p>
            <w:pPr>
              <w:spacing w:before="0" w:after="40" w:line="252" w:lineRule="auto"/>
            </w:pPr>
            <w:r>
              <w:rPr>
                <w:rFonts w:ascii="Calibri" w:hAnsi="Calibri"/>
                <w:b w:val="0"/>
                <w:color w:val="243B53"/>
                <w:sz w:val="16"/>
              </w:rPr>
              <w:t>Executive Command Center</w:t>
            </w:r>
          </w:p>
        </w:tc>
        <w:tc>
          <w:tcPr>
            <w:tcW w:type="dxa" w:w="1500"/>
            <w:tcMar>
              <w:top w:w="80" w:type="dxa"/>
              <w:start w:w="120" w:type="dxa"/>
              <w:bottom w:w="80" w:type="dxa"/>
              <w:end w:w="120" w:type="dxa"/>
            </w:tcMar>
            <w:vAlign w:val="center"/>
          </w:tcPr>
          <w:p>
            <w:pPr>
              <w:spacing w:before="0" w:after="40" w:line="252" w:lineRule="auto"/>
            </w:pPr>
            <w:r>
              <w:rPr>
                <w:rFonts w:ascii="Calibri" w:hAnsi="Calibri"/>
                <w:b w:val="0"/>
                <w:color w:val="243B53"/>
                <w:sz w:val="16"/>
              </w:rPr>
              <w:t>Country</w:t>
            </w:r>
          </w:p>
        </w:tc>
        <w:tc>
          <w:tcPr>
            <w:tcW w:type="dxa" w:w="1400"/>
            <w:tcMar>
              <w:top w:w="80" w:type="dxa"/>
              <w:start w:w="120" w:type="dxa"/>
              <w:bottom w:w="80" w:type="dxa"/>
              <w:end w:w="120" w:type="dxa"/>
            </w:tcMar>
            <w:vAlign w:val="center"/>
          </w:tcPr>
          <w:p>
            <w:pPr>
              <w:spacing w:before="0" w:after="40" w:line="252" w:lineRule="auto"/>
            </w:pPr>
            <w:r>
              <w:rPr>
                <w:rFonts w:ascii="Calibri" w:hAnsi="Calibri"/>
                <w:b w:val="0"/>
                <w:color w:val="243B53"/>
                <w:sz w:val="16"/>
              </w:rPr>
              <w:t>Region</w:t>
            </w:r>
          </w:p>
        </w:tc>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243B53"/>
                <w:sz w:val="16"/>
              </w:rPr>
              <w:t>Global Score</w:t>
            </w:r>
          </w:p>
        </w:tc>
        <w:tc>
          <w:tcPr>
            <w:tcW w:type="dxa" w:w="2560"/>
            <w:tcMar>
              <w:top w:w="80" w:type="dxa"/>
              <w:start w:w="120" w:type="dxa"/>
              <w:bottom w:w="80" w:type="dxa"/>
              <w:end w:w="120" w:type="dxa"/>
            </w:tcMar>
            <w:vAlign w:val="center"/>
          </w:tcPr>
          <w:p>
            <w:pPr>
              <w:spacing w:before="0" w:after="40" w:line="252" w:lineRule="auto"/>
            </w:pPr>
            <w:r>
              <w:rPr>
                <w:rFonts w:ascii="Calibri" w:hAnsi="Calibri"/>
                <w:b w:val="0"/>
                <w:color w:val="243B53"/>
                <w:sz w:val="16"/>
              </w:rPr>
              <w:t>Count, research, international share and sustainability</w:t>
            </w:r>
          </w:p>
        </w:tc>
      </w:tr>
    </w:tbl>
    <w:p>
      <w:pPr>
        <w:spacing w:after="40"/>
      </w:pPr>
    </w:p>
    <w:p>
      <w:pPr>
        <w:keepNext/>
        <w:jc w:val="center"/>
      </w:pPr>
      <w:r>
        <w:drawing>
          <wp:inline xmlns:a="http://schemas.openxmlformats.org/drawingml/2006/main" xmlns:pic="http://schemas.openxmlformats.org/drawingml/2006/picture">
            <wp:extent cx="5760720" cy="3535115"/>
            <wp:docPr id="3" name="Picture 3"/>
            <wp:cNvGraphicFramePr>
              <a:graphicFrameLocks noChangeAspect="1"/>
            </wp:cNvGraphicFramePr>
            <a:graphic>
              <a:graphicData uri="http://schemas.openxmlformats.org/drawingml/2006/picture">
                <pic:pic>
                  <pic:nvPicPr>
                    <pic:cNvPr id="0" name="map_research.png"/>
                    <pic:cNvPicPr/>
                  </pic:nvPicPr>
                  <pic:blipFill>
                    <a:blip r:embed="rId13"/>
                    <a:stretch>
                      <a:fillRect/>
                    </a:stretch>
                  </pic:blipFill>
                  <pic:spPr>
                    <a:xfrm>
                      <a:off x="0" y="0"/>
                      <a:ext cx="5760720" cy="3535115"/>
                    </a:xfrm>
                    <a:prstGeom prst="rect"/>
                  </pic:spPr>
                </pic:pic>
              </a:graphicData>
            </a:graphic>
          </wp:inline>
        </w:drawing>
      </w:r>
    </w:p>
    <w:p>
      <w:pPr>
        <w:spacing w:after="160"/>
        <w:jc w:val="center"/>
      </w:pPr>
      <w:r>
        <w:rPr>
          <w:i/>
          <w:color w:val="64748B"/>
          <w:sz w:val="17"/>
        </w:rPr>
        <w:t>Figure 3. Standard country-level map analysis used on Research Analytics.</w:t>
      </w:r>
    </w:p>
    <w:p>
      <w:pPr>
        <w:pStyle w:val="Heading1"/>
      </w:pPr>
      <w:r>
        <w:t>11. Compatibility, Performance and Reliability Controls</w:t>
      </w:r>
    </w:p>
    <w:tbl>
      <w:tblPr>
        <w:tblW w:type="auto" w:w="0"/>
        <w:tblLayout w:type="fixed"/>
        <w:tblLook w:firstColumn="1" w:firstRow="1" w:lastColumn="0" w:lastRow="0" w:noHBand="0" w:noVBand="1" w:val="04A0"/>
        <w:tblLayout w:type="fixed"/>
        <w:tblW w:w="9360" w:type="dxa"/>
        <w:tblInd w:w="120" w:type="dxa"/>
      </w:tblPr>
      <w:tblGrid>
        <w:gridCol w:w="2500"/>
        <w:gridCol w:w="2600"/>
        <w:gridCol w:w="4260"/>
      </w:tblGrid>
      <w:tr>
        <w:trPr>
          <w:cantSplit w:val="true"/>
          <w:tblHeader w:val="true"/>
        </w:trPr>
        <w:tc>
          <w:tcPr>
            <w:tcW w:type="dxa" w:w="2500"/>
            <w:tcMar>
              <w:top w:w="80" w:type="dxa"/>
              <w:start w:w="120" w:type="dxa"/>
              <w:bottom w:w="80" w:type="dxa"/>
              <w:end w:w="120" w:type="dxa"/>
            </w:tcMar>
            <w:vAlign w:val="center"/>
            <w:shd w:fill="0F4C81"/>
          </w:tcPr>
          <w:p>
            <w:pPr>
              <w:spacing w:before="0" w:after="40" w:line="252" w:lineRule="auto"/>
            </w:pPr>
            <w:r>
              <w:rPr>
                <w:rFonts w:ascii="Calibri" w:hAnsi="Calibri"/>
                <w:b/>
                <w:color w:val="FFFFFF"/>
                <w:sz w:val="16"/>
              </w:rPr>
              <w:t>CONTROL</w:t>
            </w:r>
          </w:p>
        </w:tc>
        <w:tc>
          <w:tcPr>
            <w:tcW w:type="dxa" w:w="2600"/>
            <w:tcMar>
              <w:top w:w="80" w:type="dxa"/>
              <w:start w:w="120" w:type="dxa"/>
              <w:bottom w:w="80" w:type="dxa"/>
              <w:end w:w="120" w:type="dxa"/>
            </w:tcMar>
            <w:vAlign w:val="center"/>
            <w:shd w:fill="0F4C81"/>
          </w:tcPr>
          <w:p>
            <w:pPr>
              <w:spacing w:before="0" w:after="40" w:line="252" w:lineRule="auto"/>
            </w:pPr>
            <w:r>
              <w:rPr>
                <w:rFonts w:ascii="Calibri" w:hAnsi="Calibri"/>
                <w:b/>
                <w:color w:val="FFFFFF"/>
                <w:sz w:val="16"/>
              </w:rPr>
              <w:t>RESULT</w:t>
            </w:r>
          </w:p>
        </w:tc>
        <w:tc>
          <w:tcPr>
            <w:tcW w:type="dxa" w:w="4260"/>
            <w:tcMar>
              <w:top w:w="80" w:type="dxa"/>
              <w:start w:w="120" w:type="dxa"/>
              <w:bottom w:w="80" w:type="dxa"/>
              <w:end w:w="120" w:type="dxa"/>
            </w:tcMar>
            <w:vAlign w:val="center"/>
            <w:shd w:fill="0F4C81"/>
          </w:tcPr>
          <w:p>
            <w:pPr>
              <w:spacing w:before="0" w:after="40" w:line="252" w:lineRule="auto"/>
            </w:pPr>
            <w:r>
              <w:rPr>
                <w:rFonts w:ascii="Calibri" w:hAnsi="Calibri"/>
                <w:b/>
                <w:color w:val="FFFFFF"/>
                <w:sz w:val="16"/>
              </w:rPr>
              <w:t>OPERATIONAL NOTE</w:t>
            </w:r>
          </w:p>
        </w:tc>
      </w:tr>
      <w:tr>
        <w:trPr>
          <w:cantSplit w:val="true"/>
        </w:trPr>
        <w:tc>
          <w:tcPr>
            <w:tcW w:type="dxa" w:w="2500"/>
            <w:tcMar>
              <w:top w:w="80" w:type="dxa"/>
              <w:start w:w="120" w:type="dxa"/>
              <w:bottom w:w="80" w:type="dxa"/>
              <w:end w:w="120" w:type="dxa"/>
            </w:tcMar>
            <w:vAlign w:val="center"/>
          </w:tcPr>
          <w:p>
            <w:pPr>
              <w:spacing w:before="0" w:after="40" w:line="252" w:lineRule="auto"/>
            </w:pPr>
            <w:r>
              <w:rPr>
                <w:rFonts w:ascii="Calibri" w:hAnsi="Calibri"/>
                <w:b w:val="0"/>
                <w:color w:val="243B53"/>
                <w:sz w:val="16"/>
              </w:rPr>
              <w:t>Latest Power BI Desktop</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243B53"/>
                <w:sz w:val="16"/>
              </w:rPr>
              <w:t>Supported</w:t>
            </w:r>
          </w:p>
        </w:tc>
        <w:tc>
          <w:tcPr>
            <w:tcW w:type="dxa" w:w="4260"/>
            <w:tcMar>
              <w:top w:w="80" w:type="dxa"/>
              <w:start w:w="120" w:type="dxa"/>
              <w:bottom w:w="80" w:type="dxa"/>
              <w:end w:w="120" w:type="dxa"/>
            </w:tcMar>
            <w:vAlign w:val="center"/>
          </w:tcPr>
          <w:p>
            <w:pPr>
              <w:spacing w:before="0" w:after="40" w:line="252" w:lineRule="auto"/>
            </w:pPr>
            <w:r>
              <w:rPr>
                <w:rFonts w:ascii="Calibri" w:hAnsi="Calibri"/>
                <w:b w:val="0"/>
                <w:color w:val="243B53"/>
                <w:sz w:val="16"/>
              </w:rPr>
              <w:t>Open EduVision.pbip; refresh once; optionally save as PBIX.</w:t>
            </w:r>
          </w:p>
        </w:tc>
      </w:tr>
      <w:tr>
        <w:trPr>
          <w:cantSplit w:val="true"/>
        </w:trPr>
        <w:tc>
          <w:tcPr>
            <w:tcW w:type="dxa" w:w="25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Power BI sign-in</w:t>
            </w:r>
          </w:p>
        </w:tc>
        <w:tc>
          <w:tcPr>
            <w:tcW w:type="dxa" w:w="26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Not required</w:t>
            </w:r>
          </w:p>
        </w:tc>
        <w:tc>
          <w:tcPr>
            <w:tcW w:type="dxa" w:w="42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The release excludes Azure Maps and cloud AI visuals.</w:t>
            </w:r>
          </w:p>
        </w:tc>
      </w:tr>
      <w:tr>
        <w:trPr>
          <w:cantSplit w:val="true"/>
        </w:trPr>
        <w:tc>
          <w:tcPr>
            <w:tcW w:type="dxa" w:w="2500"/>
            <w:tcMar>
              <w:top w:w="80" w:type="dxa"/>
              <w:start w:w="120" w:type="dxa"/>
              <w:bottom w:w="80" w:type="dxa"/>
              <w:end w:w="120" w:type="dxa"/>
            </w:tcMar>
            <w:vAlign w:val="center"/>
          </w:tcPr>
          <w:p>
            <w:pPr>
              <w:spacing w:before="0" w:after="40" w:line="252" w:lineRule="auto"/>
            </w:pPr>
            <w:r>
              <w:rPr>
                <w:rFonts w:ascii="Calibri" w:hAnsi="Calibri"/>
                <w:b w:val="0"/>
                <w:color w:val="243B53"/>
                <w:sz w:val="16"/>
              </w:rPr>
              <w:t>Internet</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243B53"/>
                <w:sz w:val="16"/>
              </w:rPr>
              <w:t>Required only for map tiles/geocoding</w:t>
            </w:r>
          </w:p>
        </w:tc>
        <w:tc>
          <w:tcPr>
            <w:tcW w:type="dxa" w:w="4260"/>
            <w:tcMar>
              <w:top w:w="80" w:type="dxa"/>
              <w:start w:w="120" w:type="dxa"/>
              <w:bottom w:w="80" w:type="dxa"/>
              <w:end w:w="120" w:type="dxa"/>
            </w:tcMar>
            <w:vAlign w:val="center"/>
          </w:tcPr>
          <w:p>
            <w:pPr>
              <w:spacing w:before="0" w:after="40" w:line="252" w:lineRule="auto"/>
            </w:pPr>
            <w:r>
              <w:rPr>
                <w:rFonts w:ascii="Calibri" w:hAnsi="Calibri"/>
                <w:b w:val="0"/>
                <w:color w:val="243B53"/>
                <w:sz w:val="16"/>
              </w:rPr>
              <w:t>All non-map analytics remain available from the embedded model.</w:t>
            </w:r>
          </w:p>
        </w:tc>
      </w:tr>
      <w:tr>
        <w:trPr>
          <w:cantSplit w:val="true"/>
        </w:trPr>
        <w:tc>
          <w:tcPr>
            <w:tcW w:type="dxa" w:w="25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Automatic page refresh</w:t>
            </w:r>
          </w:p>
        </w:tc>
        <w:tc>
          <w:tcPr>
            <w:tcW w:type="dxa" w:w="26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Not supported for Import mode</w:t>
            </w:r>
          </w:p>
        </w:tc>
        <w:tc>
          <w:tcPr>
            <w:tcW w:type="dxa" w:w="42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Use Home &gt; Refresh when data changes.</w:t>
            </w:r>
          </w:p>
        </w:tc>
      </w:tr>
      <w:tr>
        <w:trPr>
          <w:cantSplit w:val="true"/>
        </w:trPr>
        <w:tc>
          <w:tcPr>
            <w:tcW w:type="dxa" w:w="2500"/>
            <w:tcMar>
              <w:top w:w="80" w:type="dxa"/>
              <w:start w:w="120" w:type="dxa"/>
              <w:bottom w:w="80" w:type="dxa"/>
              <w:end w:w="120" w:type="dxa"/>
            </w:tcMar>
            <w:vAlign w:val="center"/>
          </w:tcPr>
          <w:p>
            <w:pPr>
              <w:spacing w:before="0" w:after="40" w:line="252" w:lineRule="auto"/>
            </w:pPr>
            <w:r>
              <w:rPr>
                <w:rFonts w:ascii="Calibri" w:hAnsi="Calibri"/>
                <w:b w:val="0"/>
                <w:color w:val="243B53"/>
                <w:sz w:val="16"/>
              </w:rPr>
              <w:t>Portability</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243B53"/>
                <w:sz w:val="16"/>
              </w:rPr>
              <w:t>Passed</w:t>
            </w:r>
          </w:p>
        </w:tc>
        <w:tc>
          <w:tcPr>
            <w:tcW w:type="dxa" w:w="4260"/>
            <w:tcMar>
              <w:top w:w="80" w:type="dxa"/>
              <w:start w:w="120" w:type="dxa"/>
              <w:bottom w:w="80" w:type="dxa"/>
              <w:end w:w="120" w:type="dxa"/>
            </w:tcMar>
            <w:vAlign w:val="center"/>
          </w:tcPr>
          <w:p>
            <w:pPr>
              <w:spacing w:before="0" w:after="40" w:line="252" w:lineRule="auto"/>
            </w:pPr>
            <w:r>
              <w:rPr>
                <w:rFonts w:ascii="Calibri" w:hAnsi="Calibri"/>
                <w:b w:val="0"/>
                <w:color w:val="243B53"/>
                <w:sz w:val="16"/>
              </w:rPr>
              <w:t>No machine-specific workbook path or external datasource object.</w:t>
            </w:r>
          </w:p>
        </w:tc>
      </w:tr>
      <w:tr>
        <w:trPr>
          <w:cantSplit w:val="true"/>
        </w:trPr>
        <w:tc>
          <w:tcPr>
            <w:tcW w:type="dxa" w:w="25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Visual definition load</w:t>
            </w:r>
          </w:p>
        </w:tc>
        <w:tc>
          <w:tcPr>
            <w:tcW w:type="dxa" w:w="26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Passed</w:t>
            </w:r>
          </w:p>
        </w:tc>
        <w:tc>
          <w:tcPr>
            <w:tcW w:type="dxa" w:w="42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110 JSON visual definitions parse successfully.</w:t>
            </w:r>
          </w:p>
        </w:tc>
      </w:tr>
      <w:tr>
        <w:trPr>
          <w:cantSplit w:val="true"/>
        </w:trPr>
        <w:tc>
          <w:tcPr>
            <w:tcW w:type="dxa" w:w="2500"/>
            <w:tcMar>
              <w:top w:w="80" w:type="dxa"/>
              <w:start w:w="120" w:type="dxa"/>
              <w:bottom w:w="80" w:type="dxa"/>
              <w:end w:w="120" w:type="dxa"/>
            </w:tcMar>
            <w:vAlign w:val="center"/>
          </w:tcPr>
          <w:p>
            <w:pPr>
              <w:spacing w:before="0" w:after="40" w:line="252" w:lineRule="auto"/>
            </w:pPr>
            <w:r>
              <w:rPr>
                <w:rFonts w:ascii="Calibri" w:hAnsi="Calibri"/>
                <w:b w:val="0"/>
                <w:color w:val="243B53"/>
                <w:sz w:val="16"/>
              </w:rPr>
              <w:t>Field binding</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color w:val="243B53"/>
                <w:sz w:val="16"/>
              </w:rPr>
              <w:t>Passed</w:t>
            </w:r>
          </w:p>
        </w:tc>
        <w:tc>
          <w:tcPr>
            <w:tcW w:type="dxa" w:w="4260"/>
            <w:tcMar>
              <w:top w:w="80" w:type="dxa"/>
              <w:start w:w="120" w:type="dxa"/>
              <w:bottom w:w="80" w:type="dxa"/>
              <w:end w:w="120" w:type="dxa"/>
            </w:tcMar>
            <w:vAlign w:val="center"/>
          </w:tcPr>
          <w:p>
            <w:pPr>
              <w:spacing w:before="0" w:after="40" w:line="252" w:lineRule="auto"/>
            </w:pPr>
            <w:r>
              <w:rPr>
                <w:rFonts w:ascii="Calibri" w:hAnsi="Calibri"/>
                <w:b w:val="0"/>
                <w:color w:val="243B53"/>
                <w:sz w:val="16"/>
              </w:rPr>
              <w:t>Every referenced field resolves to a model measure or column.</w:t>
            </w:r>
          </w:p>
        </w:tc>
      </w:tr>
      <w:tr>
        <w:trPr>
          <w:cantSplit w:val="true"/>
        </w:trPr>
        <w:tc>
          <w:tcPr>
            <w:tcW w:type="dxa" w:w="25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Page bounds</w:t>
            </w:r>
          </w:p>
        </w:tc>
        <w:tc>
          <w:tcPr>
            <w:tcW w:type="dxa" w:w="26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Passed</w:t>
            </w:r>
          </w:p>
        </w:tc>
        <w:tc>
          <w:tcPr>
            <w:tcW w:type="dxa" w:w="42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6"/>
              </w:rPr>
              <w:t>Maps and page content remain inside the defined page dimensions.</w:t>
            </w:r>
          </w:p>
        </w:tc>
      </w:tr>
    </w:tbl>
    <w:p>
      <w:pPr>
        <w:spacing w:after="40"/>
      </w:pPr>
    </w:p>
    <w:p>
      <w:pPr>
        <w:widowControl/>
      </w:pPr>
      <w:r>
        <w:rPr>
          <w:i w:val="0"/>
        </w:rPr>
        <w:t>Runtime response time is affected by the user's computer, Power BI Desktop version and map connection. No unsupported universal timing claim is made. The structural performance control focuses on a single-table Import model, no external relationships, no cloud visual dependency, 35 explicit measures and a finite 1,120-row dataset.</w:t>
      </w:r>
    </w:p>
    <w:p>
      <w:pPr>
        <w:pStyle w:val="Heading1"/>
      </w:pPr>
      <w:r>
        <w:t>12. Defect History and Regression Closure</w:t>
      </w:r>
    </w:p>
    <w:tbl>
      <w:tblPr>
        <w:tblW w:type="auto" w:w="0"/>
        <w:tblLayout w:type="fixed"/>
        <w:tblLook w:firstColumn="1" w:firstRow="1" w:lastColumn="0" w:lastRow="0" w:noHBand="0" w:noVBand="1" w:val="04A0"/>
        <w:tblLayout w:type="fixed"/>
        <w:tblW w:w="9360" w:type="dxa"/>
        <w:tblInd w:w="120" w:type="dxa"/>
      </w:tblPr>
      <w:tblGrid>
        <w:gridCol w:w="1900"/>
        <w:gridCol w:w="2400"/>
        <w:gridCol w:w="2700"/>
        <w:gridCol w:w="2360"/>
      </w:tblGrid>
      <w:tr>
        <w:trPr>
          <w:cantSplit w:val="true"/>
          <w:tblHeader w:val="true"/>
        </w:trPr>
        <w:tc>
          <w:tcPr>
            <w:tcW w:type="dxa" w:w="1900"/>
            <w:tcMar>
              <w:top w:w="80" w:type="dxa"/>
              <w:start w:w="120" w:type="dxa"/>
              <w:bottom w:w="80" w:type="dxa"/>
              <w:end w:w="120" w:type="dxa"/>
            </w:tcMar>
            <w:vAlign w:val="center"/>
            <w:shd w:fill="0F4C81"/>
          </w:tcPr>
          <w:p>
            <w:pPr>
              <w:spacing w:before="0" w:after="40" w:line="252" w:lineRule="auto"/>
            </w:pPr>
            <w:r>
              <w:rPr>
                <w:rFonts w:ascii="Calibri" w:hAnsi="Calibri"/>
                <w:b/>
                <w:color w:val="FFFFFF"/>
                <w:sz w:val="15"/>
              </w:rPr>
              <w:t>DEFECT</w:t>
            </w:r>
          </w:p>
        </w:tc>
        <w:tc>
          <w:tcPr>
            <w:tcW w:type="dxa" w:w="2400"/>
            <w:tcMar>
              <w:top w:w="80" w:type="dxa"/>
              <w:start w:w="120" w:type="dxa"/>
              <w:bottom w:w="80" w:type="dxa"/>
              <w:end w:w="120" w:type="dxa"/>
            </w:tcMar>
            <w:vAlign w:val="center"/>
            <w:shd w:fill="0F4C81"/>
          </w:tcPr>
          <w:p>
            <w:pPr>
              <w:spacing w:before="0" w:after="40" w:line="252" w:lineRule="auto"/>
            </w:pPr>
            <w:r>
              <w:rPr>
                <w:rFonts w:ascii="Calibri" w:hAnsi="Calibri"/>
                <w:b/>
                <w:color w:val="FFFFFF"/>
                <w:sz w:val="15"/>
              </w:rPr>
              <w:t>ROOT CAUSE</w:t>
            </w:r>
          </w:p>
        </w:tc>
        <w:tc>
          <w:tcPr>
            <w:tcW w:type="dxa" w:w="2700"/>
            <w:tcMar>
              <w:top w:w="80" w:type="dxa"/>
              <w:start w:w="120" w:type="dxa"/>
              <w:bottom w:w="80" w:type="dxa"/>
              <w:end w:w="120" w:type="dxa"/>
            </w:tcMar>
            <w:vAlign w:val="center"/>
            <w:shd w:fill="0F4C81"/>
          </w:tcPr>
          <w:p>
            <w:pPr>
              <w:spacing w:before="0" w:after="40" w:line="252" w:lineRule="auto"/>
            </w:pPr>
            <w:r>
              <w:rPr>
                <w:rFonts w:ascii="Calibri" w:hAnsi="Calibri"/>
                <w:b/>
                <w:color w:val="FFFFFF"/>
                <w:sz w:val="15"/>
              </w:rPr>
              <w:t>RESOLUTION</w:t>
            </w:r>
          </w:p>
        </w:tc>
        <w:tc>
          <w:tcPr>
            <w:tcW w:type="dxa" w:w="2360"/>
            <w:tcMar>
              <w:top w:w="80" w:type="dxa"/>
              <w:start w:w="120" w:type="dxa"/>
              <w:bottom w:w="80" w:type="dxa"/>
              <w:end w:w="120" w:type="dxa"/>
            </w:tcMar>
            <w:vAlign w:val="center"/>
            <w:shd w:fill="0F4C81"/>
          </w:tcPr>
          <w:p>
            <w:pPr>
              <w:spacing w:before="0" w:after="40" w:line="252" w:lineRule="auto"/>
            </w:pPr>
            <w:r>
              <w:rPr>
                <w:rFonts w:ascii="Calibri" w:hAnsi="Calibri"/>
                <w:b/>
                <w:color w:val="FFFFFF"/>
                <w:sz w:val="15"/>
              </w:rPr>
              <w:t>CLOSURE EVIDENCE</w:t>
            </w:r>
          </w:p>
        </w:tc>
      </w:tr>
      <w:tr>
        <w:trPr>
          <w:cantSplit w:val="true"/>
        </w:trPr>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243B53"/>
                <w:sz w:val="15"/>
              </w:rPr>
              <w:t>Blank PBIP visuals</w:t>
            </w:r>
          </w:p>
        </w:tc>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243B53"/>
                <w:sz w:val="15"/>
              </w:rPr>
              <w:t>Unprocessed PBIP cache</w:t>
            </w:r>
          </w:p>
        </w:tc>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243B53"/>
                <w:sz w:val="15"/>
              </w:rPr>
              <w:t>Refresh-once and PBIX save workflow</w:t>
            </w:r>
          </w:p>
        </w:tc>
        <w:tc>
          <w:tcPr>
            <w:tcW w:type="dxa" w:w="2360"/>
            <w:tcMar>
              <w:top w:w="80" w:type="dxa"/>
              <w:start w:w="120" w:type="dxa"/>
              <w:bottom w:w="80" w:type="dxa"/>
              <w:end w:w="120" w:type="dxa"/>
            </w:tcMar>
            <w:vAlign w:val="center"/>
          </w:tcPr>
          <w:p>
            <w:pPr>
              <w:spacing w:before="0" w:after="40" w:line="252" w:lineRule="auto"/>
            </w:pPr>
            <w:r>
              <w:rPr>
                <w:rFonts w:ascii="Calibri" w:hAnsi="Calibri"/>
                <w:b w:val="0"/>
                <w:color w:val="243B53"/>
                <w:sz w:val="15"/>
              </w:rPr>
              <w:t>UAT open/refresh tests</w:t>
            </w:r>
          </w:p>
        </w:tc>
      </w:tr>
      <w:tr>
        <w:trPr>
          <w:cantSplit w:val="true"/>
        </w:trPr>
        <w:tc>
          <w:tcPr>
            <w:tcW w:type="dxa" w:w="19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Blank KPI cards</w:t>
            </w:r>
          </w:p>
        </w:tc>
        <w:tc>
          <w:tcPr>
            <w:tcW w:type="dxa" w:w="24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Modern-card runtime binding issue</w:t>
            </w:r>
          </w:p>
        </w:tc>
        <w:tc>
          <w:tcPr>
            <w:tcW w:type="dxa" w:w="27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Stable card visual with Values role</w:t>
            </w:r>
          </w:p>
        </w:tc>
        <w:tc>
          <w:tcPr>
            <w:tcW w:type="dxa" w:w="23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22 bound card checks</w:t>
            </w:r>
          </w:p>
        </w:tc>
      </w:tr>
      <w:tr>
        <w:trPr>
          <w:cantSplit w:val="true"/>
        </w:trPr>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243B53"/>
                <w:sz w:val="15"/>
              </w:rPr>
              <w:t>Header-only charts</w:t>
            </w:r>
          </w:p>
        </w:tc>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243B53"/>
                <w:sz w:val="15"/>
              </w:rPr>
              <w:t>Inactive numeric projections</w:t>
            </w:r>
          </w:p>
        </w:tc>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243B53"/>
                <w:sz w:val="15"/>
              </w:rPr>
              <w:t>Activated all projections</w:t>
            </w:r>
          </w:p>
        </w:tc>
        <w:tc>
          <w:tcPr>
            <w:tcW w:type="dxa" w:w="2360"/>
            <w:tcMar>
              <w:top w:w="80" w:type="dxa"/>
              <w:start w:w="120" w:type="dxa"/>
              <w:bottom w:w="80" w:type="dxa"/>
              <w:end w:w="120" w:type="dxa"/>
            </w:tcMar>
            <w:vAlign w:val="center"/>
          </w:tcPr>
          <w:p>
            <w:pPr>
              <w:spacing w:before="0" w:after="40" w:line="252" w:lineRule="auto"/>
            </w:pPr>
            <w:r>
              <w:rPr>
                <w:rFonts w:ascii="Calibri" w:hAnsi="Calibri"/>
                <w:b w:val="0"/>
                <w:color w:val="243B53"/>
                <w:sz w:val="15"/>
              </w:rPr>
              <w:t>310 active; 0 inactive</w:t>
            </w:r>
          </w:p>
        </w:tc>
      </w:tr>
      <w:tr>
        <w:trPr>
          <w:cantSplit w:val="true"/>
        </w:trPr>
        <w:tc>
          <w:tcPr>
            <w:tcW w:type="dxa" w:w="19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Header-only scorecards</w:t>
            </w:r>
          </w:p>
        </w:tc>
        <w:tc>
          <w:tcPr>
            <w:tcW w:type="dxa" w:w="24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Incorrect table binding</w:t>
            </w:r>
          </w:p>
        </w:tc>
        <w:tc>
          <w:tcPr>
            <w:tcW w:type="dxa" w:w="27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Pivot matrices with rows and values</w:t>
            </w:r>
          </w:p>
        </w:tc>
        <w:tc>
          <w:tcPr>
            <w:tcW w:type="dxa" w:w="23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Field-binding validation</w:t>
            </w:r>
          </w:p>
        </w:tc>
      </w:tr>
      <w:tr>
        <w:trPr>
          <w:cantSplit w:val="true"/>
        </w:trPr>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243B53"/>
                <w:sz w:val="15"/>
              </w:rPr>
              <w:t>Azure Map sign-in</w:t>
            </w:r>
          </w:p>
        </w:tc>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243B53"/>
                <w:sz w:val="15"/>
              </w:rPr>
              <w:t>Azure visual account gate</w:t>
            </w:r>
          </w:p>
        </w:tc>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243B53"/>
                <w:sz w:val="15"/>
              </w:rPr>
              <w:t>Five standard maps</w:t>
            </w:r>
          </w:p>
        </w:tc>
        <w:tc>
          <w:tcPr>
            <w:tcW w:type="dxa" w:w="2360"/>
            <w:tcMar>
              <w:top w:w="80" w:type="dxa"/>
              <w:start w:w="120" w:type="dxa"/>
              <w:bottom w:w="80" w:type="dxa"/>
              <w:end w:w="120" w:type="dxa"/>
            </w:tcMar>
            <w:vAlign w:val="center"/>
          </w:tcPr>
          <w:p>
            <w:pPr>
              <w:spacing w:before="0" w:after="40" w:line="252" w:lineRule="auto"/>
            </w:pPr>
            <w:r>
              <w:rPr>
                <w:rFonts w:ascii="Calibri" w:hAnsi="Calibri"/>
                <w:b w:val="0"/>
                <w:color w:val="243B53"/>
                <w:sz w:val="15"/>
              </w:rPr>
              <w:t>No azureMap type remains</w:t>
            </w:r>
          </w:p>
        </w:tc>
      </w:tr>
      <w:tr>
        <w:trPr>
          <w:cantSplit w:val="true"/>
        </w:trPr>
        <w:tc>
          <w:tcPr>
            <w:tcW w:type="dxa" w:w="19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Navigation confusion</w:t>
            </w:r>
          </w:p>
        </w:tc>
        <w:tc>
          <w:tcPr>
            <w:tcW w:type="dxa" w:w="24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Ctrl+click required in edit mode</w:t>
            </w:r>
          </w:p>
        </w:tc>
        <w:tc>
          <w:tcPr>
            <w:tcW w:type="dxa" w:w="27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Visible instruction and user guide</w:t>
            </w:r>
          </w:p>
        </w:tc>
        <w:tc>
          <w:tcPr>
            <w:tcW w:type="dxa" w:w="23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5"/>
              </w:rPr>
              <w:t>UAT navigation scenarios</w:t>
            </w:r>
          </w:p>
        </w:tc>
      </w:tr>
      <w:tr>
        <w:trPr>
          <w:cantSplit w:val="true"/>
        </w:trPr>
        <w:tc>
          <w:tcPr>
            <w:tcW w:type="dxa" w:w="1900"/>
            <w:tcMar>
              <w:top w:w="80" w:type="dxa"/>
              <w:start w:w="120" w:type="dxa"/>
              <w:bottom w:w="80" w:type="dxa"/>
              <w:end w:w="120" w:type="dxa"/>
            </w:tcMar>
            <w:vAlign w:val="center"/>
          </w:tcPr>
          <w:p>
            <w:pPr>
              <w:spacing w:before="0" w:after="40" w:line="252" w:lineRule="auto"/>
            </w:pPr>
            <w:r>
              <w:rPr>
                <w:rFonts w:ascii="Calibri" w:hAnsi="Calibri"/>
                <w:b w:val="0"/>
                <w:color w:val="243B53"/>
                <w:sz w:val="15"/>
              </w:rPr>
              <w:t>Local Excel path risk</w:t>
            </w:r>
          </w:p>
        </w:tc>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243B53"/>
                <w:sz w:val="15"/>
              </w:rPr>
              <w:t>Machine-specific File.Contents</w:t>
            </w:r>
          </w:p>
        </w:tc>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243B53"/>
                <w:sz w:val="15"/>
              </w:rPr>
              <w:t>Embedded compressed Import data</w:t>
            </w:r>
          </w:p>
        </w:tc>
        <w:tc>
          <w:tcPr>
            <w:tcW w:type="dxa" w:w="2360"/>
            <w:tcMar>
              <w:top w:w="80" w:type="dxa"/>
              <w:start w:w="120" w:type="dxa"/>
              <w:bottom w:w="80" w:type="dxa"/>
              <w:end w:w="120" w:type="dxa"/>
            </w:tcMar>
            <w:vAlign w:val="center"/>
          </w:tcPr>
          <w:p>
            <w:pPr>
              <w:spacing w:before="0" w:after="40" w:line="252" w:lineRule="auto"/>
            </w:pPr>
            <w:r>
              <w:rPr>
                <w:rFonts w:ascii="Calibri" w:hAnsi="Calibri"/>
                <w:b w:val="0"/>
                <w:color w:val="243B53"/>
                <w:sz w:val="15"/>
              </w:rPr>
              <w:t>Portability tests</w:t>
            </w:r>
          </w:p>
        </w:tc>
      </w:tr>
    </w:tbl>
    <w:p>
      <w:pPr>
        <w:spacing w:after="40"/>
      </w:pPr>
    </w:p>
    <w:tbl>
      <w:tblPr>
        <w:tblW w:type="auto" w:w="0"/>
        <w:tblLayout w:type="fixed"/>
        <w:tblLook w:firstColumn="1" w:firstRow="1" w:lastColumn="0" w:lastRow="0" w:noHBand="0" w:noVBand="1" w:val="04A0"/>
        <w:tblLayout w:type="fixed"/>
        <w:tblW w:w="9360" w:type="dxa"/>
        <w:tblInd w:w="120" w:type="dxa"/>
      </w:tblPr>
      <w:tblGrid>
        <w:gridCol w:w="9360"/>
      </w:tblGrid>
      <w:tr>
        <w:trPr>
          <w:cantSplit w:val="true"/>
          <w:tblHeader w:val="true"/>
        </w:trPr>
        <w:tc>
          <w:tcPr>
            <w:tcW w:type="dxa" w:w="9360"/>
            <w:tcMar>
              <w:top w:w="80" w:type="dxa"/>
              <w:start w:w="120" w:type="dxa"/>
              <w:bottom w:w="80" w:type="dxa"/>
              <w:end w:w="120" w:type="dxa"/>
            </w:tcMar>
            <w:vAlign w:val="center"/>
            <w:shd w:fill="2A9D8F"/>
          </w:tcPr>
          <w:p>
            <w:pPr>
              <w:spacing w:before="0" w:after="40" w:line="252" w:lineRule="auto"/>
            </w:pPr>
            <w:r>
              <w:rPr>
                <w:rFonts w:ascii="Calibri" w:hAnsi="Calibri"/>
                <w:b/>
                <w:color w:val="FFFFFF"/>
                <w:sz w:val="19"/>
              </w:rPr>
              <w:t>REGRESSION RESULT</w:t>
            </w:r>
          </w:p>
        </w:tc>
      </w:tr>
      <w:tr>
        <w:trPr>
          <w:cantSplit w:val="true"/>
        </w:trPr>
        <w:tc>
          <w:tcPr>
            <w:tcW w:type="dxa" w:w="9360"/>
            <w:tcMar>
              <w:top w:w="80" w:type="dxa"/>
              <w:start w:w="120" w:type="dxa"/>
              <w:bottom w:w="80" w:type="dxa"/>
              <w:end w:w="120" w:type="dxa"/>
            </w:tcMar>
            <w:vAlign w:val="center"/>
            <w:shd w:fill="E8F5F1"/>
          </w:tcPr>
          <w:p>
            <w:pPr>
              <w:spacing w:before="0" w:after="40" w:line="252" w:lineRule="auto"/>
            </w:pPr>
            <w:r>
              <w:rPr>
                <w:rFonts w:ascii="Calibri" w:hAnsi="Calibri"/>
                <w:b w:val="0"/>
                <w:color w:val="243B53"/>
                <w:sz w:val="19"/>
              </w:rPr>
              <w:t>Every closed defect is represented by at least one current regression test. The final release contains zero open critical defects.</w:t>
            </w:r>
          </w:p>
        </w:tc>
      </w:tr>
    </w:tbl>
    <w:p>
      <w:pPr>
        <w:spacing w:after="40"/>
      </w:pPr>
    </w:p>
    <w:p>
      <w:pPr>
        <w:pStyle w:val="Heading1"/>
      </w:pPr>
      <w:r>
        <w:t>13. User Acceptance Testing and Sign-Off</w:t>
      </w:r>
    </w:p>
    <w:p>
      <w:pPr>
        <w:widowControl/>
      </w:pPr>
      <w:r>
        <w:rPr>
          <w:i w:val="0"/>
        </w:rPr>
        <w:t>Twenty UAT scenarios cover opening, refreshing, KPI visibility, page-level analytics, map rendering, filters, cross-filtering, navigation, PBIX saving and reopening. The working build was confirmed by the user and supported by Power BI screenshots showing populated KPI cards, charts, scorecards and maps.</w:t>
      </w:r>
    </w:p>
    <w:tbl>
      <w:tblPr>
        <w:tblW w:type="auto" w:w="0"/>
        <w:tblLayout w:type="fixed"/>
        <w:tblLook w:firstColumn="1" w:firstRow="1" w:lastColumn="0" w:lastRow="0" w:noHBand="0" w:noVBand="1" w:val="04A0"/>
        <w:tblLayout w:type="fixed"/>
        <w:tblW w:w="9360" w:type="dxa"/>
        <w:tblInd w:w="120" w:type="dxa"/>
      </w:tblPr>
      <w:tblGrid>
        <w:gridCol w:w="3000"/>
        <w:gridCol w:w="6360"/>
      </w:tblGrid>
      <w:tr>
        <w:trPr>
          <w:cantSplit w:val="true"/>
          <w:tblHeader w:val="true"/>
        </w:trPr>
        <w:tc>
          <w:tcPr>
            <w:tcW w:type="dxa" w:w="3000"/>
            <w:tcMar>
              <w:top w:w="80" w:type="dxa"/>
              <w:start w:w="120" w:type="dxa"/>
              <w:bottom w:w="80" w:type="dxa"/>
              <w:end w:w="120" w:type="dxa"/>
            </w:tcMar>
            <w:vAlign w:val="center"/>
            <w:shd w:fill="0F4C81"/>
          </w:tcPr>
          <w:p>
            <w:pPr>
              <w:spacing w:before="0" w:after="40" w:line="252" w:lineRule="auto"/>
            </w:pPr>
            <w:r>
              <w:rPr>
                <w:rFonts w:ascii="Calibri" w:hAnsi="Calibri"/>
                <w:b/>
                <w:color w:val="FFFFFF"/>
                <w:sz w:val="18"/>
              </w:rPr>
              <w:t>UAT AREA</w:t>
            </w:r>
          </w:p>
        </w:tc>
        <w:tc>
          <w:tcPr>
            <w:tcW w:type="dxa" w:w="6360"/>
            <w:tcMar>
              <w:top w:w="80" w:type="dxa"/>
              <w:start w:w="120" w:type="dxa"/>
              <w:bottom w:w="80" w:type="dxa"/>
              <w:end w:w="120" w:type="dxa"/>
            </w:tcMar>
            <w:vAlign w:val="center"/>
            <w:shd w:fill="0F4C81"/>
          </w:tcPr>
          <w:p>
            <w:pPr>
              <w:spacing w:before="0" w:after="40" w:line="252" w:lineRule="auto"/>
            </w:pPr>
            <w:r>
              <w:rPr>
                <w:rFonts w:ascii="Calibri" w:hAnsi="Calibri"/>
                <w:b/>
                <w:color w:val="FFFFFF"/>
                <w:sz w:val="18"/>
              </w:rPr>
              <w:t>ACCEPTED RESULT</w:t>
            </w:r>
          </w:p>
        </w:tc>
      </w:tr>
      <w:tr>
        <w:trPr>
          <w:cantSplit w:val="true"/>
        </w:trPr>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243B53"/>
                <w:sz w:val="18"/>
              </w:rPr>
              <w:t>University Overview</w:t>
            </w:r>
          </w:p>
        </w:tc>
        <w:tc>
          <w:tcPr>
            <w:tcW w:type="dxa" w:w="6360"/>
            <w:tcMar>
              <w:top w:w="80" w:type="dxa"/>
              <w:start w:w="120" w:type="dxa"/>
              <w:bottom w:w="80" w:type="dxa"/>
              <w:end w:w="120" w:type="dxa"/>
            </w:tcMar>
            <w:vAlign w:val="center"/>
          </w:tcPr>
          <w:p>
            <w:pPr>
              <w:spacing w:before="0" w:after="40" w:line="252" w:lineRule="auto"/>
            </w:pPr>
            <w:r>
              <w:rPr>
                <w:rFonts w:ascii="Calibri" w:hAnsi="Calibri"/>
                <w:b w:val="0"/>
                <w:color w:val="243B53"/>
                <w:sz w:val="18"/>
              </w:rPr>
              <w:t>1,120; 93; 57.1; 100.0 KPI baseline visible</w:t>
            </w:r>
          </w:p>
        </w:tc>
      </w:tr>
      <w:tr>
        <w:trPr>
          <w:cantSplit w:val="true"/>
        </w:trPr>
        <w:tc>
          <w:tcPr>
            <w:tcW w:type="dxa" w:w="30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8"/>
              </w:rPr>
              <w:t>Research Analytics</w:t>
            </w:r>
          </w:p>
        </w:tc>
        <w:tc>
          <w:tcPr>
            <w:tcW w:type="dxa" w:w="63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8"/>
              </w:rPr>
              <w:t>50.2; 46.4; 59.9; 33.0 KPI baseline visible</w:t>
            </w:r>
          </w:p>
        </w:tc>
      </w:tr>
      <w:tr>
        <w:trPr>
          <w:cantSplit w:val="true"/>
        </w:trPr>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243B53"/>
                <w:sz w:val="18"/>
              </w:rPr>
              <w:t>Student Analytics</w:t>
            </w:r>
          </w:p>
        </w:tc>
        <w:tc>
          <w:tcPr>
            <w:tcW w:type="dxa" w:w="6360"/>
            <w:tcMar>
              <w:top w:w="80" w:type="dxa"/>
              <w:start w:w="120" w:type="dxa"/>
              <w:bottom w:w="80" w:type="dxa"/>
              <w:end w:w="120" w:type="dxa"/>
            </w:tcMar>
            <w:vAlign w:val="center"/>
          </w:tcPr>
          <w:p>
            <w:pPr>
              <w:spacing w:before="0" w:after="40" w:line="252" w:lineRule="auto"/>
            </w:pPr>
            <w:r>
              <w:rPr>
                <w:rFonts w:ascii="Calibri" w:hAnsi="Calibri"/>
                <w:b w:val="0"/>
                <w:color w:val="243B53"/>
                <w:sz w:val="18"/>
              </w:rPr>
              <w:t>25K; 17.3; 14.6%; 36.6 KPI baseline visible</w:t>
            </w:r>
          </w:p>
        </w:tc>
      </w:tr>
      <w:tr>
        <w:trPr>
          <w:cantSplit w:val="true"/>
        </w:trPr>
        <w:tc>
          <w:tcPr>
            <w:tcW w:type="dxa" w:w="30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8"/>
              </w:rPr>
              <w:t>Country Comparison</w:t>
            </w:r>
          </w:p>
        </w:tc>
        <w:tc>
          <w:tcPr>
            <w:tcW w:type="dxa" w:w="63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8"/>
              </w:rPr>
              <w:t>93; 1,120; 389 improved; 428 declined visible</w:t>
            </w:r>
          </w:p>
        </w:tc>
      </w:tr>
      <w:tr>
        <w:trPr>
          <w:cantSplit w:val="true"/>
        </w:trPr>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243B53"/>
                <w:sz w:val="18"/>
              </w:rPr>
              <w:t>Maps</w:t>
            </w:r>
          </w:p>
        </w:tc>
        <w:tc>
          <w:tcPr>
            <w:tcW w:type="dxa" w:w="6360"/>
            <w:tcMar>
              <w:top w:w="80" w:type="dxa"/>
              <w:start w:w="120" w:type="dxa"/>
              <w:bottom w:w="80" w:type="dxa"/>
              <w:end w:w="120" w:type="dxa"/>
            </w:tcMar>
            <w:vAlign w:val="center"/>
          </w:tcPr>
          <w:p>
            <w:pPr>
              <w:spacing w:before="0" w:after="40" w:line="252" w:lineRule="auto"/>
            </w:pPr>
            <w:r>
              <w:rPr>
                <w:rFonts w:ascii="Calibri" w:hAnsi="Calibri"/>
                <w:b w:val="0"/>
                <w:color w:val="243B53"/>
                <w:sz w:val="18"/>
              </w:rPr>
              <w:t>Standard maps visible with Country and Region roles</w:t>
            </w:r>
          </w:p>
        </w:tc>
      </w:tr>
      <w:tr>
        <w:trPr>
          <w:cantSplit w:val="true"/>
        </w:trPr>
        <w:tc>
          <w:tcPr>
            <w:tcW w:type="dxa" w:w="30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8"/>
              </w:rPr>
              <w:t>PBIX workflow</w:t>
            </w:r>
          </w:p>
        </w:tc>
        <w:tc>
          <w:tcPr>
            <w:tcW w:type="dxa" w:w="63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8"/>
              </w:rPr>
              <w:t>Refreshed report saved and reopened as PBIX</w:t>
            </w:r>
          </w:p>
        </w:tc>
      </w:tr>
    </w:tbl>
    <w:p>
      <w:pPr>
        <w:spacing w:after="40"/>
      </w:pPr>
    </w:p>
    <w:p>
      <w:pPr>
        <w:widowControl/>
      </w:pPr>
      <w:r>
        <w:rPr>
          <w:i w:val="0"/>
        </w:rPr>
        <w:t>The QA workbook includes a formal sign-off sheet with project-owner, reviewer, date, decision, signature and comments fields. Objective release results are pre-populated; named approval fields remain available for institutional or faculty sign-off.</w:t>
      </w:r>
    </w:p>
    <w:p>
      <w:pPr>
        <w:pStyle w:val="Heading1"/>
      </w:pPr>
      <w:r>
        <w:t>14. Risk Assessment and Final Release Gate</w:t>
      </w:r>
    </w:p>
    <w:tbl>
      <w:tblPr>
        <w:tblW w:type="auto" w:w="0"/>
        <w:tblLayout w:type="fixed"/>
        <w:tblLook w:firstColumn="1" w:firstRow="1" w:lastColumn="0" w:lastRow="0" w:noHBand="0" w:noVBand="1" w:val="04A0"/>
        <w:tblLayout w:type="fixed"/>
        <w:tblW w:w="9360" w:type="dxa"/>
        <w:tblInd w:w="120" w:type="dxa"/>
      </w:tblPr>
      <w:tblGrid>
        <w:gridCol w:w="3300"/>
        <w:gridCol w:w="4500"/>
        <w:gridCol w:w="1560"/>
      </w:tblGrid>
      <w:tr>
        <w:trPr>
          <w:cantSplit w:val="true"/>
          <w:tblHeader w:val="true"/>
        </w:trPr>
        <w:tc>
          <w:tcPr>
            <w:tcW w:type="dxa" w:w="3300"/>
            <w:tcMar>
              <w:top w:w="80" w:type="dxa"/>
              <w:start w:w="120" w:type="dxa"/>
              <w:bottom w:w="80" w:type="dxa"/>
              <w:end w:w="120" w:type="dxa"/>
            </w:tcMar>
            <w:vAlign w:val="center"/>
            <w:shd w:fill="0F4C81"/>
          </w:tcPr>
          <w:p>
            <w:pPr>
              <w:spacing w:before="0" w:after="40" w:line="252" w:lineRule="auto"/>
            </w:pPr>
            <w:r>
              <w:rPr>
                <w:rFonts w:ascii="Calibri" w:hAnsi="Calibri"/>
                <w:b/>
                <w:color w:val="FFFFFF"/>
                <w:sz w:val="17"/>
              </w:rPr>
              <w:t>RISK</w:t>
            </w:r>
          </w:p>
        </w:tc>
        <w:tc>
          <w:tcPr>
            <w:tcW w:type="dxa" w:w="4500"/>
            <w:tcMar>
              <w:top w:w="80" w:type="dxa"/>
              <w:start w:w="120" w:type="dxa"/>
              <w:bottom w:w="80" w:type="dxa"/>
              <w:end w:w="120" w:type="dxa"/>
            </w:tcMar>
            <w:vAlign w:val="center"/>
            <w:shd w:fill="0F4C81"/>
          </w:tcPr>
          <w:p>
            <w:pPr>
              <w:spacing w:before="0" w:after="40" w:line="252" w:lineRule="auto"/>
            </w:pPr>
            <w:r>
              <w:rPr>
                <w:rFonts w:ascii="Calibri" w:hAnsi="Calibri"/>
                <w:b/>
                <w:color w:val="FFFFFF"/>
                <w:sz w:val="17"/>
              </w:rPr>
              <w:t>CONTROL</w:t>
            </w:r>
          </w:p>
        </w:tc>
        <w:tc>
          <w:tcPr>
            <w:tcW w:type="dxa" w:w="1560"/>
            <w:tcMar>
              <w:top w:w="80" w:type="dxa"/>
              <w:start w:w="120" w:type="dxa"/>
              <w:bottom w:w="80" w:type="dxa"/>
              <w:end w:w="120" w:type="dxa"/>
            </w:tcMar>
            <w:vAlign w:val="center"/>
            <w:shd w:fill="0F4C81"/>
          </w:tcPr>
          <w:p>
            <w:pPr>
              <w:spacing w:before="0" w:after="40" w:line="252" w:lineRule="auto"/>
            </w:pPr>
            <w:r>
              <w:rPr>
                <w:rFonts w:ascii="Calibri" w:hAnsi="Calibri"/>
                <w:b/>
                <w:color w:val="FFFFFF"/>
                <w:sz w:val="17"/>
              </w:rPr>
              <w:t>RESIDUAL</w:t>
            </w:r>
          </w:p>
        </w:tc>
      </w:tr>
      <w:tr>
        <w:trPr>
          <w:cantSplit w:val="true"/>
        </w:trPr>
        <w:tc>
          <w:tcPr>
            <w:tcW w:type="dxa" w:w="3300"/>
            <w:tcMar>
              <w:top w:w="80" w:type="dxa"/>
              <w:start w:w="120" w:type="dxa"/>
              <w:bottom w:w="80" w:type="dxa"/>
              <w:end w:w="120" w:type="dxa"/>
            </w:tcMar>
            <w:vAlign w:val="center"/>
          </w:tcPr>
          <w:p>
            <w:pPr>
              <w:spacing w:before="0" w:after="40" w:line="252" w:lineRule="auto"/>
            </w:pPr>
            <w:r>
              <w:rPr>
                <w:rFonts w:ascii="Calibri" w:hAnsi="Calibri"/>
                <w:b w:val="0"/>
                <w:color w:val="243B53"/>
                <w:sz w:val="17"/>
              </w:rPr>
              <w:t>Map tiles unavailable</w:t>
            </w:r>
          </w:p>
        </w:tc>
        <w:tc>
          <w:tcPr>
            <w:tcW w:type="dxa" w:w="4500"/>
            <w:tcMar>
              <w:top w:w="80" w:type="dxa"/>
              <w:start w:w="120" w:type="dxa"/>
              <w:bottom w:w="80" w:type="dxa"/>
              <w:end w:w="120" w:type="dxa"/>
            </w:tcMar>
            <w:vAlign w:val="center"/>
          </w:tcPr>
          <w:p>
            <w:pPr>
              <w:spacing w:before="0" w:after="40" w:line="252" w:lineRule="auto"/>
            </w:pPr>
            <w:r>
              <w:rPr>
                <w:rFonts w:ascii="Calibri" w:hAnsi="Calibri"/>
                <w:b w:val="0"/>
                <w:color w:val="243B53"/>
                <w:sz w:val="17"/>
              </w:rPr>
              <w:t>Document internet dependency; retain non-map analytics</w:t>
            </w:r>
          </w:p>
        </w:tc>
        <w:tc>
          <w:tcPr>
            <w:tcW w:type="dxa" w:w="1560"/>
            <w:tcMar>
              <w:top w:w="80" w:type="dxa"/>
              <w:start w:w="120" w:type="dxa"/>
              <w:bottom w:w="80" w:type="dxa"/>
              <w:end w:w="120" w:type="dxa"/>
            </w:tcMar>
            <w:vAlign w:val="center"/>
          </w:tcPr>
          <w:p>
            <w:pPr>
              <w:spacing w:before="0" w:after="40" w:line="252" w:lineRule="auto"/>
            </w:pPr>
            <w:r>
              <w:rPr>
                <w:rFonts w:ascii="Calibri" w:hAnsi="Calibri"/>
                <w:b w:val="0"/>
                <w:color w:val="243B53"/>
                <w:sz w:val="17"/>
              </w:rPr>
              <w:t>Low</w:t>
            </w:r>
          </w:p>
        </w:tc>
      </w:tr>
      <w:tr>
        <w:trPr>
          <w:cantSplit w:val="true"/>
        </w:trPr>
        <w:tc>
          <w:tcPr>
            <w:tcW w:type="dxa" w:w="33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Map option disabled</w:t>
            </w:r>
          </w:p>
        </w:tc>
        <w:tc>
          <w:tcPr>
            <w:tcW w:type="dxa" w:w="45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Enable Map/Filled Map under Global Security and restart</w:t>
            </w:r>
          </w:p>
        </w:tc>
        <w:tc>
          <w:tcPr>
            <w:tcW w:type="dxa" w:w="15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Low</w:t>
            </w:r>
          </w:p>
        </w:tc>
      </w:tr>
      <w:tr>
        <w:trPr>
          <w:cantSplit w:val="true"/>
        </w:trPr>
        <w:tc>
          <w:tcPr>
            <w:tcW w:type="dxa" w:w="3300"/>
            <w:tcMar>
              <w:top w:w="80" w:type="dxa"/>
              <w:start w:w="120" w:type="dxa"/>
              <w:bottom w:w="80" w:type="dxa"/>
              <w:end w:w="120" w:type="dxa"/>
            </w:tcMar>
            <w:vAlign w:val="center"/>
          </w:tcPr>
          <w:p>
            <w:pPr>
              <w:spacing w:before="0" w:after="40" w:line="252" w:lineRule="auto"/>
            </w:pPr>
            <w:r>
              <w:rPr>
                <w:rFonts w:ascii="Calibri" w:hAnsi="Calibri"/>
                <w:b w:val="0"/>
                <w:color w:val="243B53"/>
                <w:sz w:val="17"/>
              </w:rPr>
              <w:t>PBIP first refresh omitted</w:t>
            </w:r>
          </w:p>
        </w:tc>
        <w:tc>
          <w:tcPr>
            <w:tcW w:type="dxa" w:w="4500"/>
            <w:tcMar>
              <w:top w:w="80" w:type="dxa"/>
              <w:start w:w="120" w:type="dxa"/>
              <w:bottom w:w="80" w:type="dxa"/>
              <w:end w:w="120" w:type="dxa"/>
            </w:tcMar>
            <w:vAlign w:val="center"/>
          </w:tcPr>
          <w:p>
            <w:pPr>
              <w:spacing w:before="0" w:after="40" w:line="252" w:lineRule="auto"/>
            </w:pPr>
            <w:r>
              <w:rPr>
                <w:rFonts w:ascii="Calibri" w:hAnsi="Calibri"/>
                <w:b w:val="0"/>
                <w:color w:val="243B53"/>
                <w:sz w:val="17"/>
              </w:rPr>
              <w:t>START_HERE launcher and first-open procedure</w:t>
            </w:r>
          </w:p>
        </w:tc>
        <w:tc>
          <w:tcPr>
            <w:tcW w:type="dxa" w:w="1560"/>
            <w:tcMar>
              <w:top w:w="80" w:type="dxa"/>
              <w:start w:w="120" w:type="dxa"/>
              <w:bottom w:w="80" w:type="dxa"/>
              <w:end w:w="120" w:type="dxa"/>
            </w:tcMar>
            <w:vAlign w:val="center"/>
          </w:tcPr>
          <w:p>
            <w:pPr>
              <w:spacing w:before="0" w:after="40" w:line="252" w:lineRule="auto"/>
            </w:pPr>
            <w:r>
              <w:rPr>
                <w:rFonts w:ascii="Calibri" w:hAnsi="Calibri"/>
                <w:b w:val="0"/>
                <w:color w:val="243B53"/>
                <w:sz w:val="17"/>
              </w:rPr>
              <w:t>Low</w:t>
            </w:r>
          </w:p>
        </w:tc>
      </w:tr>
      <w:tr>
        <w:trPr>
          <w:cantSplit w:val="true"/>
        </w:trPr>
        <w:tc>
          <w:tcPr>
            <w:tcW w:type="dxa" w:w="33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Old PBIX opened</w:t>
            </w:r>
          </w:p>
        </w:tc>
        <w:tc>
          <w:tcPr>
            <w:tcW w:type="dxa" w:w="45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Approved release name and SHA-256</w:t>
            </w:r>
          </w:p>
        </w:tc>
        <w:tc>
          <w:tcPr>
            <w:tcW w:type="dxa" w:w="15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Low</w:t>
            </w:r>
          </w:p>
        </w:tc>
      </w:tr>
      <w:tr>
        <w:trPr>
          <w:cantSplit w:val="true"/>
        </w:trPr>
        <w:tc>
          <w:tcPr>
            <w:tcW w:type="dxa" w:w="3300"/>
            <w:tcMar>
              <w:top w:w="80" w:type="dxa"/>
              <w:start w:w="120" w:type="dxa"/>
              <w:bottom w:w="80" w:type="dxa"/>
              <w:end w:w="120" w:type="dxa"/>
            </w:tcMar>
            <w:vAlign w:val="center"/>
          </w:tcPr>
          <w:p>
            <w:pPr>
              <w:spacing w:before="0" w:after="40" w:line="252" w:lineRule="auto"/>
            </w:pPr>
            <w:r>
              <w:rPr>
                <w:rFonts w:ascii="Calibri" w:hAnsi="Calibri"/>
                <w:b w:val="0"/>
                <w:color w:val="243B53"/>
                <w:sz w:val="17"/>
              </w:rPr>
              <w:t>Source schema changes</w:t>
            </w:r>
          </w:p>
        </w:tc>
        <w:tc>
          <w:tcPr>
            <w:tcW w:type="dxa" w:w="4500"/>
            <w:tcMar>
              <w:top w:w="80" w:type="dxa"/>
              <w:start w:w="120" w:type="dxa"/>
              <w:bottom w:w="80" w:type="dxa"/>
              <w:end w:w="120" w:type="dxa"/>
            </w:tcMar>
            <w:vAlign w:val="center"/>
          </w:tcPr>
          <w:p>
            <w:pPr>
              <w:spacing w:before="0" w:after="40" w:line="252" w:lineRule="auto"/>
            </w:pPr>
            <w:r>
              <w:rPr>
                <w:rFonts w:ascii="Calibri" w:hAnsi="Calibri"/>
                <w:b w:val="0"/>
                <w:color w:val="243B53"/>
                <w:sz w:val="17"/>
              </w:rPr>
              <w:t>Re-run validator and field-binding checks</w:t>
            </w:r>
          </w:p>
        </w:tc>
        <w:tc>
          <w:tcPr>
            <w:tcW w:type="dxa" w:w="1560"/>
            <w:tcMar>
              <w:top w:w="80" w:type="dxa"/>
              <w:start w:w="120" w:type="dxa"/>
              <w:bottom w:w="80" w:type="dxa"/>
              <w:end w:w="120" w:type="dxa"/>
            </w:tcMar>
            <w:vAlign w:val="center"/>
          </w:tcPr>
          <w:p>
            <w:pPr>
              <w:spacing w:before="0" w:after="40" w:line="252" w:lineRule="auto"/>
            </w:pPr>
            <w:r>
              <w:rPr>
                <w:rFonts w:ascii="Calibri" w:hAnsi="Calibri"/>
                <w:b w:val="0"/>
                <w:color w:val="243B53"/>
                <w:sz w:val="17"/>
              </w:rPr>
              <w:t>Medium</w:t>
            </w:r>
          </w:p>
        </w:tc>
      </w:tr>
      <w:tr>
        <w:trPr>
          <w:cantSplit w:val="true"/>
        </w:trPr>
        <w:tc>
          <w:tcPr>
            <w:tcW w:type="dxa" w:w="33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2026 snapshot misread</w:t>
            </w:r>
          </w:p>
        </w:tc>
        <w:tc>
          <w:tcPr>
            <w:tcW w:type="dxa" w:w="45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Prominent reporting-year limitation</w:t>
            </w:r>
          </w:p>
        </w:tc>
        <w:tc>
          <w:tcPr>
            <w:tcW w:type="dxa" w:w="15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Low</w:t>
            </w:r>
          </w:p>
        </w:tc>
      </w:tr>
      <w:tr>
        <w:trPr>
          <w:cantSplit w:val="true"/>
        </w:trPr>
        <w:tc>
          <w:tcPr>
            <w:tcW w:type="dxa" w:w="3300"/>
            <w:tcMar>
              <w:top w:w="80" w:type="dxa"/>
              <w:start w:w="120" w:type="dxa"/>
              <w:bottom w:w="80" w:type="dxa"/>
              <w:end w:w="120" w:type="dxa"/>
            </w:tcMar>
            <w:vAlign w:val="center"/>
          </w:tcPr>
          <w:p>
            <w:pPr>
              <w:spacing w:before="0" w:after="40" w:line="252" w:lineRule="auto"/>
            </w:pPr>
            <w:r>
              <w:rPr>
                <w:rFonts w:ascii="Calibri" w:hAnsi="Calibri"/>
                <w:b w:val="0"/>
                <w:color w:val="243B53"/>
                <w:sz w:val="17"/>
              </w:rPr>
              <w:t>Productivity misread as publications</w:t>
            </w:r>
          </w:p>
        </w:tc>
        <w:tc>
          <w:tcPr>
            <w:tcW w:type="dxa" w:w="4500"/>
            <w:tcMar>
              <w:top w:w="80" w:type="dxa"/>
              <w:start w:w="120" w:type="dxa"/>
              <w:bottom w:w="80" w:type="dxa"/>
              <w:end w:w="120" w:type="dxa"/>
            </w:tcMar>
            <w:vAlign w:val="center"/>
          </w:tcPr>
          <w:p>
            <w:pPr>
              <w:spacing w:before="0" w:after="40" w:line="252" w:lineRule="auto"/>
            </w:pPr>
            <w:r>
              <w:rPr>
                <w:rFonts w:ascii="Calibri" w:hAnsi="Calibri"/>
                <w:b w:val="0"/>
                <w:color w:val="243B53"/>
                <w:sz w:val="17"/>
              </w:rPr>
              <w:t>Proxy formula and limitation control</w:t>
            </w:r>
          </w:p>
        </w:tc>
        <w:tc>
          <w:tcPr>
            <w:tcW w:type="dxa" w:w="1560"/>
            <w:tcMar>
              <w:top w:w="80" w:type="dxa"/>
              <w:start w:w="120" w:type="dxa"/>
              <w:bottom w:w="80" w:type="dxa"/>
              <w:end w:w="120" w:type="dxa"/>
            </w:tcMar>
            <w:vAlign w:val="center"/>
          </w:tcPr>
          <w:p>
            <w:pPr>
              <w:spacing w:before="0" w:after="40" w:line="252" w:lineRule="auto"/>
            </w:pPr>
            <w:r>
              <w:rPr>
                <w:rFonts w:ascii="Calibri" w:hAnsi="Calibri"/>
                <w:b w:val="0"/>
                <w:color w:val="243B53"/>
                <w:sz w:val="17"/>
              </w:rPr>
              <w:t>Low</w:t>
            </w:r>
          </w:p>
        </w:tc>
      </w:tr>
      <w:tr>
        <w:trPr>
          <w:cantSplit w:val="true"/>
        </w:trPr>
        <w:tc>
          <w:tcPr>
            <w:tcW w:type="dxa" w:w="33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Power BI runtime update</w:t>
            </w:r>
          </w:p>
        </w:tc>
        <w:tc>
          <w:tcPr>
            <w:tcW w:type="dxa" w:w="45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Regression-test after Desktop upgrades</w:t>
            </w:r>
          </w:p>
        </w:tc>
        <w:tc>
          <w:tcPr>
            <w:tcW w:type="dxa" w:w="15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Medium</w:t>
            </w:r>
          </w:p>
        </w:tc>
      </w:tr>
    </w:tbl>
    <w:p>
      <w:pPr>
        <w:spacing w:after="40"/>
      </w:pPr>
    </w:p>
    <w:tbl>
      <w:tblPr>
        <w:tblW w:type="auto" w:w="0"/>
        <w:tblLayout w:type="fixed"/>
        <w:tblLook w:firstColumn="1" w:firstRow="1" w:lastColumn="0" w:lastRow="0" w:noHBand="0" w:noVBand="1" w:val="04A0"/>
        <w:tblLayout w:type="fixed"/>
        <w:tblW w:w="9360" w:type="dxa"/>
        <w:tblInd w:w="120" w:type="dxa"/>
      </w:tblPr>
      <w:tblGrid>
        <w:gridCol w:w="9360"/>
      </w:tblGrid>
      <w:tr>
        <w:trPr>
          <w:cantSplit w:val="true"/>
          <w:tblHeader w:val="true"/>
        </w:trPr>
        <w:tc>
          <w:tcPr>
            <w:tcW w:type="dxa" w:w="9360"/>
            <w:tcMar>
              <w:top w:w="80" w:type="dxa"/>
              <w:start w:w="120" w:type="dxa"/>
              <w:bottom w:w="80" w:type="dxa"/>
              <w:end w:w="120" w:type="dxa"/>
            </w:tcMar>
            <w:vAlign w:val="center"/>
            <w:shd w:fill="2A9D8F"/>
          </w:tcPr>
          <w:p>
            <w:pPr>
              <w:spacing w:before="0" w:after="40" w:line="252" w:lineRule="auto"/>
            </w:pPr>
            <w:r>
              <w:rPr>
                <w:rFonts w:ascii="Calibri" w:hAnsi="Calibri"/>
                <w:b/>
                <w:color w:val="FFFFFF"/>
                <w:sz w:val="19"/>
              </w:rPr>
              <w:t>FINAL GATE</w:t>
            </w:r>
          </w:p>
        </w:tc>
      </w:tr>
      <w:tr>
        <w:trPr>
          <w:cantSplit w:val="true"/>
        </w:trPr>
        <w:tc>
          <w:tcPr>
            <w:tcW w:type="dxa" w:w="9360"/>
            <w:tcMar>
              <w:top w:w="80" w:type="dxa"/>
              <w:start w:w="120" w:type="dxa"/>
              <w:bottom w:w="80" w:type="dxa"/>
              <w:end w:w="120" w:type="dxa"/>
            </w:tcMar>
            <w:vAlign w:val="center"/>
            <w:shd w:fill="E8F5F1"/>
          </w:tcPr>
          <w:p>
            <w:pPr>
              <w:spacing w:before="0" w:after="40" w:line="252" w:lineRule="auto"/>
            </w:pPr>
            <w:r>
              <w:rPr>
                <w:rFonts w:ascii="Calibri" w:hAnsi="Calibri"/>
                <w:b w:val="0"/>
                <w:color w:val="243B53"/>
                <w:sz w:val="19"/>
              </w:rPr>
              <w:t>The release gate is APPROVED: 300 passed, 0 failed, 100.0% pass rate, and zero critical open defects.</w:t>
            </w:r>
          </w:p>
        </w:tc>
      </w:tr>
    </w:tbl>
    <w:p>
      <w:pPr>
        <w:spacing w:after="40"/>
      </w:pPr>
    </w:p>
    <w:p>
      <w:pPr>
        <w:pStyle w:val="Heading1"/>
      </w:pPr>
      <w:r>
        <w:t>Appendix A. How to Re-run the Validation</w:t>
      </w:r>
    </w:p>
    <w:p>
      <w:pPr>
        <w:pStyle w:val="ListNumber"/>
        <w:widowControl/>
      </w:pPr>
      <w:r>
        <w:rPr>
          <w:i w:val="0"/>
        </w:rPr>
        <w:t>Install the Python dependencies listed in the project environment.</w:t>
      </w:r>
    </w:p>
    <w:p>
      <w:pPr>
        <w:pStyle w:val="ListNumber"/>
        <w:widowControl/>
      </w:pPr>
      <w:r>
        <w:rPr>
          <w:i w:val="0"/>
        </w:rPr>
        <w:t>Open a terminal in the Milestone 4 package root.</w:t>
      </w:r>
    </w:p>
    <w:p>
      <w:pPr>
        <w:pStyle w:val="ListNumber"/>
        <w:widowControl/>
      </w:pPr>
      <w:r>
        <w:rPr>
          <w:i w:val="0"/>
        </w:rPr>
        <w:t>Run: python MODULE_07_QA_TESTING/automation/validate_milestone4.py</w:t>
      </w:r>
    </w:p>
    <w:p>
      <w:pPr>
        <w:pStyle w:val="ListNumber"/>
        <w:widowControl/>
      </w:pPr>
      <w:r>
        <w:rPr>
          <w:i w:val="0"/>
        </w:rPr>
        <w:t>Run: python -m unittest MODULE_07_QA_TESTING/automation/test_milestone4.py -v</w:t>
      </w:r>
    </w:p>
    <w:p>
      <w:pPr>
        <w:pStyle w:val="ListNumber"/>
        <w:widowControl/>
      </w:pPr>
      <w:r>
        <w:rPr>
          <w:i w:val="0"/>
        </w:rPr>
        <w:t>Review module7_validation.json, test_results.csv and dashboard_inventory.json under the evidence folder.</w:t>
      </w:r>
    </w:p>
    <w:p>
      <w:pPr>
        <w:pStyle w:val="ListNumber"/>
        <w:widowControl/>
      </w:pPr>
      <w:r>
        <w:rPr>
          <w:i w:val="0"/>
        </w:rPr>
        <w:t>Before final packaging, run the validator again with --include-deliverables.</w:t>
      </w:r>
    </w:p>
    <w:p>
      <w:pPr>
        <w:pStyle w:val="Heading1"/>
      </w:pPr>
      <w:r>
        <w:t>Appendix B. Evidence Index</w:t>
      </w:r>
    </w:p>
    <w:tbl>
      <w:tblPr>
        <w:tblW w:type="auto" w:w="0"/>
        <w:tblLayout w:type="fixed"/>
        <w:tblLook w:firstColumn="1" w:firstRow="1" w:lastColumn="0" w:lastRow="0" w:noHBand="0" w:noVBand="1" w:val="04A0"/>
        <w:tblLayout w:type="fixed"/>
        <w:tblW w:w="9360" w:type="dxa"/>
        <w:tblInd w:w="120" w:type="dxa"/>
      </w:tblPr>
      <w:tblGrid>
        <w:gridCol w:w="3500"/>
        <w:gridCol w:w="5860"/>
      </w:tblGrid>
      <w:tr>
        <w:trPr>
          <w:cantSplit w:val="true"/>
          <w:tblHeader w:val="true"/>
        </w:trPr>
        <w:tc>
          <w:tcPr>
            <w:tcW w:type="dxa" w:w="3500"/>
            <w:tcMar>
              <w:top w:w="80" w:type="dxa"/>
              <w:start w:w="120" w:type="dxa"/>
              <w:bottom w:w="80" w:type="dxa"/>
              <w:end w:w="120" w:type="dxa"/>
            </w:tcMar>
            <w:vAlign w:val="center"/>
            <w:shd w:fill="0F4C81"/>
          </w:tcPr>
          <w:p>
            <w:pPr>
              <w:spacing w:before="0" w:after="40" w:line="252" w:lineRule="auto"/>
            </w:pPr>
            <w:r>
              <w:rPr>
                <w:rFonts w:ascii="Calibri" w:hAnsi="Calibri"/>
                <w:b/>
                <w:color w:val="FFFFFF"/>
                <w:sz w:val="17"/>
              </w:rPr>
              <w:t>EVIDENCE</w:t>
            </w:r>
          </w:p>
        </w:tc>
        <w:tc>
          <w:tcPr>
            <w:tcW w:type="dxa" w:w="5860"/>
            <w:tcMar>
              <w:top w:w="80" w:type="dxa"/>
              <w:start w:w="120" w:type="dxa"/>
              <w:bottom w:w="80" w:type="dxa"/>
              <w:end w:w="120" w:type="dxa"/>
            </w:tcMar>
            <w:vAlign w:val="center"/>
            <w:shd w:fill="0F4C81"/>
          </w:tcPr>
          <w:p>
            <w:pPr>
              <w:spacing w:before="0" w:after="40" w:line="252" w:lineRule="auto"/>
            </w:pPr>
            <w:r>
              <w:rPr>
                <w:rFonts w:ascii="Calibri" w:hAnsi="Calibri"/>
                <w:b/>
                <w:color w:val="FFFFFF"/>
                <w:sz w:val="17"/>
              </w:rPr>
              <w:t>PURPOSE</w:t>
            </w:r>
          </w:p>
        </w:tc>
      </w:tr>
      <w:tr>
        <w:trPr>
          <w:cantSplit w:val="true"/>
        </w:trPr>
        <w:tc>
          <w:tcPr>
            <w:tcW w:type="dxa" w:w="3500"/>
            <w:tcMar>
              <w:top w:w="80" w:type="dxa"/>
              <w:start w:w="120" w:type="dxa"/>
              <w:bottom w:w="80" w:type="dxa"/>
              <w:end w:w="120" w:type="dxa"/>
            </w:tcMar>
            <w:vAlign w:val="center"/>
          </w:tcPr>
          <w:p>
            <w:pPr>
              <w:spacing w:before="0" w:after="40" w:line="252" w:lineRule="auto"/>
            </w:pPr>
            <w:r>
              <w:rPr>
                <w:rFonts w:ascii="Calibri" w:hAnsi="Calibri"/>
                <w:b w:val="0"/>
                <w:color w:val="243B53"/>
                <w:sz w:val="17"/>
              </w:rPr>
              <w:t>EduVision_Module_7_QA_Master.xlsx</w:t>
            </w:r>
          </w:p>
        </w:tc>
        <w:tc>
          <w:tcPr>
            <w:tcW w:type="dxa" w:w="5860"/>
            <w:tcMar>
              <w:top w:w="80" w:type="dxa"/>
              <w:start w:w="120" w:type="dxa"/>
              <w:bottom w:w="80" w:type="dxa"/>
              <w:end w:w="120" w:type="dxa"/>
            </w:tcMar>
            <w:vAlign w:val="center"/>
          </w:tcPr>
          <w:p>
            <w:pPr>
              <w:spacing w:before="0" w:after="40" w:line="252" w:lineRule="auto"/>
            </w:pPr>
            <w:r>
              <w:rPr>
                <w:rFonts w:ascii="Calibri" w:hAnsi="Calibri"/>
                <w:b w:val="0"/>
                <w:color w:val="243B53"/>
                <w:sz w:val="17"/>
              </w:rPr>
              <w:t>Detailed traceability, test register, UAT, defects, risks and sign-off</w:t>
            </w:r>
          </w:p>
        </w:tc>
      </w:tr>
      <w:tr>
        <w:trPr>
          <w:cantSplit w:val="true"/>
        </w:trPr>
        <w:tc>
          <w:tcPr>
            <w:tcW w:type="dxa" w:w="35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module7_validation.json</w:t>
            </w:r>
          </w:p>
        </w:tc>
        <w:tc>
          <w:tcPr>
            <w:tcW w:type="dxa" w:w="58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Machine-readable release summary and all test rows</w:t>
            </w:r>
          </w:p>
        </w:tc>
      </w:tr>
      <w:tr>
        <w:trPr>
          <w:cantSplit w:val="true"/>
        </w:trPr>
        <w:tc>
          <w:tcPr>
            <w:tcW w:type="dxa" w:w="3500"/>
            <w:tcMar>
              <w:top w:w="80" w:type="dxa"/>
              <w:start w:w="120" w:type="dxa"/>
              <w:bottom w:w="80" w:type="dxa"/>
              <w:end w:w="120" w:type="dxa"/>
            </w:tcMar>
            <w:vAlign w:val="center"/>
          </w:tcPr>
          <w:p>
            <w:pPr>
              <w:spacing w:before="0" w:after="40" w:line="252" w:lineRule="auto"/>
            </w:pPr>
            <w:r>
              <w:rPr>
                <w:rFonts w:ascii="Calibri" w:hAnsi="Calibri"/>
                <w:b w:val="0"/>
                <w:color w:val="243B53"/>
                <w:sz w:val="17"/>
              </w:rPr>
              <w:t>test_results.csv</w:t>
            </w:r>
          </w:p>
        </w:tc>
        <w:tc>
          <w:tcPr>
            <w:tcW w:type="dxa" w:w="5860"/>
            <w:tcMar>
              <w:top w:w="80" w:type="dxa"/>
              <w:start w:w="120" w:type="dxa"/>
              <w:bottom w:w="80" w:type="dxa"/>
              <w:end w:w="120" w:type="dxa"/>
            </w:tcMar>
            <w:vAlign w:val="center"/>
          </w:tcPr>
          <w:p>
            <w:pPr>
              <w:spacing w:before="0" w:after="40" w:line="252" w:lineRule="auto"/>
            </w:pPr>
            <w:r>
              <w:rPr>
                <w:rFonts w:ascii="Calibri" w:hAnsi="Calibri"/>
                <w:b w:val="0"/>
                <w:color w:val="243B53"/>
                <w:sz w:val="17"/>
              </w:rPr>
              <w:t>Flat test-case evidence for audit or filtering</w:t>
            </w:r>
          </w:p>
        </w:tc>
      </w:tr>
      <w:tr>
        <w:trPr>
          <w:cantSplit w:val="true"/>
        </w:trPr>
        <w:tc>
          <w:tcPr>
            <w:tcW w:type="dxa" w:w="35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dashboard_inventory.json</w:t>
            </w:r>
          </w:p>
        </w:tc>
        <w:tc>
          <w:tcPr>
            <w:tcW w:type="dxa" w:w="58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Page and visual contract inventory</w:t>
            </w:r>
          </w:p>
        </w:tc>
      </w:tr>
      <w:tr>
        <w:trPr>
          <w:cantSplit w:val="true"/>
        </w:trPr>
        <w:tc>
          <w:tcPr>
            <w:tcW w:type="dxa" w:w="3500"/>
            <w:tcMar>
              <w:top w:w="80" w:type="dxa"/>
              <w:start w:w="120" w:type="dxa"/>
              <w:bottom w:w="80" w:type="dxa"/>
              <w:end w:w="120" w:type="dxa"/>
            </w:tcMar>
            <w:vAlign w:val="center"/>
          </w:tcPr>
          <w:p>
            <w:pPr>
              <w:spacing w:before="0" w:after="40" w:line="252" w:lineRule="auto"/>
            </w:pPr>
            <w:r>
              <w:rPr>
                <w:rFonts w:ascii="Calibri" w:hAnsi="Calibri"/>
                <w:b w:val="0"/>
                <w:color w:val="243B53"/>
                <w:sz w:val="17"/>
              </w:rPr>
              <w:t>data_dictionary.json</w:t>
            </w:r>
          </w:p>
        </w:tc>
        <w:tc>
          <w:tcPr>
            <w:tcW w:type="dxa" w:w="5860"/>
            <w:tcMar>
              <w:top w:w="80" w:type="dxa"/>
              <w:start w:w="120" w:type="dxa"/>
              <w:bottom w:w="80" w:type="dxa"/>
              <w:end w:w="120" w:type="dxa"/>
            </w:tcMar>
            <w:vAlign w:val="center"/>
          </w:tcPr>
          <w:p>
            <w:pPr>
              <w:spacing w:before="0" w:after="40" w:line="252" w:lineRule="auto"/>
            </w:pPr>
            <w:r>
              <w:rPr>
                <w:rFonts w:ascii="Calibri" w:hAnsi="Calibri"/>
                <w:b w:val="0"/>
                <w:color w:val="243B53"/>
                <w:sz w:val="17"/>
              </w:rPr>
              <w:t>Field-level metadata for all 50 final dataset fields</w:t>
            </w:r>
          </w:p>
        </w:tc>
      </w:tr>
      <w:tr>
        <w:trPr>
          <w:cantSplit w:val="true"/>
        </w:trPr>
        <w:tc>
          <w:tcPr>
            <w:tcW w:type="dxa" w:w="350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validate_milestone4.py</w:t>
            </w:r>
          </w:p>
        </w:tc>
        <w:tc>
          <w:tcPr>
            <w:tcW w:type="dxa" w:w="5860"/>
            <w:tcMar>
              <w:top w:w="80" w:type="dxa"/>
              <w:start w:w="120" w:type="dxa"/>
              <w:bottom w:w="80" w:type="dxa"/>
              <w:end w:w="120" w:type="dxa"/>
            </w:tcMar>
            <w:vAlign w:val="center"/>
            <w:shd w:fill="F3F6FA"/>
          </w:tcPr>
          <w:p>
            <w:pPr>
              <w:spacing w:before="0" w:after="40" w:line="252" w:lineRule="auto"/>
            </w:pPr>
            <w:r>
              <w:rPr>
                <w:rFonts w:ascii="Calibri" w:hAnsi="Calibri"/>
                <w:b w:val="0"/>
                <w:color w:val="243B53"/>
                <w:sz w:val="17"/>
              </w:rPr>
              <w:t>Reproducible validation program</w:t>
            </w:r>
          </w:p>
        </w:tc>
      </w:tr>
      <w:tr>
        <w:trPr>
          <w:cantSplit w:val="true"/>
        </w:trPr>
        <w:tc>
          <w:tcPr>
            <w:tcW w:type="dxa" w:w="3500"/>
            <w:tcMar>
              <w:top w:w="80" w:type="dxa"/>
              <w:start w:w="120" w:type="dxa"/>
              <w:bottom w:w="80" w:type="dxa"/>
              <w:end w:w="120" w:type="dxa"/>
            </w:tcMar>
            <w:vAlign w:val="center"/>
          </w:tcPr>
          <w:p>
            <w:pPr>
              <w:spacing w:before="0" w:after="40" w:line="252" w:lineRule="auto"/>
            </w:pPr>
            <w:r>
              <w:rPr>
                <w:rFonts w:ascii="Calibri" w:hAnsi="Calibri"/>
                <w:b w:val="0"/>
                <w:color w:val="243B53"/>
                <w:sz w:val="17"/>
              </w:rPr>
              <w:t>test_milestone4.py</w:t>
            </w:r>
          </w:p>
        </w:tc>
        <w:tc>
          <w:tcPr>
            <w:tcW w:type="dxa" w:w="5860"/>
            <w:tcMar>
              <w:top w:w="80" w:type="dxa"/>
              <w:start w:w="120" w:type="dxa"/>
              <w:bottom w:w="80" w:type="dxa"/>
              <w:end w:w="120" w:type="dxa"/>
            </w:tcMar>
            <w:vAlign w:val="center"/>
          </w:tcPr>
          <w:p>
            <w:pPr>
              <w:spacing w:before="0" w:after="40" w:line="252" w:lineRule="auto"/>
            </w:pPr>
            <w:r>
              <w:rPr>
                <w:rFonts w:ascii="Calibri" w:hAnsi="Calibri"/>
                <w:b w:val="0"/>
                <w:color w:val="243B53"/>
                <w:sz w:val="17"/>
              </w:rPr>
              <w:t>Regression unittest suite</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6"/>
      </w:rPr>
      <w:t xml:space="preserve">MILESTONE 4 | MODULES 7 AND 8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4748B"/>
        <w:sz w:val="17"/>
      </w:rPr>
      <w:t>EDUVISION 2026 | MODULE 7 QA AND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3B5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F4C81"/>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F4C8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b/>
      <w:color w:val="14233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