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20" w:lineRule="auto"/>
        <w:jc w:val="center"/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u w:val="single"/>
        </w:rPr>
      </w:pPr>
      <w:bookmarkStart w:colFirst="0" w:colLast="0" w:name="_2rjvoypzdq5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u w:val="single"/>
          <w:rtl w:val="0"/>
        </w:rPr>
        <w:t xml:space="preserve">Loan Default Prediction Dataset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Goal: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develop a machine learning model that predicts the risk of a borrower defaulting on a loan and recommends personalized recovery actions.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About Dataset: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Loan Default Prediction Dataset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focuses on predicting whether a borrower will default on a loan based on various demographic, financial, and loan-related attributes.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consists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255,347 records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 columns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including both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numerical and categorical 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Each record represents a loan applicant with details related to their personal profile, employment, financial status, and loan information. The target variable,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“Default”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indicates whether the loan was defaulted (1) or not (0).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Overview: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Deep-dive into financial parameters: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Financial Health Indicators: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features directly measure a borrower's financial standing and ability to handle debt.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Income: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Higher income generally means a greater capacity to repay loans, lowering the risk of default.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CreditScore: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highly significant predictor. A high credit score indicates a history of responsible borrowing and timely repayments, suggesting a lower default risk. Conversely, a low score signals higher risk.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DTIRatio (Debt-to-Income Ratio)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crucial metric shows how much of a borrower's monthly income goes towards paying off debts. It's calculated as:</w:t>
        <w:br w:type="textWrapping"/>
        <w:t xml:space="preserve">DTI = (Gross Monthly Income) / (Total Monthly Debt Payments​)</w:t>
        <w:br w:type="textWrapping"/>
        <w:t xml:space="preserve">A lower DTI is better, as it suggests the borrower isn't over-leveraged and has enough income left over to handle new loan payments. A high DTI is a major red flag.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LoanAmount: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very large loan amount relative to the borrower's income can increase the financial strain, potentially raising the default risk.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Stability and Responsibility Indicators: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These features provide context about the borrower's life stability and sense of responsibility, which can indirectly signal their reliability.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MonthsEmployed &amp; EmploymentType: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long and stable employment history (e.g., many months in a full-time job) is a strong positive signal. It suggests a consistent and reliable source of income. Frequent job changes or unemployment are risk factors.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not always a direct cause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age can be a proxy for financial stability and experience. Older borrowers may have more stable careers and assets.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MaritalStatus &amp; HasDependents: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These factors can influence financial stability. For example, having dependents might increase financial strain, but a married applicant might have a dual-income household, which could lower risk.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HasMortgage: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Having a mortgage and paying it on time is a strong indicator of financial responsibility and creditworthiness.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Higher levels of education often correlate with higher, more stable incomes, which can lower the risk of default.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Loan Characteristics: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InterestRate: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Higher interest rates lead to higher monthly payments, which can strain a borrower's budget and increase the chance of default. Rates are often higher for riskier borrowers in the first place.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LoanTerm: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longer loan term means lower monthly payments but more interest paid over time. A very long term might be taken by someone who can't afford higher payments, indicating potential risk.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LoanPurpose: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reason for the loan can be indicative of risk. For example, a loan for a business venture might be riskier than a loan for a home improvement project.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HasCoSigner: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presence of a co-signer (someone who agrees to pay the debt if the primary borrower cannot) significantly reduces the risk for the lender, as there is a second person legally responsible for the repayment.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NumCreditLines: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shows how much credit the borrower already has access to. A very high number of open credit lines could indicate that the borrower is over-extended and relies heavily on debt.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