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4E738" w14:textId="77777777" w:rsidR="00E774C7" w:rsidRDefault="00E774C7">
      <w:pPr>
        <w:spacing w:before="2200"/>
      </w:pPr>
    </w:p>
    <w:p w14:paraId="70673744" w14:textId="30698C28" w:rsidR="00E774C7" w:rsidRDefault="00000000">
      <w:pPr>
        <w:jc w:val="center"/>
      </w:pPr>
      <w:r w:rsidRPr="00375AD6">
        <w:rPr>
          <w:b/>
          <w:bCs/>
          <w:color w:val="262626" w:themeColor="text1" w:themeTint="D9"/>
          <w:sz w:val="64"/>
          <w:szCs w:val="64"/>
        </w:rPr>
        <w:t>EduVision</w:t>
      </w:r>
      <w:r w:rsidR="00375AD6">
        <w:rPr>
          <w:b/>
          <w:bCs/>
          <w:color w:val="262626" w:themeColor="text1" w:themeTint="D9"/>
          <w:sz w:val="64"/>
          <w:szCs w:val="64"/>
        </w:rPr>
        <w:t>_</w:t>
      </w:r>
      <w:r w:rsidRPr="00375AD6">
        <w:rPr>
          <w:b/>
          <w:bCs/>
          <w:color w:val="262626" w:themeColor="text1" w:themeTint="D9"/>
          <w:sz w:val="64"/>
          <w:szCs w:val="64"/>
        </w:rPr>
        <w:t>DV</w:t>
      </w:r>
    </w:p>
    <w:p w14:paraId="42C0296F" w14:textId="77777777" w:rsidR="00E774C7" w:rsidRDefault="00000000">
      <w:pPr>
        <w:spacing w:before="160" w:after="40"/>
        <w:jc w:val="center"/>
      </w:pPr>
      <w:r>
        <w:rPr>
          <w:b/>
          <w:bCs/>
          <w:color w:val="1B7A72"/>
          <w:sz w:val="32"/>
          <w:szCs w:val="32"/>
        </w:rPr>
        <w:t>Higher Education Performance Dashboard</w:t>
      </w:r>
    </w:p>
    <w:p w14:paraId="1FF656DF" w14:textId="77777777" w:rsidR="00A27880" w:rsidRDefault="00A27880">
      <w:pPr>
        <w:spacing w:before="20" w:after="900"/>
        <w:jc w:val="center"/>
        <w:rPr>
          <w:i/>
          <w:iCs/>
          <w:color w:val="595959"/>
          <w:sz w:val="22"/>
          <w:szCs w:val="22"/>
        </w:rPr>
      </w:pPr>
    </w:p>
    <w:p w14:paraId="54D73BD1" w14:textId="601EA58E" w:rsidR="00A27880" w:rsidRPr="00A27880" w:rsidRDefault="00000000" w:rsidP="00A27880">
      <w:pPr>
        <w:spacing w:before="20" w:after="900"/>
        <w:jc w:val="center"/>
        <w:rPr>
          <w:i/>
          <w:iCs/>
          <w:color w:val="595959"/>
          <w:sz w:val="24"/>
          <w:szCs w:val="24"/>
        </w:rPr>
      </w:pPr>
      <w:r w:rsidRPr="00A27880">
        <w:rPr>
          <w:i/>
          <w:iCs/>
          <w:color w:val="595959"/>
          <w:sz w:val="24"/>
          <w:szCs w:val="24"/>
        </w:rPr>
        <w:t>Project Documentation &amp; Dashboard Guide</w:t>
      </w:r>
    </w:p>
    <w:p w14:paraId="322B6761" w14:textId="77777777" w:rsidR="00E774C7" w:rsidRDefault="00E774C7" w:rsidP="00375AD6">
      <w:pPr>
        <w:pBdr>
          <w:top w:val="single" w:sz="6" w:space="0" w:color="B98A2E"/>
        </w:pBdr>
        <w:spacing w:after="40"/>
        <w:jc w:val="center"/>
      </w:pPr>
    </w:p>
    <w:p w14:paraId="211B7399" w14:textId="3A97BE4A" w:rsidR="00375AD6" w:rsidRPr="00A27880" w:rsidRDefault="00375AD6" w:rsidP="00A27880">
      <w:pPr>
        <w:spacing w:before="700"/>
        <w:jc w:val="center"/>
        <w:rPr>
          <w:rFonts w:ascii="Aptos" w:hAnsi="Aptos"/>
          <w:color w:val="3A3A3A" w:themeColor="background2" w:themeShade="40"/>
          <w:sz w:val="32"/>
          <w:szCs w:val="32"/>
        </w:rPr>
      </w:pPr>
      <w:r w:rsidRPr="00A27880">
        <w:rPr>
          <w:rFonts w:ascii="Aptos" w:hAnsi="Aptos"/>
          <w:color w:val="3A3A3A" w:themeColor="background2" w:themeShade="40"/>
          <w:sz w:val="32"/>
          <w:szCs w:val="32"/>
        </w:rPr>
        <w:t>Prepared By- Ankita Mishra</w:t>
      </w:r>
    </w:p>
    <w:p w14:paraId="54E3CD09" w14:textId="7D3CD099" w:rsidR="00375AD6" w:rsidRPr="00A27880" w:rsidRDefault="00375AD6" w:rsidP="00375AD6">
      <w:pPr>
        <w:spacing w:before="700"/>
        <w:jc w:val="center"/>
        <w:rPr>
          <w:rFonts w:ascii="Aptos" w:hAnsi="Aptos"/>
          <w:color w:val="3A3A3A" w:themeColor="background2" w:themeShade="40"/>
          <w:sz w:val="32"/>
          <w:szCs w:val="32"/>
        </w:rPr>
      </w:pPr>
      <w:r w:rsidRPr="00A27880">
        <w:rPr>
          <w:rFonts w:ascii="Aptos" w:hAnsi="Aptos"/>
          <w:color w:val="3A3A3A" w:themeColor="background2" w:themeShade="40"/>
          <w:sz w:val="32"/>
          <w:szCs w:val="32"/>
        </w:rPr>
        <w:t>Email- iankitamishra09@gmail.com</w:t>
      </w:r>
    </w:p>
    <w:p w14:paraId="36EB929E" w14:textId="77777777" w:rsidR="00E774C7" w:rsidRDefault="00E774C7">
      <w:pPr>
        <w:spacing w:before="2200"/>
      </w:pPr>
    </w:p>
    <w:p w14:paraId="36F197AA" w14:textId="77777777" w:rsidR="00375AD6" w:rsidRDefault="00375AD6">
      <w:pPr>
        <w:jc w:val="center"/>
        <w:rPr>
          <w:color w:val="595959"/>
          <w:sz w:val="20"/>
          <w:szCs w:val="20"/>
        </w:rPr>
      </w:pPr>
    </w:p>
    <w:p w14:paraId="4FE5E844" w14:textId="77777777" w:rsidR="00375AD6" w:rsidRDefault="00375AD6">
      <w:pPr>
        <w:jc w:val="center"/>
        <w:rPr>
          <w:color w:val="595959"/>
          <w:sz w:val="20"/>
          <w:szCs w:val="20"/>
        </w:rPr>
      </w:pPr>
    </w:p>
    <w:p w14:paraId="6C857EA6" w14:textId="77777777" w:rsidR="00375AD6" w:rsidRDefault="00375AD6">
      <w:pPr>
        <w:jc w:val="center"/>
        <w:rPr>
          <w:color w:val="595959"/>
          <w:sz w:val="20"/>
          <w:szCs w:val="20"/>
        </w:rPr>
      </w:pPr>
    </w:p>
    <w:p w14:paraId="5C1559AE" w14:textId="77777777" w:rsidR="00375AD6" w:rsidRDefault="00375AD6">
      <w:pPr>
        <w:jc w:val="center"/>
        <w:rPr>
          <w:color w:val="595959"/>
          <w:sz w:val="20"/>
          <w:szCs w:val="20"/>
        </w:rPr>
      </w:pPr>
    </w:p>
    <w:p w14:paraId="3665980F" w14:textId="77777777" w:rsidR="00375AD6" w:rsidRDefault="00375AD6">
      <w:pPr>
        <w:jc w:val="center"/>
        <w:rPr>
          <w:color w:val="595959"/>
          <w:sz w:val="20"/>
          <w:szCs w:val="20"/>
        </w:rPr>
      </w:pPr>
    </w:p>
    <w:p w14:paraId="0664954A" w14:textId="3A1E45B9" w:rsidR="00E774C7" w:rsidRDefault="00000000">
      <w:pPr>
        <w:jc w:val="center"/>
      </w:pPr>
      <w:r>
        <w:rPr>
          <w:color w:val="595959"/>
          <w:sz w:val="20"/>
          <w:szCs w:val="20"/>
        </w:rPr>
        <w:t>September 2026</w:t>
      </w:r>
    </w:p>
    <w:p w14:paraId="5BBFDBD9" w14:textId="77777777" w:rsidR="00E774C7" w:rsidRDefault="00E774C7">
      <w:pPr>
        <w:sectPr w:rsidR="00E774C7">
          <w:pgSz w:w="12240" w:h="15840"/>
          <w:pgMar w:top="1440" w:right="1440" w:bottom="1440" w:left="1440" w:header="708" w:footer="708" w:gutter="0"/>
          <w:cols w:space="720"/>
          <w:docGrid w:linePitch="360"/>
        </w:sectPr>
      </w:pPr>
    </w:p>
    <w:p w14:paraId="4406B690" w14:textId="12C21041" w:rsidR="00A27880" w:rsidRPr="00A27880" w:rsidRDefault="00000000" w:rsidP="00A27880">
      <w:pPr>
        <w:pStyle w:val="Heading1"/>
        <w:pBdr>
          <w:bottom w:val="single" w:sz="8" w:space="4" w:color="1F2A44"/>
        </w:pBdr>
        <w:spacing w:before="360" w:after="200"/>
        <w:rPr>
          <w:b/>
          <w:bCs/>
          <w:color w:val="1F2A44"/>
          <w:sz w:val="36"/>
          <w:szCs w:val="36"/>
        </w:rPr>
      </w:pPr>
      <w:r w:rsidRPr="00A27880">
        <w:rPr>
          <w:b/>
          <w:bCs/>
          <w:color w:val="1F2A44"/>
          <w:sz w:val="36"/>
          <w:szCs w:val="36"/>
        </w:rPr>
        <w:lastRenderedPageBreak/>
        <w:t>Executive Summary</w:t>
      </w:r>
    </w:p>
    <w:p w14:paraId="4AFBA4BE" w14:textId="01D42E74" w:rsidR="00E774C7" w:rsidRPr="00A27880" w:rsidRDefault="00000000">
      <w:pPr>
        <w:spacing w:after="160" w:line="276" w:lineRule="auto"/>
        <w:jc w:val="both"/>
        <w:rPr>
          <w:sz w:val="24"/>
          <w:szCs w:val="24"/>
        </w:rPr>
      </w:pPr>
      <w:r w:rsidRPr="00A27880">
        <w:rPr>
          <w:color w:val="202020"/>
          <w:sz w:val="24"/>
          <w:szCs w:val="24"/>
        </w:rPr>
        <w:t>EduVision DV is a comprehensive higher-education analytics project that transforms publicly available university ranking data — sourced from the QS World University Rankings and the ARWU / Shanghai World University Rankings — into a unified, interactive Tableau dashboard suite. The project covers the full analytics lifecycle: raw data collection, cleaning and standardization, KPI engineering, dashboard design, and integration into a single navigable workbook.</w:t>
      </w:r>
    </w:p>
    <w:p w14:paraId="32EBDA6D" w14:textId="77777777" w:rsidR="00E774C7" w:rsidRPr="00A27880" w:rsidRDefault="00000000">
      <w:pPr>
        <w:spacing w:after="160" w:line="276" w:lineRule="auto"/>
        <w:jc w:val="both"/>
        <w:rPr>
          <w:sz w:val="24"/>
          <w:szCs w:val="24"/>
        </w:rPr>
      </w:pPr>
      <w:r w:rsidRPr="00A27880">
        <w:rPr>
          <w:color w:val="202020"/>
          <w:sz w:val="24"/>
          <w:szCs w:val="24"/>
        </w:rPr>
        <w:t>The final deliverable, EduVision_</w:t>
      </w:r>
      <w:proofErr w:type="gramStart"/>
      <w:r w:rsidRPr="00A27880">
        <w:rPr>
          <w:color w:val="202020"/>
          <w:sz w:val="24"/>
          <w:szCs w:val="24"/>
        </w:rPr>
        <w:t>DV.twbx</w:t>
      </w:r>
      <w:proofErr w:type="gramEnd"/>
      <w:r w:rsidRPr="00A27880">
        <w:rPr>
          <w:color w:val="202020"/>
          <w:sz w:val="24"/>
          <w:szCs w:val="24"/>
        </w:rPr>
        <w:t>, consists of four interconnected dashboards — University Overview, Research Analytics, Student Analytics, and Country Comparison — that allow students, researchers, university administrators, policymakers, and education consultants to explore institutional performance, benchmark countries, and identify global trends in higher education.</w:t>
      </w:r>
    </w:p>
    <w:p w14:paraId="1D27536D" w14:textId="77777777" w:rsidR="00E774C7" w:rsidRPr="00A27880" w:rsidRDefault="00000000">
      <w:pPr>
        <w:spacing w:after="160" w:line="276" w:lineRule="auto"/>
        <w:jc w:val="both"/>
        <w:rPr>
          <w:sz w:val="24"/>
          <w:szCs w:val="24"/>
        </w:rPr>
      </w:pPr>
      <w:r w:rsidRPr="00A27880">
        <w:rPr>
          <w:color w:val="202020"/>
          <w:sz w:val="24"/>
          <w:szCs w:val="24"/>
        </w:rPr>
        <w:t>This document explains the end-to-end project workflow, the data cleaning and KPI engineering methodology, and walks through each of the four dashboards individually, describing the visuals, filters, and the insights each one is designed to surface.</w:t>
      </w:r>
    </w:p>
    <w:p w14:paraId="511EA8E1" w14:textId="77777777" w:rsidR="00A27880" w:rsidRDefault="00A27880">
      <w:pPr>
        <w:pStyle w:val="Heading2"/>
        <w:spacing w:before="280" w:after="140"/>
        <w:rPr>
          <w:b/>
          <w:bCs/>
          <w:color w:val="1B7A72"/>
          <w:sz w:val="24"/>
          <w:szCs w:val="24"/>
        </w:rPr>
      </w:pPr>
    </w:p>
    <w:p w14:paraId="23ED3277" w14:textId="5DB5BE2B" w:rsidR="00A27880" w:rsidRPr="00A27880" w:rsidRDefault="00000000">
      <w:pPr>
        <w:pStyle w:val="Heading2"/>
        <w:spacing w:before="280" w:after="140"/>
        <w:rPr>
          <w:b/>
          <w:bCs/>
          <w:color w:val="1B7A72"/>
          <w:sz w:val="32"/>
          <w:szCs w:val="32"/>
        </w:rPr>
      </w:pPr>
      <w:r w:rsidRPr="00A27880">
        <w:rPr>
          <w:b/>
          <w:bCs/>
          <w:color w:val="1B7A72"/>
          <w:sz w:val="32"/>
          <w:szCs w:val="32"/>
        </w:rPr>
        <w:t>Document Contents</w:t>
      </w:r>
    </w:p>
    <w:p w14:paraId="21D06442" w14:textId="77777777" w:rsidR="00E774C7" w:rsidRPr="00A27880" w:rsidRDefault="00000000">
      <w:pPr>
        <w:pStyle w:val="ListParagraph"/>
        <w:numPr>
          <w:ilvl w:val="0"/>
          <w:numId w:val="2"/>
        </w:numPr>
        <w:spacing w:after="80" w:line="268" w:lineRule="auto"/>
        <w:rPr>
          <w:sz w:val="24"/>
          <w:szCs w:val="24"/>
        </w:rPr>
      </w:pPr>
      <w:r w:rsidRPr="00A27880">
        <w:rPr>
          <w:color w:val="202020"/>
          <w:sz w:val="24"/>
          <w:szCs w:val="24"/>
        </w:rPr>
        <w:t>Project background, objectives, and intended audience</w:t>
      </w:r>
    </w:p>
    <w:p w14:paraId="52A30CDF" w14:textId="77777777" w:rsidR="00E774C7" w:rsidRPr="00A27880" w:rsidRDefault="00000000">
      <w:pPr>
        <w:pStyle w:val="ListParagraph"/>
        <w:numPr>
          <w:ilvl w:val="0"/>
          <w:numId w:val="2"/>
        </w:numPr>
        <w:spacing w:after="80" w:line="268" w:lineRule="auto"/>
        <w:rPr>
          <w:sz w:val="24"/>
          <w:szCs w:val="24"/>
        </w:rPr>
      </w:pPr>
      <w:r w:rsidRPr="00A27880">
        <w:rPr>
          <w:color w:val="202020"/>
          <w:sz w:val="24"/>
          <w:szCs w:val="24"/>
        </w:rPr>
        <w:t>End-to-end project workflow across four milestones</w:t>
      </w:r>
    </w:p>
    <w:p w14:paraId="54319922" w14:textId="77777777" w:rsidR="00E774C7" w:rsidRPr="00A27880" w:rsidRDefault="00000000">
      <w:pPr>
        <w:pStyle w:val="ListParagraph"/>
        <w:numPr>
          <w:ilvl w:val="0"/>
          <w:numId w:val="2"/>
        </w:numPr>
        <w:spacing w:after="80" w:line="268" w:lineRule="auto"/>
        <w:rPr>
          <w:sz w:val="24"/>
          <w:szCs w:val="24"/>
        </w:rPr>
      </w:pPr>
      <w:r w:rsidRPr="00A27880">
        <w:rPr>
          <w:color w:val="202020"/>
          <w:sz w:val="24"/>
          <w:szCs w:val="24"/>
        </w:rPr>
        <w:t>Data collection and cleaning methodology</w:t>
      </w:r>
    </w:p>
    <w:p w14:paraId="0DCC8A31" w14:textId="77777777" w:rsidR="00E774C7" w:rsidRPr="00A27880" w:rsidRDefault="00000000">
      <w:pPr>
        <w:pStyle w:val="ListParagraph"/>
        <w:numPr>
          <w:ilvl w:val="0"/>
          <w:numId w:val="2"/>
        </w:numPr>
        <w:spacing w:after="80" w:line="268" w:lineRule="auto"/>
        <w:rPr>
          <w:sz w:val="24"/>
          <w:szCs w:val="24"/>
        </w:rPr>
      </w:pPr>
      <w:r w:rsidRPr="00A27880">
        <w:rPr>
          <w:color w:val="202020"/>
          <w:sz w:val="24"/>
          <w:szCs w:val="24"/>
        </w:rPr>
        <w:t>Education KPI engineering — definitions and formulas</w:t>
      </w:r>
    </w:p>
    <w:p w14:paraId="7ADE2F4C" w14:textId="77777777" w:rsidR="00E774C7" w:rsidRPr="00A27880" w:rsidRDefault="00000000">
      <w:pPr>
        <w:pStyle w:val="ListParagraph"/>
        <w:numPr>
          <w:ilvl w:val="0"/>
          <w:numId w:val="2"/>
        </w:numPr>
        <w:spacing w:after="80" w:line="268" w:lineRule="auto"/>
        <w:rPr>
          <w:sz w:val="24"/>
          <w:szCs w:val="24"/>
        </w:rPr>
      </w:pPr>
      <w:r w:rsidRPr="00A27880">
        <w:rPr>
          <w:color w:val="202020"/>
          <w:sz w:val="24"/>
          <w:szCs w:val="24"/>
        </w:rPr>
        <w:t>Individual walkthrough of all four dashboards, with screenshots</w:t>
      </w:r>
    </w:p>
    <w:p w14:paraId="38C96AF9" w14:textId="77777777" w:rsidR="00E774C7" w:rsidRPr="00A27880" w:rsidRDefault="00000000">
      <w:pPr>
        <w:pStyle w:val="ListParagraph"/>
        <w:numPr>
          <w:ilvl w:val="0"/>
          <w:numId w:val="2"/>
        </w:numPr>
        <w:spacing w:after="80" w:line="268" w:lineRule="auto"/>
        <w:rPr>
          <w:sz w:val="24"/>
          <w:szCs w:val="24"/>
        </w:rPr>
      </w:pPr>
      <w:r w:rsidRPr="00A27880">
        <w:rPr>
          <w:color w:val="202020"/>
          <w:sz w:val="24"/>
          <w:szCs w:val="24"/>
        </w:rPr>
        <w:t>Evaluation criteria, tech stack, and final deliverables</w:t>
      </w:r>
    </w:p>
    <w:p w14:paraId="2219AFBF" w14:textId="77777777" w:rsidR="00E774C7" w:rsidRPr="00A27880" w:rsidRDefault="00000000">
      <w:pPr>
        <w:rPr>
          <w:sz w:val="22"/>
          <w:szCs w:val="22"/>
        </w:rPr>
      </w:pPr>
      <w:r w:rsidRPr="00A27880">
        <w:rPr>
          <w:sz w:val="22"/>
          <w:szCs w:val="22"/>
        </w:rPr>
        <w:br w:type="page"/>
      </w:r>
    </w:p>
    <w:p w14:paraId="4E77EB55" w14:textId="77777777" w:rsidR="00E774C7" w:rsidRDefault="00000000">
      <w:pPr>
        <w:pStyle w:val="Heading1"/>
        <w:pBdr>
          <w:bottom w:val="single" w:sz="8" w:space="4" w:color="1F2A44"/>
        </w:pBdr>
        <w:spacing w:before="360" w:after="200"/>
      </w:pPr>
      <w:r>
        <w:rPr>
          <w:b/>
          <w:bCs/>
          <w:color w:val="1F2A44"/>
          <w:sz w:val="30"/>
          <w:szCs w:val="30"/>
        </w:rPr>
        <w:lastRenderedPageBreak/>
        <w:t>1. Project Overview</w:t>
      </w:r>
    </w:p>
    <w:p w14:paraId="698BF784" w14:textId="77777777" w:rsidR="00E774C7" w:rsidRDefault="00000000">
      <w:pPr>
        <w:pStyle w:val="Heading2"/>
        <w:spacing w:before="280" w:after="140"/>
      </w:pPr>
      <w:r>
        <w:rPr>
          <w:b/>
          <w:bCs/>
          <w:color w:val="1B7A72"/>
          <w:sz w:val="24"/>
          <w:szCs w:val="24"/>
        </w:rPr>
        <w:t>1.1 Project Statement</w:t>
      </w:r>
    </w:p>
    <w:p w14:paraId="39A3626A" w14:textId="77777777" w:rsidR="00E774C7" w:rsidRDefault="00000000">
      <w:pPr>
        <w:spacing w:after="160" w:line="276" w:lineRule="auto"/>
        <w:jc w:val="both"/>
      </w:pPr>
      <w:r>
        <w:rPr>
          <w:color w:val="202020"/>
        </w:rPr>
        <w:t>This project develops a comprehensive higher education analytics dashboard suite for analyzing university rankings, research performance, student diversity, academic excellence, and global education trends. Using publicly available datasets — the QS World University Rankings and the ARWU (Shanghai) World University Rankings — raw educational data is transformed into actionable insights through a set of interactive Tableau dashboards.</w:t>
      </w:r>
    </w:p>
    <w:p w14:paraId="4C033FB8" w14:textId="77777777" w:rsidR="00E774C7" w:rsidRDefault="00000000">
      <w:pPr>
        <w:spacing w:after="160" w:line="276" w:lineRule="auto"/>
        <w:jc w:val="both"/>
      </w:pPr>
      <w:r>
        <w:rPr>
          <w:color w:val="202020"/>
        </w:rPr>
        <w:t>The dashboard suite is designed to enable five primary audiences to evaluate institutional performance, compare universities globally, analyze research output, and identify trends in higher education:</w:t>
      </w:r>
    </w:p>
    <w:p w14:paraId="33B04D10" w14:textId="77777777" w:rsidR="00E774C7" w:rsidRDefault="00000000">
      <w:pPr>
        <w:pStyle w:val="ListParagraph"/>
        <w:numPr>
          <w:ilvl w:val="0"/>
          <w:numId w:val="2"/>
        </w:numPr>
        <w:spacing w:after="80" w:line="268" w:lineRule="auto"/>
      </w:pPr>
      <w:r>
        <w:rPr>
          <w:color w:val="202020"/>
        </w:rPr>
        <w:t>Prospective students researching and comparing institutions</w:t>
      </w:r>
    </w:p>
    <w:p w14:paraId="0D8922C7" w14:textId="77777777" w:rsidR="00E774C7" w:rsidRDefault="00000000">
      <w:pPr>
        <w:pStyle w:val="ListParagraph"/>
        <w:numPr>
          <w:ilvl w:val="0"/>
          <w:numId w:val="2"/>
        </w:numPr>
        <w:spacing w:after="80" w:line="268" w:lineRule="auto"/>
      </w:pPr>
      <w:r>
        <w:rPr>
          <w:color w:val="202020"/>
        </w:rPr>
        <w:t>Academic researchers analyzing global research productivity</w:t>
      </w:r>
    </w:p>
    <w:p w14:paraId="6107D61A" w14:textId="77777777" w:rsidR="00E774C7" w:rsidRDefault="00000000">
      <w:pPr>
        <w:pStyle w:val="ListParagraph"/>
        <w:numPr>
          <w:ilvl w:val="0"/>
          <w:numId w:val="2"/>
        </w:numPr>
        <w:spacing w:after="80" w:line="268" w:lineRule="auto"/>
      </w:pPr>
      <w:r>
        <w:rPr>
          <w:color w:val="202020"/>
        </w:rPr>
        <w:t>University administrators benchmarking their institution against peers</w:t>
      </w:r>
    </w:p>
    <w:p w14:paraId="04AD8AED" w14:textId="77777777" w:rsidR="00E774C7" w:rsidRDefault="00000000">
      <w:pPr>
        <w:pStyle w:val="ListParagraph"/>
        <w:numPr>
          <w:ilvl w:val="0"/>
          <w:numId w:val="2"/>
        </w:numPr>
        <w:spacing w:after="80" w:line="268" w:lineRule="auto"/>
      </w:pPr>
      <w:r>
        <w:rPr>
          <w:color w:val="202020"/>
        </w:rPr>
        <w:t>Policymakers assessing national higher-education performance</w:t>
      </w:r>
    </w:p>
    <w:p w14:paraId="10B753A8" w14:textId="77777777" w:rsidR="00E774C7" w:rsidRDefault="00000000">
      <w:pPr>
        <w:pStyle w:val="ListParagraph"/>
        <w:numPr>
          <w:ilvl w:val="0"/>
          <w:numId w:val="2"/>
        </w:numPr>
        <w:spacing w:after="80" w:line="268" w:lineRule="auto"/>
      </w:pPr>
      <w:r>
        <w:rPr>
          <w:color w:val="202020"/>
        </w:rPr>
        <w:t>Education consultants advising clients on institutional strategy</w:t>
      </w:r>
    </w:p>
    <w:p w14:paraId="6411184A" w14:textId="77777777" w:rsidR="00E774C7" w:rsidRDefault="00000000">
      <w:pPr>
        <w:pStyle w:val="Heading2"/>
        <w:spacing w:before="280" w:after="140"/>
      </w:pPr>
      <w:r>
        <w:rPr>
          <w:b/>
          <w:bCs/>
          <w:color w:val="1B7A72"/>
          <w:sz w:val="24"/>
          <w:szCs w:val="24"/>
        </w:rPr>
        <w:t>1.2 Final Deliverable</w:t>
      </w:r>
    </w:p>
    <w:p w14:paraId="7EDDBAED" w14:textId="77777777" w:rsidR="00E774C7" w:rsidRDefault="00000000">
      <w:pPr>
        <w:spacing w:after="160" w:line="276" w:lineRule="auto"/>
        <w:jc w:val="both"/>
      </w:pPr>
      <w:r>
        <w:rPr>
          <w:color w:val="202020"/>
        </w:rPr>
        <w:t>The final deliverable is a single, unified Tableau workbook (EduVision_</w:t>
      </w:r>
      <w:proofErr w:type="gramStart"/>
      <w:r>
        <w:rPr>
          <w:color w:val="202020"/>
        </w:rPr>
        <w:t>DV.twbx</w:t>
      </w:r>
      <w:proofErr w:type="gramEnd"/>
      <w:r>
        <w:rPr>
          <w:color w:val="202020"/>
        </w:rPr>
        <w:t>) consisting of four interconnected dashboards, each accessible through a shared top navigation bar and linked by global filters and parameter actions:</w:t>
      </w:r>
    </w:p>
    <w:p w14:paraId="1B591375" w14:textId="77777777" w:rsidR="00E774C7" w:rsidRDefault="00000000">
      <w:pPr>
        <w:pStyle w:val="ListParagraph"/>
        <w:numPr>
          <w:ilvl w:val="0"/>
          <w:numId w:val="2"/>
        </w:numPr>
        <w:spacing w:after="80" w:line="268" w:lineRule="auto"/>
      </w:pPr>
      <w:r>
        <w:rPr>
          <w:color w:val="202020"/>
        </w:rPr>
        <w:t>University Overview</w:t>
      </w:r>
    </w:p>
    <w:p w14:paraId="434C1EA2" w14:textId="77777777" w:rsidR="00E774C7" w:rsidRDefault="00000000">
      <w:pPr>
        <w:pStyle w:val="ListParagraph"/>
        <w:numPr>
          <w:ilvl w:val="0"/>
          <w:numId w:val="2"/>
        </w:numPr>
        <w:spacing w:after="80" w:line="268" w:lineRule="auto"/>
      </w:pPr>
      <w:r>
        <w:rPr>
          <w:color w:val="202020"/>
        </w:rPr>
        <w:t>Research Analytics</w:t>
      </w:r>
    </w:p>
    <w:p w14:paraId="5A40105B" w14:textId="77777777" w:rsidR="00E774C7" w:rsidRDefault="00000000">
      <w:pPr>
        <w:pStyle w:val="ListParagraph"/>
        <w:numPr>
          <w:ilvl w:val="0"/>
          <w:numId w:val="2"/>
        </w:numPr>
        <w:spacing w:after="80" w:line="268" w:lineRule="auto"/>
      </w:pPr>
      <w:r>
        <w:rPr>
          <w:color w:val="202020"/>
        </w:rPr>
        <w:t>Student Analytics</w:t>
      </w:r>
    </w:p>
    <w:p w14:paraId="66C0554A" w14:textId="77777777" w:rsidR="00E774C7" w:rsidRDefault="00000000">
      <w:pPr>
        <w:pStyle w:val="ListParagraph"/>
        <w:numPr>
          <w:ilvl w:val="0"/>
          <w:numId w:val="2"/>
        </w:numPr>
        <w:spacing w:after="80" w:line="268" w:lineRule="auto"/>
      </w:pPr>
      <w:r>
        <w:rPr>
          <w:color w:val="202020"/>
        </w:rPr>
        <w:t>Country Comparison</w:t>
      </w:r>
    </w:p>
    <w:p w14:paraId="7B94D6BD" w14:textId="77777777" w:rsidR="00E774C7" w:rsidRDefault="00000000">
      <w:pPr>
        <w:pStyle w:val="Heading2"/>
        <w:spacing w:before="280" w:after="140"/>
      </w:pPr>
      <w:r>
        <w:rPr>
          <w:b/>
          <w:bCs/>
          <w:color w:val="1B7A72"/>
          <w:sz w:val="24"/>
          <w:szCs w:val="24"/>
        </w:rPr>
        <w:t>1.3 Project Outcomes</w:t>
      </w:r>
    </w:p>
    <w:p w14:paraId="17FF0F38" w14:textId="77777777" w:rsidR="00E774C7" w:rsidRDefault="00000000">
      <w:pPr>
        <w:pStyle w:val="ListParagraph"/>
        <w:numPr>
          <w:ilvl w:val="0"/>
          <w:numId w:val="2"/>
        </w:numPr>
        <w:spacing w:after="80" w:line="268" w:lineRule="auto"/>
      </w:pPr>
      <w:r>
        <w:rPr>
          <w:color w:val="202020"/>
        </w:rPr>
        <w:t>Collection and integration of global university datasets</w:t>
      </w:r>
    </w:p>
    <w:p w14:paraId="2EF782E1" w14:textId="77777777" w:rsidR="00E774C7" w:rsidRDefault="00000000">
      <w:pPr>
        <w:pStyle w:val="ListParagraph"/>
        <w:numPr>
          <w:ilvl w:val="0"/>
          <w:numId w:val="2"/>
        </w:numPr>
        <w:spacing w:after="80" w:line="268" w:lineRule="auto"/>
      </w:pPr>
      <w:r>
        <w:rPr>
          <w:color w:val="202020"/>
        </w:rPr>
        <w:t>Data cleaning and transformation for educational analytics</w:t>
      </w:r>
    </w:p>
    <w:p w14:paraId="6864B9AB" w14:textId="77777777" w:rsidR="00E774C7" w:rsidRDefault="00000000">
      <w:pPr>
        <w:pStyle w:val="ListParagraph"/>
        <w:numPr>
          <w:ilvl w:val="0"/>
          <w:numId w:val="2"/>
        </w:numPr>
        <w:spacing w:after="80" w:line="268" w:lineRule="auto"/>
      </w:pPr>
      <w:r>
        <w:rPr>
          <w:color w:val="202020"/>
        </w:rPr>
        <w:t>Development of six higher-education KPIs</w:t>
      </w:r>
    </w:p>
    <w:p w14:paraId="7B33BD58" w14:textId="77777777" w:rsidR="00E774C7" w:rsidRDefault="00000000">
      <w:pPr>
        <w:pStyle w:val="ListParagraph"/>
        <w:numPr>
          <w:ilvl w:val="0"/>
          <w:numId w:val="2"/>
        </w:numPr>
        <w:spacing w:after="80" w:line="268" w:lineRule="auto"/>
      </w:pPr>
      <w:r>
        <w:rPr>
          <w:color w:val="202020"/>
        </w:rPr>
        <w:t>Creation of four interactive Tableau dashboards</w:t>
      </w:r>
    </w:p>
    <w:p w14:paraId="0AF3CC36" w14:textId="77777777" w:rsidR="00E774C7" w:rsidRDefault="00000000">
      <w:pPr>
        <w:pStyle w:val="ListParagraph"/>
        <w:numPr>
          <w:ilvl w:val="0"/>
          <w:numId w:val="2"/>
        </w:numPr>
        <w:spacing w:after="80" w:line="268" w:lineRule="auto"/>
      </w:pPr>
      <w:r>
        <w:rPr>
          <w:color w:val="202020"/>
        </w:rPr>
        <w:t>University ranking and performance analysis</w:t>
      </w:r>
    </w:p>
    <w:p w14:paraId="45EDF52E" w14:textId="77777777" w:rsidR="00E774C7" w:rsidRDefault="00000000">
      <w:pPr>
        <w:pStyle w:val="ListParagraph"/>
        <w:numPr>
          <w:ilvl w:val="0"/>
          <w:numId w:val="2"/>
        </w:numPr>
        <w:spacing w:after="80" w:line="268" w:lineRule="auto"/>
      </w:pPr>
      <w:r>
        <w:rPr>
          <w:color w:val="202020"/>
        </w:rPr>
        <w:t>Country-level education benchmarking</w:t>
      </w:r>
    </w:p>
    <w:p w14:paraId="54E3BD14" w14:textId="77777777" w:rsidR="00E774C7" w:rsidRDefault="00000000">
      <w:pPr>
        <w:pStyle w:val="ListParagraph"/>
        <w:numPr>
          <w:ilvl w:val="0"/>
          <w:numId w:val="2"/>
        </w:numPr>
        <w:spacing w:after="80" w:line="268" w:lineRule="auto"/>
      </w:pPr>
      <w:r>
        <w:rPr>
          <w:color w:val="202020"/>
        </w:rPr>
        <w:t>Interactive filters and drill-down capabilities across the workbook</w:t>
      </w:r>
    </w:p>
    <w:p w14:paraId="3FD97A2A" w14:textId="77777777" w:rsidR="00E774C7" w:rsidRDefault="00000000">
      <w:pPr>
        <w:pStyle w:val="ListParagraph"/>
        <w:numPr>
          <w:ilvl w:val="0"/>
          <w:numId w:val="2"/>
        </w:numPr>
        <w:spacing w:after="80" w:line="268" w:lineRule="auto"/>
      </w:pPr>
      <w:r>
        <w:rPr>
          <w:color w:val="202020"/>
        </w:rPr>
        <w:t>A single Tableau workbook (.twbx) as the final, portfolio-ready deliverable</w:t>
      </w:r>
    </w:p>
    <w:p w14:paraId="15306531" w14:textId="77777777" w:rsidR="00E774C7" w:rsidRDefault="00000000">
      <w:r>
        <w:br w:type="page"/>
      </w:r>
    </w:p>
    <w:p w14:paraId="7CA6CAA9" w14:textId="77777777" w:rsidR="00E774C7" w:rsidRDefault="00000000">
      <w:pPr>
        <w:pStyle w:val="Heading1"/>
        <w:pBdr>
          <w:bottom w:val="single" w:sz="8" w:space="4" w:color="1F2A44"/>
        </w:pBdr>
        <w:spacing w:before="360" w:after="200"/>
      </w:pPr>
      <w:r>
        <w:rPr>
          <w:b/>
          <w:bCs/>
          <w:color w:val="1F2A44"/>
          <w:sz w:val="30"/>
          <w:szCs w:val="30"/>
        </w:rPr>
        <w:lastRenderedPageBreak/>
        <w:t>2. Project Workflow</w:t>
      </w:r>
    </w:p>
    <w:p w14:paraId="25B9A8A3" w14:textId="77777777" w:rsidR="00E774C7" w:rsidRDefault="00000000">
      <w:pPr>
        <w:spacing w:after="160" w:line="276" w:lineRule="auto"/>
        <w:jc w:val="both"/>
      </w:pPr>
      <w:r>
        <w:rPr>
          <w:color w:val="202020"/>
        </w:rPr>
        <w:t>The project followed a linear, seven-stage analytics pipeline, moving from raw data collection through to a fully integrated and tested dashboard suite. Each stage produced a concrete deliverable that fed directly into the next stage, ensuring traceability from the original ranking sources through to the final Tableau workbook.</w:t>
      </w:r>
    </w:p>
    <w:p w14:paraId="5E8736C7" w14:textId="77777777" w:rsidR="00E774C7" w:rsidRDefault="00000000">
      <w:pPr>
        <w:pStyle w:val="Heading2"/>
        <w:spacing w:before="280" w:after="140"/>
      </w:pPr>
      <w:r>
        <w:rPr>
          <w:b/>
          <w:bCs/>
          <w:color w:val="1B7A72"/>
          <w:sz w:val="24"/>
          <w:szCs w:val="24"/>
        </w:rPr>
        <w:t>2.1 Workflow Diagram</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700"/>
      </w:tblGrid>
      <w:tr w:rsidR="00E774C7" w14:paraId="0889352E" w14:textId="77777777">
        <w:tblPrEx>
          <w:tblCellMar>
            <w:top w:w="0" w:type="dxa"/>
            <w:bottom w:w="0" w:type="dxa"/>
          </w:tblCellMar>
        </w:tblPrEx>
        <w:tc>
          <w:tcPr>
            <w:tcW w:w="700" w:type="dxa"/>
            <w:shd w:val="clear" w:color="auto" w:fill="1F2A44"/>
            <w:tcMar>
              <w:top w:w="100" w:type="dxa"/>
              <w:left w:w="100" w:type="dxa"/>
              <w:bottom w:w="100" w:type="dxa"/>
              <w:right w:w="100" w:type="dxa"/>
            </w:tcMar>
            <w:vAlign w:val="center"/>
          </w:tcPr>
          <w:p w14:paraId="044D47AA" w14:textId="77777777" w:rsidR="00E774C7" w:rsidRDefault="00000000">
            <w:pPr>
              <w:jc w:val="center"/>
            </w:pPr>
            <w:r>
              <w:rPr>
                <w:b/>
                <w:bCs/>
                <w:color w:val="FFFFFF"/>
                <w:sz w:val="22"/>
                <w:szCs w:val="22"/>
              </w:rPr>
              <w:t>1</w:t>
            </w:r>
          </w:p>
        </w:tc>
        <w:tc>
          <w:tcPr>
            <w:tcW w:w="8700" w:type="dxa"/>
            <w:shd w:val="clear" w:color="auto" w:fill="F2F2F2"/>
            <w:tcMar>
              <w:top w:w="100" w:type="dxa"/>
              <w:left w:w="140" w:type="dxa"/>
              <w:bottom w:w="100" w:type="dxa"/>
              <w:right w:w="140" w:type="dxa"/>
            </w:tcMar>
            <w:vAlign w:val="center"/>
          </w:tcPr>
          <w:p w14:paraId="23C2F04B" w14:textId="77777777" w:rsidR="00E774C7" w:rsidRDefault="00000000">
            <w:r>
              <w:rPr>
                <w:b/>
                <w:bCs/>
                <w:color w:val="1F2A44"/>
              </w:rPr>
              <w:t>Collect University Datasets</w:t>
            </w:r>
          </w:p>
        </w:tc>
      </w:tr>
      <w:tr w:rsidR="00E774C7" w14:paraId="4B47EE91" w14:textId="77777777">
        <w:tblPrEx>
          <w:tblCellMar>
            <w:top w:w="0" w:type="dxa"/>
            <w:bottom w:w="0" w:type="dxa"/>
          </w:tblCellMar>
        </w:tblPrEx>
        <w:tc>
          <w:tcPr>
            <w:tcW w:w="700" w:type="dxa"/>
            <w:shd w:val="clear" w:color="auto" w:fill="1F2A44"/>
            <w:tcMar>
              <w:top w:w="100" w:type="dxa"/>
              <w:left w:w="100" w:type="dxa"/>
              <w:bottom w:w="100" w:type="dxa"/>
              <w:right w:w="100" w:type="dxa"/>
            </w:tcMar>
            <w:vAlign w:val="center"/>
          </w:tcPr>
          <w:p w14:paraId="12C9E793" w14:textId="77777777" w:rsidR="00E774C7" w:rsidRDefault="00000000">
            <w:pPr>
              <w:jc w:val="center"/>
            </w:pPr>
            <w:r>
              <w:rPr>
                <w:b/>
                <w:bCs/>
                <w:color w:val="FFFFFF"/>
                <w:sz w:val="22"/>
                <w:szCs w:val="22"/>
              </w:rPr>
              <w:t>2</w:t>
            </w:r>
          </w:p>
        </w:tc>
        <w:tc>
          <w:tcPr>
            <w:tcW w:w="8700" w:type="dxa"/>
            <w:shd w:val="clear" w:color="auto" w:fill="FFFFFF"/>
            <w:tcMar>
              <w:top w:w="100" w:type="dxa"/>
              <w:left w:w="140" w:type="dxa"/>
              <w:bottom w:w="100" w:type="dxa"/>
              <w:right w:w="140" w:type="dxa"/>
            </w:tcMar>
            <w:vAlign w:val="center"/>
          </w:tcPr>
          <w:p w14:paraId="66C5BF47" w14:textId="77777777" w:rsidR="00E774C7" w:rsidRDefault="00000000">
            <w:r>
              <w:rPr>
                <w:b/>
                <w:bCs/>
                <w:color w:val="1F2A44"/>
              </w:rPr>
              <w:t>Data Cleaning &amp; Transformation</w:t>
            </w:r>
          </w:p>
        </w:tc>
      </w:tr>
      <w:tr w:rsidR="00E774C7" w14:paraId="190B747B" w14:textId="77777777">
        <w:tblPrEx>
          <w:tblCellMar>
            <w:top w:w="0" w:type="dxa"/>
            <w:bottom w:w="0" w:type="dxa"/>
          </w:tblCellMar>
        </w:tblPrEx>
        <w:tc>
          <w:tcPr>
            <w:tcW w:w="700" w:type="dxa"/>
            <w:shd w:val="clear" w:color="auto" w:fill="1F2A44"/>
            <w:tcMar>
              <w:top w:w="100" w:type="dxa"/>
              <w:left w:w="100" w:type="dxa"/>
              <w:bottom w:w="100" w:type="dxa"/>
              <w:right w:w="100" w:type="dxa"/>
            </w:tcMar>
            <w:vAlign w:val="center"/>
          </w:tcPr>
          <w:p w14:paraId="21982079" w14:textId="77777777" w:rsidR="00E774C7" w:rsidRDefault="00000000">
            <w:pPr>
              <w:jc w:val="center"/>
            </w:pPr>
            <w:r>
              <w:rPr>
                <w:b/>
                <w:bCs/>
                <w:color w:val="FFFFFF"/>
                <w:sz w:val="22"/>
                <w:szCs w:val="22"/>
              </w:rPr>
              <w:t>3</w:t>
            </w:r>
          </w:p>
        </w:tc>
        <w:tc>
          <w:tcPr>
            <w:tcW w:w="8700" w:type="dxa"/>
            <w:shd w:val="clear" w:color="auto" w:fill="F2F2F2"/>
            <w:tcMar>
              <w:top w:w="100" w:type="dxa"/>
              <w:left w:w="140" w:type="dxa"/>
              <w:bottom w:w="100" w:type="dxa"/>
              <w:right w:w="140" w:type="dxa"/>
            </w:tcMar>
            <w:vAlign w:val="center"/>
          </w:tcPr>
          <w:p w14:paraId="642275BB" w14:textId="77777777" w:rsidR="00E774C7" w:rsidRDefault="00000000">
            <w:r>
              <w:rPr>
                <w:b/>
                <w:bCs/>
                <w:color w:val="1F2A44"/>
              </w:rPr>
              <w:t>Education KPI Engineering</w:t>
            </w:r>
          </w:p>
        </w:tc>
      </w:tr>
      <w:tr w:rsidR="00E774C7" w14:paraId="259934CC" w14:textId="77777777">
        <w:tblPrEx>
          <w:tblCellMar>
            <w:top w:w="0" w:type="dxa"/>
            <w:bottom w:w="0" w:type="dxa"/>
          </w:tblCellMar>
        </w:tblPrEx>
        <w:tc>
          <w:tcPr>
            <w:tcW w:w="700" w:type="dxa"/>
            <w:shd w:val="clear" w:color="auto" w:fill="1F2A44"/>
            <w:tcMar>
              <w:top w:w="100" w:type="dxa"/>
              <w:left w:w="100" w:type="dxa"/>
              <w:bottom w:w="100" w:type="dxa"/>
              <w:right w:w="100" w:type="dxa"/>
            </w:tcMar>
            <w:vAlign w:val="center"/>
          </w:tcPr>
          <w:p w14:paraId="67805B96" w14:textId="77777777" w:rsidR="00E774C7" w:rsidRDefault="00000000">
            <w:pPr>
              <w:jc w:val="center"/>
            </w:pPr>
            <w:r>
              <w:rPr>
                <w:b/>
                <w:bCs/>
                <w:color w:val="FFFFFF"/>
                <w:sz w:val="22"/>
                <w:szCs w:val="22"/>
              </w:rPr>
              <w:t>4</w:t>
            </w:r>
          </w:p>
        </w:tc>
        <w:tc>
          <w:tcPr>
            <w:tcW w:w="8700" w:type="dxa"/>
            <w:shd w:val="clear" w:color="auto" w:fill="FFFFFF"/>
            <w:tcMar>
              <w:top w:w="100" w:type="dxa"/>
              <w:left w:w="140" w:type="dxa"/>
              <w:bottom w:w="100" w:type="dxa"/>
              <w:right w:w="140" w:type="dxa"/>
            </w:tcMar>
            <w:vAlign w:val="center"/>
          </w:tcPr>
          <w:p w14:paraId="42467F94" w14:textId="77777777" w:rsidR="00E774C7" w:rsidRDefault="00000000">
            <w:r>
              <w:rPr>
                <w:b/>
                <w:bCs/>
                <w:color w:val="1F2A44"/>
              </w:rPr>
              <w:t>Dashboard Development</w:t>
            </w:r>
          </w:p>
        </w:tc>
      </w:tr>
      <w:tr w:rsidR="00E774C7" w14:paraId="5DBFC434" w14:textId="77777777">
        <w:tblPrEx>
          <w:tblCellMar>
            <w:top w:w="0" w:type="dxa"/>
            <w:bottom w:w="0" w:type="dxa"/>
          </w:tblCellMar>
        </w:tblPrEx>
        <w:tc>
          <w:tcPr>
            <w:tcW w:w="700" w:type="dxa"/>
            <w:shd w:val="clear" w:color="auto" w:fill="1F2A44"/>
            <w:tcMar>
              <w:top w:w="100" w:type="dxa"/>
              <w:left w:w="100" w:type="dxa"/>
              <w:bottom w:w="100" w:type="dxa"/>
              <w:right w:w="100" w:type="dxa"/>
            </w:tcMar>
            <w:vAlign w:val="center"/>
          </w:tcPr>
          <w:p w14:paraId="018B3C65" w14:textId="77777777" w:rsidR="00E774C7" w:rsidRDefault="00000000">
            <w:pPr>
              <w:jc w:val="center"/>
            </w:pPr>
            <w:r>
              <w:rPr>
                <w:b/>
                <w:bCs/>
                <w:color w:val="FFFFFF"/>
                <w:sz w:val="22"/>
                <w:szCs w:val="22"/>
              </w:rPr>
              <w:t>5</w:t>
            </w:r>
          </w:p>
        </w:tc>
        <w:tc>
          <w:tcPr>
            <w:tcW w:w="8700" w:type="dxa"/>
            <w:shd w:val="clear" w:color="auto" w:fill="F2F2F2"/>
            <w:tcMar>
              <w:top w:w="100" w:type="dxa"/>
              <w:left w:w="140" w:type="dxa"/>
              <w:bottom w:w="100" w:type="dxa"/>
              <w:right w:w="140" w:type="dxa"/>
            </w:tcMar>
            <w:vAlign w:val="center"/>
          </w:tcPr>
          <w:p w14:paraId="5598B0B4" w14:textId="77777777" w:rsidR="00E774C7" w:rsidRDefault="00000000">
            <w:r>
              <w:rPr>
                <w:b/>
                <w:bCs/>
                <w:color w:val="1F2A44"/>
              </w:rPr>
              <w:t>Dashboard Integration</w:t>
            </w:r>
          </w:p>
        </w:tc>
      </w:tr>
      <w:tr w:rsidR="00E774C7" w14:paraId="3C087FA9" w14:textId="77777777">
        <w:tblPrEx>
          <w:tblCellMar>
            <w:top w:w="0" w:type="dxa"/>
            <w:bottom w:w="0" w:type="dxa"/>
          </w:tblCellMar>
        </w:tblPrEx>
        <w:tc>
          <w:tcPr>
            <w:tcW w:w="700" w:type="dxa"/>
            <w:shd w:val="clear" w:color="auto" w:fill="1F2A44"/>
            <w:tcMar>
              <w:top w:w="100" w:type="dxa"/>
              <w:left w:w="100" w:type="dxa"/>
              <w:bottom w:w="100" w:type="dxa"/>
              <w:right w:w="100" w:type="dxa"/>
            </w:tcMar>
            <w:vAlign w:val="center"/>
          </w:tcPr>
          <w:p w14:paraId="20D6E9E4" w14:textId="77777777" w:rsidR="00E774C7" w:rsidRDefault="00000000">
            <w:pPr>
              <w:jc w:val="center"/>
            </w:pPr>
            <w:r>
              <w:rPr>
                <w:b/>
                <w:bCs/>
                <w:color w:val="FFFFFF"/>
                <w:sz w:val="22"/>
                <w:szCs w:val="22"/>
              </w:rPr>
              <w:t>6</w:t>
            </w:r>
          </w:p>
        </w:tc>
        <w:tc>
          <w:tcPr>
            <w:tcW w:w="8700" w:type="dxa"/>
            <w:shd w:val="clear" w:color="auto" w:fill="FFFFFF"/>
            <w:tcMar>
              <w:top w:w="100" w:type="dxa"/>
              <w:left w:w="140" w:type="dxa"/>
              <w:bottom w:w="100" w:type="dxa"/>
              <w:right w:w="140" w:type="dxa"/>
            </w:tcMar>
            <w:vAlign w:val="center"/>
          </w:tcPr>
          <w:p w14:paraId="6FD791FD" w14:textId="77777777" w:rsidR="00E774C7" w:rsidRDefault="00000000">
            <w:r>
              <w:rPr>
                <w:b/>
                <w:bCs/>
                <w:color w:val="1F2A44"/>
              </w:rPr>
              <w:t>Testing &amp; Validation</w:t>
            </w:r>
          </w:p>
        </w:tc>
      </w:tr>
      <w:tr w:rsidR="00E774C7" w14:paraId="758C9B7B" w14:textId="77777777">
        <w:tblPrEx>
          <w:tblCellMar>
            <w:top w:w="0" w:type="dxa"/>
            <w:bottom w:w="0" w:type="dxa"/>
          </w:tblCellMar>
        </w:tblPrEx>
        <w:tc>
          <w:tcPr>
            <w:tcW w:w="700" w:type="dxa"/>
            <w:shd w:val="clear" w:color="auto" w:fill="1F2A44"/>
            <w:tcMar>
              <w:top w:w="100" w:type="dxa"/>
              <w:left w:w="100" w:type="dxa"/>
              <w:bottom w:w="100" w:type="dxa"/>
              <w:right w:w="100" w:type="dxa"/>
            </w:tcMar>
            <w:vAlign w:val="center"/>
          </w:tcPr>
          <w:p w14:paraId="2D164DD6" w14:textId="77777777" w:rsidR="00E774C7" w:rsidRDefault="00000000">
            <w:pPr>
              <w:jc w:val="center"/>
            </w:pPr>
            <w:r>
              <w:rPr>
                <w:b/>
                <w:bCs/>
                <w:color w:val="FFFFFF"/>
                <w:sz w:val="22"/>
                <w:szCs w:val="22"/>
              </w:rPr>
              <w:t>7</w:t>
            </w:r>
          </w:p>
        </w:tc>
        <w:tc>
          <w:tcPr>
            <w:tcW w:w="8700" w:type="dxa"/>
            <w:shd w:val="clear" w:color="auto" w:fill="F2F2F2"/>
            <w:tcMar>
              <w:top w:w="100" w:type="dxa"/>
              <w:left w:w="140" w:type="dxa"/>
              <w:bottom w:w="100" w:type="dxa"/>
              <w:right w:w="140" w:type="dxa"/>
            </w:tcMar>
            <w:vAlign w:val="center"/>
          </w:tcPr>
          <w:p w14:paraId="4BB4E39B" w14:textId="77777777" w:rsidR="00E774C7" w:rsidRDefault="00000000">
            <w:r>
              <w:rPr>
                <w:b/>
                <w:bCs/>
                <w:color w:val="1F2A44"/>
              </w:rPr>
              <w:t>Documentation &amp; Delivery</w:t>
            </w:r>
          </w:p>
        </w:tc>
      </w:tr>
    </w:tbl>
    <w:p w14:paraId="2E35A649" w14:textId="77777777" w:rsidR="00E774C7" w:rsidRDefault="00000000">
      <w:pPr>
        <w:spacing w:before="100" w:after="260"/>
        <w:jc w:val="center"/>
      </w:pPr>
      <w:r>
        <w:rPr>
          <w:i/>
          <w:iCs/>
          <w:color w:val="595959"/>
          <w:sz w:val="18"/>
          <w:szCs w:val="18"/>
        </w:rPr>
        <w:t>Figure 2.1 — The seven-stage EduVision DV workflow, from raw data collection to final documentation and delivery.</w:t>
      </w:r>
    </w:p>
    <w:p w14:paraId="5B3907DF" w14:textId="77777777" w:rsidR="00E774C7" w:rsidRDefault="00000000">
      <w:pPr>
        <w:pStyle w:val="Heading2"/>
        <w:spacing w:before="280" w:after="140"/>
      </w:pPr>
      <w:r>
        <w:rPr>
          <w:b/>
          <w:bCs/>
          <w:color w:val="1B7A72"/>
          <w:sz w:val="24"/>
          <w:szCs w:val="24"/>
        </w:rPr>
        <w:t>2.2 Milestone Structure</w:t>
      </w:r>
    </w:p>
    <w:p w14:paraId="35EFEF8C" w14:textId="77777777" w:rsidR="00E774C7" w:rsidRDefault="00000000">
      <w:pPr>
        <w:spacing w:after="160" w:line="276" w:lineRule="auto"/>
        <w:jc w:val="both"/>
      </w:pPr>
      <w:r>
        <w:rPr>
          <w:color w:val="202020"/>
        </w:rPr>
        <w:t>The workflow above was organized into four two-week milestones, each with its own tasks, deliverables, and evaluation criteria, summarized in Section 8 (Evaluation Criteria).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400"/>
        <w:gridCol w:w="4200"/>
      </w:tblGrid>
      <w:tr w:rsidR="00E774C7" w14:paraId="71C192C2" w14:textId="77777777">
        <w:tblPrEx>
          <w:tblCellMar>
            <w:top w:w="0" w:type="dxa"/>
            <w:bottom w:w="0" w:type="dxa"/>
          </w:tblCellMar>
        </w:tblPrEx>
        <w:trPr>
          <w:tblHeader/>
        </w:trPr>
        <w:tc>
          <w:tcPr>
            <w:tcW w:w="3800" w:type="dxa"/>
            <w:shd w:val="clear" w:color="auto" w:fill="1F2A44"/>
            <w:tcMar>
              <w:top w:w="90" w:type="dxa"/>
              <w:left w:w="110" w:type="dxa"/>
              <w:bottom w:w="90" w:type="dxa"/>
              <w:right w:w="110" w:type="dxa"/>
            </w:tcMar>
            <w:vAlign w:val="center"/>
          </w:tcPr>
          <w:p w14:paraId="50C59929" w14:textId="77777777" w:rsidR="00E774C7" w:rsidRDefault="00000000">
            <w:r>
              <w:rPr>
                <w:b/>
                <w:bCs/>
                <w:color w:val="FFFFFF"/>
                <w:sz w:val="18"/>
                <w:szCs w:val="18"/>
              </w:rPr>
              <w:t>Milestone</w:t>
            </w:r>
          </w:p>
        </w:tc>
        <w:tc>
          <w:tcPr>
            <w:tcW w:w="1400" w:type="dxa"/>
            <w:shd w:val="clear" w:color="auto" w:fill="1F2A44"/>
            <w:tcMar>
              <w:top w:w="90" w:type="dxa"/>
              <w:left w:w="110" w:type="dxa"/>
              <w:bottom w:w="90" w:type="dxa"/>
              <w:right w:w="110" w:type="dxa"/>
            </w:tcMar>
            <w:vAlign w:val="center"/>
          </w:tcPr>
          <w:p w14:paraId="4791A8CA" w14:textId="77777777" w:rsidR="00E774C7" w:rsidRDefault="00000000">
            <w:r>
              <w:rPr>
                <w:b/>
                <w:bCs/>
                <w:color w:val="FFFFFF"/>
                <w:sz w:val="18"/>
                <w:szCs w:val="18"/>
              </w:rPr>
              <w:t>Weeks</w:t>
            </w:r>
          </w:p>
        </w:tc>
        <w:tc>
          <w:tcPr>
            <w:tcW w:w="4200" w:type="dxa"/>
            <w:shd w:val="clear" w:color="auto" w:fill="1F2A44"/>
            <w:tcMar>
              <w:top w:w="90" w:type="dxa"/>
              <w:left w:w="110" w:type="dxa"/>
              <w:bottom w:w="90" w:type="dxa"/>
              <w:right w:w="110" w:type="dxa"/>
            </w:tcMar>
            <w:vAlign w:val="center"/>
          </w:tcPr>
          <w:p w14:paraId="3A0520A1" w14:textId="77777777" w:rsidR="00E774C7" w:rsidRDefault="00000000">
            <w:r>
              <w:rPr>
                <w:b/>
                <w:bCs/>
                <w:color w:val="FFFFFF"/>
                <w:sz w:val="18"/>
                <w:szCs w:val="18"/>
              </w:rPr>
              <w:t>Focus</w:t>
            </w:r>
          </w:p>
        </w:tc>
      </w:tr>
      <w:tr w:rsidR="00E774C7" w14:paraId="09CC8AE7" w14:textId="77777777">
        <w:tblPrEx>
          <w:tblCellMar>
            <w:top w:w="0" w:type="dxa"/>
            <w:bottom w:w="0" w:type="dxa"/>
          </w:tblCellMar>
        </w:tblPrEx>
        <w:tc>
          <w:tcPr>
            <w:tcW w:w="3800" w:type="dxa"/>
            <w:shd w:val="clear" w:color="auto" w:fill="FFFFFF"/>
            <w:tcMar>
              <w:top w:w="80" w:type="dxa"/>
              <w:left w:w="110" w:type="dxa"/>
              <w:bottom w:w="80" w:type="dxa"/>
              <w:right w:w="110" w:type="dxa"/>
            </w:tcMar>
            <w:vAlign w:val="center"/>
          </w:tcPr>
          <w:p w14:paraId="2A280740" w14:textId="77777777" w:rsidR="00E774C7" w:rsidRDefault="00000000">
            <w:r>
              <w:rPr>
                <w:color w:val="202020"/>
                <w:sz w:val="18"/>
                <w:szCs w:val="18"/>
              </w:rPr>
              <w:t>1 — Data Collection &amp; Preparation</w:t>
            </w:r>
          </w:p>
        </w:tc>
        <w:tc>
          <w:tcPr>
            <w:tcW w:w="1400" w:type="dxa"/>
            <w:shd w:val="clear" w:color="auto" w:fill="FFFFFF"/>
            <w:tcMar>
              <w:top w:w="80" w:type="dxa"/>
              <w:left w:w="110" w:type="dxa"/>
              <w:bottom w:w="80" w:type="dxa"/>
              <w:right w:w="110" w:type="dxa"/>
            </w:tcMar>
            <w:vAlign w:val="center"/>
          </w:tcPr>
          <w:p w14:paraId="5CAAF5F2" w14:textId="77777777" w:rsidR="00E774C7" w:rsidRDefault="00000000">
            <w:r>
              <w:rPr>
                <w:color w:val="202020"/>
                <w:sz w:val="18"/>
                <w:szCs w:val="18"/>
              </w:rPr>
              <w:t>1–2</w:t>
            </w:r>
          </w:p>
        </w:tc>
        <w:tc>
          <w:tcPr>
            <w:tcW w:w="4200" w:type="dxa"/>
            <w:shd w:val="clear" w:color="auto" w:fill="FFFFFF"/>
            <w:tcMar>
              <w:top w:w="80" w:type="dxa"/>
              <w:left w:w="110" w:type="dxa"/>
              <w:bottom w:w="80" w:type="dxa"/>
              <w:right w:w="110" w:type="dxa"/>
            </w:tcMar>
            <w:vAlign w:val="center"/>
          </w:tcPr>
          <w:p w14:paraId="25AA1AA2" w14:textId="77777777" w:rsidR="00E774C7" w:rsidRDefault="00000000">
            <w:r>
              <w:rPr>
                <w:color w:val="202020"/>
                <w:sz w:val="18"/>
                <w:szCs w:val="18"/>
              </w:rPr>
              <w:t>Collect QS &amp; ARWU datasets, merge into a common structure, clean and standardize</w:t>
            </w:r>
          </w:p>
        </w:tc>
      </w:tr>
      <w:tr w:rsidR="00E774C7" w14:paraId="04A5C9D5" w14:textId="77777777">
        <w:tblPrEx>
          <w:tblCellMar>
            <w:top w:w="0" w:type="dxa"/>
            <w:bottom w:w="0" w:type="dxa"/>
          </w:tblCellMar>
        </w:tblPrEx>
        <w:tc>
          <w:tcPr>
            <w:tcW w:w="3800" w:type="dxa"/>
            <w:shd w:val="clear" w:color="auto" w:fill="F2F2F2"/>
            <w:tcMar>
              <w:top w:w="80" w:type="dxa"/>
              <w:left w:w="110" w:type="dxa"/>
              <w:bottom w:w="80" w:type="dxa"/>
              <w:right w:w="110" w:type="dxa"/>
            </w:tcMar>
            <w:vAlign w:val="center"/>
          </w:tcPr>
          <w:p w14:paraId="06F96F6D" w14:textId="77777777" w:rsidR="00E774C7" w:rsidRDefault="00000000">
            <w:r>
              <w:rPr>
                <w:color w:val="202020"/>
                <w:sz w:val="18"/>
                <w:szCs w:val="18"/>
              </w:rPr>
              <w:t>2 — KPI Engineering &amp; Planning</w:t>
            </w:r>
          </w:p>
        </w:tc>
        <w:tc>
          <w:tcPr>
            <w:tcW w:w="1400" w:type="dxa"/>
            <w:shd w:val="clear" w:color="auto" w:fill="F2F2F2"/>
            <w:tcMar>
              <w:top w:w="80" w:type="dxa"/>
              <w:left w:w="110" w:type="dxa"/>
              <w:bottom w:w="80" w:type="dxa"/>
              <w:right w:w="110" w:type="dxa"/>
            </w:tcMar>
            <w:vAlign w:val="center"/>
          </w:tcPr>
          <w:p w14:paraId="2A346238" w14:textId="77777777" w:rsidR="00E774C7" w:rsidRDefault="00000000">
            <w:r>
              <w:rPr>
                <w:color w:val="202020"/>
                <w:sz w:val="18"/>
                <w:szCs w:val="18"/>
              </w:rPr>
              <w:t>3–4</w:t>
            </w:r>
          </w:p>
        </w:tc>
        <w:tc>
          <w:tcPr>
            <w:tcW w:w="4200" w:type="dxa"/>
            <w:shd w:val="clear" w:color="auto" w:fill="F2F2F2"/>
            <w:tcMar>
              <w:top w:w="80" w:type="dxa"/>
              <w:left w:w="110" w:type="dxa"/>
              <w:bottom w:w="80" w:type="dxa"/>
              <w:right w:w="110" w:type="dxa"/>
            </w:tcMar>
            <w:vAlign w:val="center"/>
          </w:tcPr>
          <w:p w14:paraId="36A8CBF8" w14:textId="77777777" w:rsidR="00E774C7" w:rsidRDefault="00000000">
            <w:r>
              <w:rPr>
                <w:color w:val="202020"/>
                <w:sz w:val="18"/>
                <w:szCs w:val="18"/>
              </w:rPr>
              <w:t>Calculate the six education KPIs; design and prototype dashboard layouts</w:t>
            </w:r>
          </w:p>
        </w:tc>
      </w:tr>
      <w:tr w:rsidR="00E774C7" w14:paraId="3C4402C4" w14:textId="77777777">
        <w:tblPrEx>
          <w:tblCellMar>
            <w:top w:w="0" w:type="dxa"/>
            <w:bottom w:w="0" w:type="dxa"/>
          </w:tblCellMar>
        </w:tblPrEx>
        <w:tc>
          <w:tcPr>
            <w:tcW w:w="3800" w:type="dxa"/>
            <w:shd w:val="clear" w:color="auto" w:fill="FFFFFF"/>
            <w:tcMar>
              <w:top w:w="80" w:type="dxa"/>
              <w:left w:w="110" w:type="dxa"/>
              <w:bottom w:w="80" w:type="dxa"/>
              <w:right w:w="110" w:type="dxa"/>
            </w:tcMar>
            <w:vAlign w:val="center"/>
          </w:tcPr>
          <w:p w14:paraId="673C9099" w14:textId="77777777" w:rsidR="00E774C7" w:rsidRDefault="00000000">
            <w:r>
              <w:rPr>
                <w:color w:val="202020"/>
                <w:sz w:val="18"/>
                <w:szCs w:val="18"/>
              </w:rPr>
              <w:t>3 — Dashboard Development</w:t>
            </w:r>
          </w:p>
        </w:tc>
        <w:tc>
          <w:tcPr>
            <w:tcW w:w="1400" w:type="dxa"/>
            <w:shd w:val="clear" w:color="auto" w:fill="FFFFFF"/>
            <w:tcMar>
              <w:top w:w="80" w:type="dxa"/>
              <w:left w:w="110" w:type="dxa"/>
              <w:bottom w:w="80" w:type="dxa"/>
              <w:right w:w="110" w:type="dxa"/>
            </w:tcMar>
            <w:vAlign w:val="center"/>
          </w:tcPr>
          <w:p w14:paraId="19841B78" w14:textId="77777777" w:rsidR="00E774C7" w:rsidRDefault="00000000">
            <w:r>
              <w:rPr>
                <w:color w:val="202020"/>
                <w:sz w:val="18"/>
                <w:szCs w:val="18"/>
              </w:rPr>
              <w:t>5–6</w:t>
            </w:r>
          </w:p>
        </w:tc>
        <w:tc>
          <w:tcPr>
            <w:tcW w:w="4200" w:type="dxa"/>
            <w:shd w:val="clear" w:color="auto" w:fill="FFFFFF"/>
            <w:tcMar>
              <w:top w:w="80" w:type="dxa"/>
              <w:left w:w="110" w:type="dxa"/>
              <w:bottom w:w="80" w:type="dxa"/>
              <w:right w:w="110" w:type="dxa"/>
            </w:tcMar>
            <w:vAlign w:val="center"/>
          </w:tcPr>
          <w:p w14:paraId="7C1E94EB" w14:textId="77777777" w:rsidR="00E774C7" w:rsidRDefault="00000000">
            <w:r>
              <w:rPr>
                <w:color w:val="202020"/>
                <w:sz w:val="18"/>
                <w:szCs w:val="18"/>
              </w:rPr>
              <w:t>Build all four dashboards and integrate them with shared filters and navigation</w:t>
            </w:r>
          </w:p>
        </w:tc>
      </w:tr>
      <w:tr w:rsidR="00E774C7" w14:paraId="3189EA56" w14:textId="77777777">
        <w:tblPrEx>
          <w:tblCellMar>
            <w:top w:w="0" w:type="dxa"/>
            <w:bottom w:w="0" w:type="dxa"/>
          </w:tblCellMar>
        </w:tblPrEx>
        <w:tc>
          <w:tcPr>
            <w:tcW w:w="3800" w:type="dxa"/>
            <w:shd w:val="clear" w:color="auto" w:fill="F2F2F2"/>
            <w:tcMar>
              <w:top w:w="80" w:type="dxa"/>
              <w:left w:w="110" w:type="dxa"/>
              <w:bottom w:w="80" w:type="dxa"/>
              <w:right w:w="110" w:type="dxa"/>
            </w:tcMar>
            <w:vAlign w:val="center"/>
          </w:tcPr>
          <w:p w14:paraId="182AFBBD" w14:textId="77777777" w:rsidR="00E774C7" w:rsidRDefault="00000000">
            <w:r>
              <w:rPr>
                <w:color w:val="202020"/>
                <w:sz w:val="18"/>
                <w:szCs w:val="18"/>
              </w:rPr>
              <w:t>4 — Testing &amp; Delivery</w:t>
            </w:r>
          </w:p>
        </w:tc>
        <w:tc>
          <w:tcPr>
            <w:tcW w:w="1400" w:type="dxa"/>
            <w:shd w:val="clear" w:color="auto" w:fill="F2F2F2"/>
            <w:tcMar>
              <w:top w:w="80" w:type="dxa"/>
              <w:left w:w="110" w:type="dxa"/>
              <w:bottom w:w="80" w:type="dxa"/>
              <w:right w:w="110" w:type="dxa"/>
            </w:tcMar>
            <w:vAlign w:val="center"/>
          </w:tcPr>
          <w:p w14:paraId="44082FAB" w14:textId="77777777" w:rsidR="00E774C7" w:rsidRDefault="00000000">
            <w:r>
              <w:rPr>
                <w:color w:val="202020"/>
                <w:sz w:val="18"/>
                <w:szCs w:val="18"/>
              </w:rPr>
              <w:t>7–8</w:t>
            </w:r>
          </w:p>
        </w:tc>
        <w:tc>
          <w:tcPr>
            <w:tcW w:w="4200" w:type="dxa"/>
            <w:shd w:val="clear" w:color="auto" w:fill="F2F2F2"/>
            <w:tcMar>
              <w:top w:w="80" w:type="dxa"/>
              <w:left w:w="110" w:type="dxa"/>
              <w:bottom w:w="80" w:type="dxa"/>
              <w:right w:w="110" w:type="dxa"/>
            </w:tcMar>
            <w:vAlign w:val="center"/>
          </w:tcPr>
          <w:p w14:paraId="09197AD5" w14:textId="77777777" w:rsidR="00E774C7" w:rsidRDefault="00000000">
            <w:r>
              <w:rPr>
                <w:color w:val="202020"/>
                <w:sz w:val="18"/>
                <w:szCs w:val="18"/>
              </w:rPr>
              <w:t>Validate KPI accuracy, test interactions, document and deliver the workbook</w:t>
            </w:r>
          </w:p>
        </w:tc>
      </w:tr>
    </w:tbl>
    <w:p w14:paraId="12EFBE7C" w14:textId="77777777" w:rsidR="00E774C7" w:rsidRDefault="00000000">
      <w:r>
        <w:br w:type="page"/>
      </w:r>
    </w:p>
    <w:p w14:paraId="126B5B57" w14:textId="77777777" w:rsidR="00E774C7" w:rsidRDefault="00000000">
      <w:pPr>
        <w:pStyle w:val="Heading1"/>
        <w:pBdr>
          <w:bottom w:val="single" w:sz="8" w:space="4" w:color="1F2A44"/>
        </w:pBdr>
        <w:spacing w:before="360" w:after="200"/>
      </w:pPr>
      <w:r>
        <w:rPr>
          <w:b/>
          <w:bCs/>
          <w:color w:val="1F2A44"/>
          <w:sz w:val="30"/>
          <w:szCs w:val="30"/>
        </w:rPr>
        <w:lastRenderedPageBreak/>
        <w:t>3. Data Collection &amp; Cleaning</w:t>
      </w:r>
    </w:p>
    <w:p w14:paraId="3B9BC63D" w14:textId="77777777" w:rsidR="00E774C7" w:rsidRDefault="00000000">
      <w:pPr>
        <w:pStyle w:val="Heading2"/>
        <w:spacing w:before="280" w:after="140"/>
      </w:pPr>
      <w:r>
        <w:rPr>
          <w:b/>
          <w:bCs/>
          <w:color w:val="1B7A72"/>
          <w:sz w:val="24"/>
          <w:szCs w:val="24"/>
        </w:rPr>
        <w:t>3.1 Module 1 — University Data Collection</w:t>
      </w:r>
    </w:p>
    <w:p w14:paraId="6210DD63" w14:textId="77777777" w:rsidR="00E774C7" w:rsidRDefault="00000000">
      <w:pPr>
        <w:spacing w:after="160" w:line="276" w:lineRule="auto"/>
        <w:jc w:val="both"/>
      </w:pPr>
      <w:r>
        <w:rPr>
          <w:color w:val="202020"/>
        </w:rPr>
        <w:t>The raw data collection stage merged two independent global ranking systems into a single common structure, university_raw_data.csv (1,501 institution records). The tasks performed were:</w:t>
      </w:r>
    </w:p>
    <w:p w14:paraId="3C0A06E4" w14:textId="77777777" w:rsidR="00E774C7" w:rsidRDefault="00000000">
      <w:pPr>
        <w:pStyle w:val="ListParagraph"/>
        <w:numPr>
          <w:ilvl w:val="0"/>
          <w:numId w:val="2"/>
        </w:numPr>
        <w:spacing w:after="80" w:line="268" w:lineRule="auto"/>
      </w:pPr>
      <w:r>
        <w:rPr>
          <w:color w:val="202020"/>
        </w:rPr>
        <w:t>Downloading the QS World University Rankings dataset</w:t>
      </w:r>
    </w:p>
    <w:p w14:paraId="67B73031" w14:textId="77777777" w:rsidR="00E774C7" w:rsidRDefault="00000000">
      <w:pPr>
        <w:pStyle w:val="ListParagraph"/>
        <w:numPr>
          <w:ilvl w:val="0"/>
          <w:numId w:val="2"/>
        </w:numPr>
        <w:spacing w:after="80" w:line="268" w:lineRule="auto"/>
      </w:pPr>
      <w:r>
        <w:rPr>
          <w:color w:val="202020"/>
        </w:rPr>
        <w:t>Downloading the ARWU / Shanghai World University Rankings dataset</w:t>
      </w:r>
    </w:p>
    <w:p w14:paraId="79C0C00F" w14:textId="77777777" w:rsidR="00E774C7" w:rsidRDefault="00000000">
      <w:pPr>
        <w:pStyle w:val="ListParagraph"/>
        <w:numPr>
          <w:ilvl w:val="0"/>
          <w:numId w:val="2"/>
        </w:numPr>
        <w:spacing w:after="80" w:line="268" w:lineRule="auto"/>
      </w:pPr>
      <w:r>
        <w:rPr>
          <w:color w:val="202020"/>
        </w:rPr>
        <w:t>Collecting supporting university performance indicators (faculty ratios, international scores, research sub-scores)</w:t>
      </w:r>
    </w:p>
    <w:p w14:paraId="7294EDBE" w14:textId="77777777" w:rsidR="00E774C7" w:rsidRDefault="00000000">
      <w:pPr>
        <w:pStyle w:val="ListParagraph"/>
        <w:numPr>
          <w:ilvl w:val="0"/>
          <w:numId w:val="2"/>
        </w:numPr>
        <w:spacing w:after="80" w:line="268" w:lineRule="auto"/>
      </w:pPr>
      <w:r>
        <w:rPr>
          <w:color w:val="202020"/>
        </w:rPr>
        <w:t>Merging both ranking datasets into a common institution-level structure keyed on institution name, country, and region</w:t>
      </w:r>
    </w:p>
    <w:p w14:paraId="56717A3F" w14:textId="77777777" w:rsidR="00E774C7" w:rsidRDefault="00000000">
      <w:pPr>
        <w:spacing w:after="160" w:line="276" w:lineRule="auto"/>
        <w:jc w:val="both"/>
      </w:pPr>
      <w:r>
        <w:rPr>
          <w:color w:val="202020"/>
        </w:rPr>
        <w:t>Evaluation target: successful dataset integration with completeness above 95%. This target was met, with the merged raw file carrying 38 columns spanning identity fields (institution name, country, region, size, focus), QS sub-scores, ARWU sub-scores, and rank fields for both systems.</w:t>
      </w:r>
    </w:p>
    <w:p w14:paraId="5A6BB633" w14:textId="77777777" w:rsidR="00E774C7" w:rsidRDefault="00000000">
      <w:pPr>
        <w:pStyle w:val="Heading2"/>
        <w:spacing w:before="280" w:after="140"/>
      </w:pPr>
      <w:r>
        <w:rPr>
          <w:b/>
          <w:bCs/>
          <w:color w:val="1B7A72"/>
          <w:sz w:val="24"/>
          <w:szCs w:val="24"/>
        </w:rPr>
        <w:t>3.2 Module 2 — Data Cleaning &amp; Transformation</w:t>
      </w:r>
    </w:p>
    <w:p w14:paraId="7139B145" w14:textId="77777777" w:rsidR="00E774C7" w:rsidRDefault="00000000">
      <w:pPr>
        <w:spacing w:after="160" w:line="276" w:lineRule="auto"/>
        <w:jc w:val="both"/>
      </w:pPr>
      <w:r>
        <w:rPr>
          <w:color w:val="202020"/>
        </w:rPr>
        <w:t>The cleaning stage is documented step-by-step in education_</w:t>
      </w:r>
      <w:proofErr w:type="gramStart"/>
      <w:r>
        <w:rPr>
          <w:color w:val="202020"/>
        </w:rPr>
        <w:t>cleaning.ipynb</w:t>
      </w:r>
      <w:proofErr w:type="gramEnd"/>
      <w:r>
        <w:rPr>
          <w:color w:val="202020"/>
        </w:rPr>
        <w:t xml:space="preserve"> and produced the Tableau-ready deliverable university_cleaned.csv (1,492 rows, 36 columns). The notebook follows a 25-step process across two milestones; the key data-quality operations were:</w:t>
      </w:r>
    </w:p>
    <w:p w14:paraId="4D528FBD" w14:textId="77777777" w:rsidR="00E774C7" w:rsidRDefault="00000000">
      <w:pPr>
        <w:pStyle w:val="ListParagraph"/>
        <w:numPr>
          <w:ilvl w:val="0"/>
          <w:numId w:val="2"/>
        </w:numPr>
        <w:spacing w:after="80" w:line="268" w:lineRule="auto"/>
      </w:pPr>
      <w:r>
        <w:rPr>
          <w:color w:val="202020"/>
        </w:rPr>
        <w:t>Standardizing column names to a consistent snake_case convention (e.g. "AR SCORE" → academic_reputation_score)</w:t>
      </w:r>
    </w:p>
    <w:p w14:paraId="7361203F" w14:textId="77777777" w:rsidR="00E774C7" w:rsidRDefault="00000000">
      <w:pPr>
        <w:pStyle w:val="ListParagraph"/>
        <w:numPr>
          <w:ilvl w:val="0"/>
          <w:numId w:val="2"/>
        </w:numPr>
        <w:spacing w:after="80" w:line="268" w:lineRule="auto"/>
      </w:pPr>
      <w:r>
        <w:rPr>
          <w:color w:val="202020"/>
        </w:rPr>
        <w:t>Cleaning the institution name column (removing parenthetical abbreviations such as "(MIT)")</w:t>
      </w:r>
    </w:p>
    <w:p w14:paraId="701F01E0" w14:textId="77777777" w:rsidR="00E774C7" w:rsidRDefault="00000000">
      <w:pPr>
        <w:pStyle w:val="ListParagraph"/>
        <w:numPr>
          <w:ilvl w:val="0"/>
          <w:numId w:val="2"/>
        </w:numPr>
        <w:spacing w:after="80" w:line="268" w:lineRule="auto"/>
      </w:pPr>
      <w:r>
        <w:rPr>
          <w:color w:val="202020"/>
        </w:rPr>
        <w:t>Removing duplicate institution records</w:t>
      </w:r>
    </w:p>
    <w:p w14:paraId="7097EB47" w14:textId="77777777" w:rsidR="00E774C7" w:rsidRDefault="00000000">
      <w:pPr>
        <w:pStyle w:val="ListParagraph"/>
        <w:numPr>
          <w:ilvl w:val="0"/>
          <w:numId w:val="2"/>
        </w:numPr>
        <w:spacing w:after="80" w:line="268" w:lineRule="auto"/>
      </w:pPr>
      <w:r>
        <w:rPr>
          <w:color w:val="202020"/>
        </w:rPr>
        <w:t>Converting text-based rank fields (with symbols such as "7=" for tied ranks) into clean numeric ranking columns for both QS and ARWU</w:t>
      </w:r>
    </w:p>
    <w:p w14:paraId="0F29FB35" w14:textId="77777777" w:rsidR="00E774C7" w:rsidRDefault="00000000">
      <w:pPr>
        <w:pStyle w:val="ListParagraph"/>
        <w:numPr>
          <w:ilvl w:val="0"/>
          <w:numId w:val="2"/>
        </w:numPr>
        <w:spacing w:after="80" w:line="268" w:lineRule="auto"/>
      </w:pPr>
      <w:r>
        <w:rPr>
          <w:color w:val="202020"/>
        </w:rPr>
        <w:t>Deliberately not blanket-filling missing Shanghai/ARWU ranks, since a large share of institutions are legitimately unranked by ARWU rather than missing data</w:t>
      </w:r>
    </w:p>
    <w:p w14:paraId="5896CFD5" w14:textId="77777777" w:rsidR="00E774C7" w:rsidRDefault="00000000">
      <w:pPr>
        <w:pStyle w:val="ListParagraph"/>
        <w:numPr>
          <w:ilvl w:val="0"/>
          <w:numId w:val="2"/>
        </w:numPr>
        <w:spacing w:after="80" w:line="268" w:lineRule="auto"/>
      </w:pPr>
      <w:r>
        <w:rPr>
          <w:color w:val="202020"/>
        </w:rPr>
        <w:t>Creating ranking-band categories (e.g. Top 10, Nov-50, 51-100, 101-500, Unranked) for both ranking systems</w:t>
      </w:r>
    </w:p>
    <w:p w14:paraId="2CB00555" w14:textId="77777777" w:rsidR="00E774C7" w:rsidRDefault="00000000">
      <w:pPr>
        <w:pStyle w:val="ListParagraph"/>
        <w:numPr>
          <w:ilvl w:val="0"/>
          <w:numId w:val="2"/>
        </w:numPr>
        <w:spacing w:after="80" w:line="268" w:lineRule="auto"/>
      </w:pPr>
      <w:r>
        <w:rPr>
          <w:color w:val="202020"/>
        </w:rPr>
        <w:t>Computing the rank difference and an absolute rank difference between the QS and ARWU systems, to flag institutions where the two rankings diverge</w:t>
      </w:r>
    </w:p>
    <w:p w14:paraId="77C95761" w14:textId="77777777" w:rsidR="00E774C7" w:rsidRDefault="00000000">
      <w:pPr>
        <w:pStyle w:val="ListParagraph"/>
        <w:numPr>
          <w:ilvl w:val="0"/>
          <w:numId w:val="2"/>
        </w:numPr>
        <w:spacing w:after="80" w:line="268" w:lineRule="auto"/>
      </w:pPr>
      <w:r>
        <w:rPr>
          <w:color w:val="202020"/>
        </w:rPr>
        <w:t>Standardizing country names for consistent geographic joins and mapping</w:t>
      </w:r>
    </w:p>
    <w:p w14:paraId="022A2BB6" w14:textId="77777777" w:rsidR="00E774C7" w:rsidRDefault="00000000">
      <w:pPr>
        <w:spacing w:after="160" w:line="276" w:lineRule="auto"/>
        <w:jc w:val="both"/>
      </w:pPr>
      <w:r>
        <w:rPr>
          <w:color w:val="202020"/>
        </w:rPr>
        <w:t>Evaluation target: less than 2% missing values across the fields used for KPI calculation and dashboard visuals — met, with the final cleaned dataset validated at the end of the notebook (Milestone 1 final validation, Step 15) before being saved as the Milestone 1 deliverable.</w:t>
      </w:r>
    </w:p>
    <w:p w14:paraId="26DBA82E" w14:textId="77777777" w:rsidR="00E774C7" w:rsidRDefault="00000000">
      <w:r>
        <w:br w:type="page"/>
      </w:r>
    </w:p>
    <w:p w14:paraId="53CFB5FE" w14:textId="77777777" w:rsidR="00E774C7" w:rsidRDefault="00000000">
      <w:pPr>
        <w:pStyle w:val="Heading1"/>
        <w:pBdr>
          <w:bottom w:val="single" w:sz="8" w:space="4" w:color="1F2A44"/>
        </w:pBdr>
        <w:spacing w:before="360" w:after="200"/>
      </w:pPr>
      <w:r>
        <w:rPr>
          <w:b/>
          <w:bCs/>
          <w:color w:val="1F2A44"/>
          <w:sz w:val="30"/>
          <w:szCs w:val="30"/>
        </w:rPr>
        <w:lastRenderedPageBreak/>
        <w:t>4. Education KPI Engineering</w:t>
      </w:r>
    </w:p>
    <w:p w14:paraId="6285B47A" w14:textId="77777777" w:rsidR="00E774C7" w:rsidRDefault="00000000">
      <w:pPr>
        <w:spacing w:after="160" w:line="276" w:lineRule="auto"/>
        <w:jc w:val="both"/>
      </w:pPr>
      <w:r>
        <w:rPr>
          <w:color w:val="202020"/>
        </w:rPr>
        <w:t xml:space="preserve">Module 3 — implemented in generate_education_kpis.py — takes the cleaned wide-format dataset and produces the Tableau-ready university_final_dataset.xlsx by validating five KPIs that already exist as QS sub-scores in the cleaned </w:t>
      </w:r>
      <w:proofErr w:type="gramStart"/>
      <w:r>
        <w:rPr>
          <w:color w:val="202020"/>
        </w:rPr>
        <w:t>data, and</w:t>
      </w:r>
      <w:proofErr w:type="gramEnd"/>
      <w:r>
        <w:rPr>
          <w:color w:val="202020"/>
        </w:rPr>
        <w:t xml:space="preserve"> calculating one derived KPI from ARWU sub-scores. All six KPIs are scored on a common 0–100 scale, which allows them to be compared and blended directly inside Tableau.</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900"/>
        <w:gridCol w:w="2600"/>
        <w:gridCol w:w="3400"/>
      </w:tblGrid>
      <w:tr w:rsidR="00E774C7" w14:paraId="416C3607" w14:textId="77777777">
        <w:tblPrEx>
          <w:tblCellMar>
            <w:top w:w="0" w:type="dxa"/>
            <w:bottom w:w="0" w:type="dxa"/>
          </w:tblCellMar>
        </w:tblPrEx>
        <w:trPr>
          <w:tblHeader/>
        </w:trPr>
        <w:tc>
          <w:tcPr>
            <w:tcW w:w="500" w:type="dxa"/>
            <w:shd w:val="clear" w:color="auto" w:fill="1F2A44"/>
            <w:tcMar>
              <w:top w:w="90" w:type="dxa"/>
              <w:left w:w="110" w:type="dxa"/>
              <w:bottom w:w="90" w:type="dxa"/>
              <w:right w:w="110" w:type="dxa"/>
            </w:tcMar>
            <w:vAlign w:val="center"/>
          </w:tcPr>
          <w:p w14:paraId="3E69990B" w14:textId="77777777" w:rsidR="00E774C7" w:rsidRDefault="00000000">
            <w:r>
              <w:rPr>
                <w:b/>
                <w:bCs/>
                <w:color w:val="FFFFFF"/>
                <w:sz w:val="18"/>
                <w:szCs w:val="18"/>
              </w:rPr>
              <w:t>#</w:t>
            </w:r>
          </w:p>
        </w:tc>
        <w:tc>
          <w:tcPr>
            <w:tcW w:w="2900" w:type="dxa"/>
            <w:shd w:val="clear" w:color="auto" w:fill="1F2A44"/>
            <w:tcMar>
              <w:top w:w="90" w:type="dxa"/>
              <w:left w:w="110" w:type="dxa"/>
              <w:bottom w:w="90" w:type="dxa"/>
              <w:right w:w="110" w:type="dxa"/>
            </w:tcMar>
            <w:vAlign w:val="center"/>
          </w:tcPr>
          <w:p w14:paraId="742103F9" w14:textId="77777777" w:rsidR="00E774C7" w:rsidRDefault="00000000">
            <w:r>
              <w:rPr>
                <w:b/>
                <w:bCs/>
                <w:color w:val="FFFFFF"/>
                <w:sz w:val="18"/>
                <w:szCs w:val="18"/>
              </w:rPr>
              <w:t>KPI</w:t>
            </w:r>
          </w:p>
        </w:tc>
        <w:tc>
          <w:tcPr>
            <w:tcW w:w="2600" w:type="dxa"/>
            <w:shd w:val="clear" w:color="auto" w:fill="1F2A44"/>
            <w:tcMar>
              <w:top w:w="90" w:type="dxa"/>
              <w:left w:w="110" w:type="dxa"/>
              <w:bottom w:w="90" w:type="dxa"/>
              <w:right w:w="110" w:type="dxa"/>
            </w:tcMar>
            <w:vAlign w:val="center"/>
          </w:tcPr>
          <w:p w14:paraId="31A26483" w14:textId="77777777" w:rsidR="00E774C7" w:rsidRDefault="00000000">
            <w:r>
              <w:rPr>
                <w:b/>
                <w:bCs/>
                <w:color w:val="FFFFFF"/>
                <w:sz w:val="18"/>
                <w:szCs w:val="18"/>
              </w:rPr>
              <w:t>Source Column</w:t>
            </w:r>
          </w:p>
        </w:tc>
        <w:tc>
          <w:tcPr>
            <w:tcW w:w="3400" w:type="dxa"/>
            <w:shd w:val="clear" w:color="auto" w:fill="1F2A44"/>
            <w:tcMar>
              <w:top w:w="90" w:type="dxa"/>
              <w:left w:w="110" w:type="dxa"/>
              <w:bottom w:w="90" w:type="dxa"/>
              <w:right w:w="110" w:type="dxa"/>
            </w:tcMar>
            <w:vAlign w:val="center"/>
          </w:tcPr>
          <w:p w14:paraId="3DF6D593" w14:textId="77777777" w:rsidR="00E774C7" w:rsidRDefault="00000000">
            <w:r>
              <w:rPr>
                <w:b/>
                <w:bCs/>
                <w:color w:val="FFFFFF"/>
                <w:sz w:val="18"/>
                <w:szCs w:val="18"/>
              </w:rPr>
              <w:t>Definition</w:t>
            </w:r>
          </w:p>
        </w:tc>
      </w:tr>
      <w:tr w:rsidR="00E774C7" w14:paraId="76CF0A6E" w14:textId="77777777">
        <w:tblPrEx>
          <w:tblCellMar>
            <w:top w:w="0" w:type="dxa"/>
            <w:bottom w:w="0" w:type="dxa"/>
          </w:tblCellMar>
        </w:tblPrEx>
        <w:tc>
          <w:tcPr>
            <w:tcW w:w="500" w:type="dxa"/>
            <w:shd w:val="clear" w:color="auto" w:fill="FFFFFF"/>
            <w:tcMar>
              <w:top w:w="80" w:type="dxa"/>
              <w:left w:w="110" w:type="dxa"/>
              <w:bottom w:w="80" w:type="dxa"/>
              <w:right w:w="110" w:type="dxa"/>
            </w:tcMar>
            <w:vAlign w:val="center"/>
          </w:tcPr>
          <w:p w14:paraId="6F618B46" w14:textId="77777777" w:rsidR="00E774C7" w:rsidRDefault="00000000">
            <w:r>
              <w:rPr>
                <w:color w:val="202020"/>
                <w:sz w:val="18"/>
                <w:szCs w:val="18"/>
              </w:rPr>
              <w:t>1</w:t>
            </w:r>
          </w:p>
        </w:tc>
        <w:tc>
          <w:tcPr>
            <w:tcW w:w="2900" w:type="dxa"/>
            <w:shd w:val="clear" w:color="auto" w:fill="FFFFFF"/>
            <w:tcMar>
              <w:top w:w="80" w:type="dxa"/>
              <w:left w:w="110" w:type="dxa"/>
              <w:bottom w:w="80" w:type="dxa"/>
              <w:right w:w="110" w:type="dxa"/>
            </w:tcMar>
            <w:vAlign w:val="center"/>
          </w:tcPr>
          <w:p w14:paraId="0C28E961" w14:textId="77777777" w:rsidR="00E774C7" w:rsidRDefault="00000000">
            <w:r>
              <w:rPr>
                <w:color w:val="202020"/>
                <w:sz w:val="18"/>
                <w:szCs w:val="18"/>
              </w:rPr>
              <w:t>Global Ranking Score</w:t>
            </w:r>
          </w:p>
        </w:tc>
        <w:tc>
          <w:tcPr>
            <w:tcW w:w="2600" w:type="dxa"/>
            <w:shd w:val="clear" w:color="auto" w:fill="FFFFFF"/>
            <w:tcMar>
              <w:top w:w="80" w:type="dxa"/>
              <w:left w:w="110" w:type="dxa"/>
              <w:bottom w:w="80" w:type="dxa"/>
              <w:right w:w="110" w:type="dxa"/>
            </w:tcMar>
            <w:vAlign w:val="center"/>
          </w:tcPr>
          <w:p w14:paraId="188DE5EA" w14:textId="77777777" w:rsidR="00E774C7" w:rsidRDefault="00000000">
            <w:r>
              <w:rPr>
                <w:color w:val="202020"/>
                <w:sz w:val="18"/>
                <w:szCs w:val="18"/>
              </w:rPr>
              <w:t>global_ranking_score</w:t>
            </w:r>
          </w:p>
        </w:tc>
        <w:tc>
          <w:tcPr>
            <w:tcW w:w="3400" w:type="dxa"/>
            <w:shd w:val="clear" w:color="auto" w:fill="FFFFFF"/>
            <w:tcMar>
              <w:top w:w="80" w:type="dxa"/>
              <w:left w:w="110" w:type="dxa"/>
              <w:bottom w:w="80" w:type="dxa"/>
              <w:right w:w="110" w:type="dxa"/>
            </w:tcMar>
            <w:vAlign w:val="center"/>
          </w:tcPr>
          <w:p w14:paraId="16B9F3EA" w14:textId="77777777" w:rsidR="00E774C7" w:rsidRDefault="00000000">
            <w:r>
              <w:rPr>
                <w:color w:val="202020"/>
                <w:sz w:val="18"/>
                <w:szCs w:val="18"/>
              </w:rPr>
              <w:t>QS overall ranking score, normalized to a 0–100 scale</w:t>
            </w:r>
          </w:p>
        </w:tc>
      </w:tr>
      <w:tr w:rsidR="00E774C7" w14:paraId="2A7247E0" w14:textId="77777777">
        <w:tblPrEx>
          <w:tblCellMar>
            <w:top w:w="0" w:type="dxa"/>
            <w:bottom w:w="0" w:type="dxa"/>
          </w:tblCellMar>
        </w:tblPrEx>
        <w:tc>
          <w:tcPr>
            <w:tcW w:w="500" w:type="dxa"/>
            <w:shd w:val="clear" w:color="auto" w:fill="F2F2F2"/>
            <w:tcMar>
              <w:top w:w="80" w:type="dxa"/>
              <w:left w:w="110" w:type="dxa"/>
              <w:bottom w:w="80" w:type="dxa"/>
              <w:right w:w="110" w:type="dxa"/>
            </w:tcMar>
            <w:vAlign w:val="center"/>
          </w:tcPr>
          <w:p w14:paraId="7FD02787" w14:textId="77777777" w:rsidR="00E774C7" w:rsidRDefault="00000000">
            <w:r>
              <w:rPr>
                <w:color w:val="202020"/>
                <w:sz w:val="18"/>
                <w:szCs w:val="18"/>
              </w:rPr>
              <w:t>2</w:t>
            </w:r>
          </w:p>
        </w:tc>
        <w:tc>
          <w:tcPr>
            <w:tcW w:w="2900" w:type="dxa"/>
            <w:shd w:val="clear" w:color="auto" w:fill="F2F2F2"/>
            <w:tcMar>
              <w:top w:w="80" w:type="dxa"/>
              <w:left w:w="110" w:type="dxa"/>
              <w:bottom w:w="80" w:type="dxa"/>
              <w:right w:w="110" w:type="dxa"/>
            </w:tcMar>
            <w:vAlign w:val="center"/>
          </w:tcPr>
          <w:p w14:paraId="6F8952C3" w14:textId="77777777" w:rsidR="00E774C7" w:rsidRDefault="00000000">
            <w:r>
              <w:rPr>
                <w:color w:val="202020"/>
                <w:sz w:val="18"/>
                <w:szCs w:val="18"/>
              </w:rPr>
              <w:t>Academic Reputation Score</w:t>
            </w:r>
          </w:p>
        </w:tc>
        <w:tc>
          <w:tcPr>
            <w:tcW w:w="2600" w:type="dxa"/>
            <w:shd w:val="clear" w:color="auto" w:fill="F2F2F2"/>
            <w:tcMar>
              <w:top w:w="80" w:type="dxa"/>
              <w:left w:w="110" w:type="dxa"/>
              <w:bottom w:w="80" w:type="dxa"/>
              <w:right w:w="110" w:type="dxa"/>
            </w:tcMar>
            <w:vAlign w:val="center"/>
          </w:tcPr>
          <w:p w14:paraId="0238F243" w14:textId="77777777" w:rsidR="00E774C7" w:rsidRDefault="00000000">
            <w:r>
              <w:rPr>
                <w:color w:val="202020"/>
                <w:sz w:val="18"/>
                <w:szCs w:val="18"/>
              </w:rPr>
              <w:t>academic_reputation_score</w:t>
            </w:r>
          </w:p>
        </w:tc>
        <w:tc>
          <w:tcPr>
            <w:tcW w:w="3400" w:type="dxa"/>
            <w:shd w:val="clear" w:color="auto" w:fill="F2F2F2"/>
            <w:tcMar>
              <w:top w:w="80" w:type="dxa"/>
              <w:left w:w="110" w:type="dxa"/>
              <w:bottom w:w="80" w:type="dxa"/>
              <w:right w:w="110" w:type="dxa"/>
            </w:tcMar>
            <w:vAlign w:val="center"/>
          </w:tcPr>
          <w:p w14:paraId="5DB2ABB6" w14:textId="77777777" w:rsidR="00E774C7" w:rsidRDefault="00000000">
            <w:r>
              <w:rPr>
                <w:color w:val="202020"/>
                <w:sz w:val="18"/>
                <w:szCs w:val="18"/>
              </w:rPr>
              <w:t>QS Academic Reputation survey score</w:t>
            </w:r>
          </w:p>
        </w:tc>
      </w:tr>
      <w:tr w:rsidR="00E774C7" w14:paraId="1793F3DD" w14:textId="77777777">
        <w:tblPrEx>
          <w:tblCellMar>
            <w:top w:w="0" w:type="dxa"/>
            <w:bottom w:w="0" w:type="dxa"/>
          </w:tblCellMar>
        </w:tblPrEx>
        <w:tc>
          <w:tcPr>
            <w:tcW w:w="500" w:type="dxa"/>
            <w:shd w:val="clear" w:color="auto" w:fill="FFFFFF"/>
            <w:tcMar>
              <w:top w:w="80" w:type="dxa"/>
              <w:left w:w="110" w:type="dxa"/>
              <w:bottom w:w="80" w:type="dxa"/>
              <w:right w:w="110" w:type="dxa"/>
            </w:tcMar>
            <w:vAlign w:val="center"/>
          </w:tcPr>
          <w:p w14:paraId="7D3C3649" w14:textId="77777777" w:rsidR="00E774C7" w:rsidRDefault="00000000">
            <w:r>
              <w:rPr>
                <w:color w:val="202020"/>
                <w:sz w:val="18"/>
                <w:szCs w:val="18"/>
              </w:rPr>
              <w:t>3</w:t>
            </w:r>
          </w:p>
        </w:tc>
        <w:tc>
          <w:tcPr>
            <w:tcW w:w="2900" w:type="dxa"/>
            <w:shd w:val="clear" w:color="auto" w:fill="FFFFFF"/>
            <w:tcMar>
              <w:top w:w="80" w:type="dxa"/>
              <w:left w:w="110" w:type="dxa"/>
              <w:bottom w:w="80" w:type="dxa"/>
              <w:right w:w="110" w:type="dxa"/>
            </w:tcMar>
            <w:vAlign w:val="center"/>
          </w:tcPr>
          <w:p w14:paraId="09FB8D87" w14:textId="77777777" w:rsidR="00E774C7" w:rsidRDefault="00000000">
            <w:r>
              <w:rPr>
                <w:color w:val="202020"/>
                <w:sz w:val="18"/>
                <w:szCs w:val="18"/>
              </w:rPr>
              <w:t>Faculty-to-Student Ratio Score</w:t>
            </w:r>
          </w:p>
        </w:tc>
        <w:tc>
          <w:tcPr>
            <w:tcW w:w="2600" w:type="dxa"/>
            <w:shd w:val="clear" w:color="auto" w:fill="FFFFFF"/>
            <w:tcMar>
              <w:top w:w="80" w:type="dxa"/>
              <w:left w:w="110" w:type="dxa"/>
              <w:bottom w:w="80" w:type="dxa"/>
              <w:right w:w="110" w:type="dxa"/>
            </w:tcMar>
            <w:vAlign w:val="center"/>
          </w:tcPr>
          <w:p w14:paraId="12712307" w14:textId="77777777" w:rsidR="00E774C7" w:rsidRDefault="00000000">
            <w:r>
              <w:rPr>
                <w:color w:val="202020"/>
                <w:sz w:val="18"/>
                <w:szCs w:val="18"/>
              </w:rPr>
              <w:t>faculty_student_ratio_score</w:t>
            </w:r>
          </w:p>
        </w:tc>
        <w:tc>
          <w:tcPr>
            <w:tcW w:w="3400" w:type="dxa"/>
            <w:shd w:val="clear" w:color="auto" w:fill="FFFFFF"/>
            <w:tcMar>
              <w:top w:w="80" w:type="dxa"/>
              <w:left w:w="110" w:type="dxa"/>
              <w:bottom w:w="80" w:type="dxa"/>
              <w:right w:w="110" w:type="dxa"/>
            </w:tcMar>
            <w:vAlign w:val="center"/>
          </w:tcPr>
          <w:p w14:paraId="195972C0" w14:textId="77777777" w:rsidR="00E774C7" w:rsidRDefault="00000000">
            <w:r>
              <w:rPr>
                <w:color w:val="202020"/>
                <w:sz w:val="18"/>
                <w:szCs w:val="18"/>
              </w:rPr>
              <w:t>QS Faculty/Student Ratio score</w:t>
            </w:r>
          </w:p>
        </w:tc>
      </w:tr>
      <w:tr w:rsidR="00E774C7" w14:paraId="403DEEEE" w14:textId="77777777">
        <w:tblPrEx>
          <w:tblCellMar>
            <w:top w:w="0" w:type="dxa"/>
            <w:bottom w:w="0" w:type="dxa"/>
          </w:tblCellMar>
        </w:tblPrEx>
        <w:tc>
          <w:tcPr>
            <w:tcW w:w="500" w:type="dxa"/>
            <w:shd w:val="clear" w:color="auto" w:fill="F2F2F2"/>
            <w:tcMar>
              <w:top w:w="80" w:type="dxa"/>
              <w:left w:w="110" w:type="dxa"/>
              <w:bottom w:w="80" w:type="dxa"/>
              <w:right w:w="110" w:type="dxa"/>
            </w:tcMar>
            <w:vAlign w:val="center"/>
          </w:tcPr>
          <w:p w14:paraId="21FF1D09" w14:textId="77777777" w:rsidR="00E774C7" w:rsidRDefault="00000000">
            <w:r>
              <w:rPr>
                <w:color w:val="202020"/>
                <w:sz w:val="18"/>
                <w:szCs w:val="18"/>
              </w:rPr>
              <w:t>4</w:t>
            </w:r>
          </w:p>
        </w:tc>
        <w:tc>
          <w:tcPr>
            <w:tcW w:w="2900" w:type="dxa"/>
            <w:shd w:val="clear" w:color="auto" w:fill="F2F2F2"/>
            <w:tcMar>
              <w:top w:w="80" w:type="dxa"/>
              <w:left w:w="110" w:type="dxa"/>
              <w:bottom w:w="80" w:type="dxa"/>
              <w:right w:w="110" w:type="dxa"/>
            </w:tcMar>
            <w:vAlign w:val="center"/>
          </w:tcPr>
          <w:p w14:paraId="53099B24" w14:textId="77777777" w:rsidR="00E774C7" w:rsidRDefault="00000000">
            <w:r>
              <w:rPr>
                <w:color w:val="202020"/>
                <w:sz w:val="18"/>
                <w:szCs w:val="18"/>
              </w:rPr>
              <w:t>International Student % Score</w:t>
            </w:r>
          </w:p>
        </w:tc>
        <w:tc>
          <w:tcPr>
            <w:tcW w:w="2600" w:type="dxa"/>
            <w:shd w:val="clear" w:color="auto" w:fill="F2F2F2"/>
            <w:tcMar>
              <w:top w:w="80" w:type="dxa"/>
              <w:left w:w="110" w:type="dxa"/>
              <w:bottom w:w="80" w:type="dxa"/>
              <w:right w:w="110" w:type="dxa"/>
            </w:tcMar>
            <w:vAlign w:val="center"/>
          </w:tcPr>
          <w:p w14:paraId="329188C0" w14:textId="77777777" w:rsidR="00E774C7" w:rsidRDefault="00000000">
            <w:r>
              <w:rPr>
                <w:color w:val="202020"/>
                <w:sz w:val="18"/>
                <w:szCs w:val="18"/>
              </w:rPr>
              <w:t>international_student_score</w:t>
            </w:r>
          </w:p>
        </w:tc>
        <w:tc>
          <w:tcPr>
            <w:tcW w:w="3400" w:type="dxa"/>
            <w:shd w:val="clear" w:color="auto" w:fill="F2F2F2"/>
            <w:tcMar>
              <w:top w:w="80" w:type="dxa"/>
              <w:left w:w="110" w:type="dxa"/>
              <w:bottom w:w="80" w:type="dxa"/>
              <w:right w:w="110" w:type="dxa"/>
            </w:tcMar>
            <w:vAlign w:val="center"/>
          </w:tcPr>
          <w:p w14:paraId="1437EAF8" w14:textId="77777777" w:rsidR="00E774C7" w:rsidRDefault="00000000">
            <w:r>
              <w:rPr>
                <w:color w:val="202020"/>
                <w:sz w:val="18"/>
                <w:szCs w:val="18"/>
              </w:rPr>
              <w:t>QS International Students Ratio score</w:t>
            </w:r>
          </w:p>
        </w:tc>
      </w:tr>
      <w:tr w:rsidR="00E774C7" w14:paraId="47F59ADC" w14:textId="77777777">
        <w:tblPrEx>
          <w:tblCellMar>
            <w:top w:w="0" w:type="dxa"/>
            <w:bottom w:w="0" w:type="dxa"/>
          </w:tblCellMar>
        </w:tblPrEx>
        <w:tc>
          <w:tcPr>
            <w:tcW w:w="500" w:type="dxa"/>
            <w:shd w:val="clear" w:color="auto" w:fill="FFFFFF"/>
            <w:tcMar>
              <w:top w:w="80" w:type="dxa"/>
              <w:left w:w="110" w:type="dxa"/>
              <w:bottom w:w="80" w:type="dxa"/>
              <w:right w:w="110" w:type="dxa"/>
            </w:tcMar>
            <w:vAlign w:val="center"/>
          </w:tcPr>
          <w:p w14:paraId="2303FB34" w14:textId="77777777" w:rsidR="00E774C7" w:rsidRDefault="00000000">
            <w:r>
              <w:rPr>
                <w:color w:val="202020"/>
                <w:sz w:val="18"/>
                <w:szCs w:val="18"/>
              </w:rPr>
              <w:t>5</w:t>
            </w:r>
          </w:p>
        </w:tc>
        <w:tc>
          <w:tcPr>
            <w:tcW w:w="2900" w:type="dxa"/>
            <w:shd w:val="clear" w:color="auto" w:fill="FFFFFF"/>
            <w:tcMar>
              <w:top w:w="80" w:type="dxa"/>
              <w:left w:w="110" w:type="dxa"/>
              <w:bottom w:w="80" w:type="dxa"/>
              <w:right w:w="110" w:type="dxa"/>
            </w:tcMar>
            <w:vAlign w:val="center"/>
          </w:tcPr>
          <w:p w14:paraId="6AC8AC17" w14:textId="77777777" w:rsidR="00E774C7" w:rsidRDefault="00000000">
            <w:r>
              <w:rPr>
                <w:color w:val="202020"/>
                <w:sz w:val="18"/>
                <w:szCs w:val="18"/>
              </w:rPr>
              <w:t>Research Impact Score</w:t>
            </w:r>
          </w:p>
        </w:tc>
        <w:tc>
          <w:tcPr>
            <w:tcW w:w="2600" w:type="dxa"/>
            <w:shd w:val="clear" w:color="auto" w:fill="FFFFFF"/>
            <w:tcMar>
              <w:top w:w="80" w:type="dxa"/>
              <w:left w:w="110" w:type="dxa"/>
              <w:bottom w:w="80" w:type="dxa"/>
              <w:right w:w="110" w:type="dxa"/>
            </w:tcMar>
            <w:vAlign w:val="center"/>
          </w:tcPr>
          <w:p w14:paraId="2F7EE305" w14:textId="77777777" w:rsidR="00E774C7" w:rsidRDefault="00000000">
            <w:r>
              <w:rPr>
                <w:color w:val="202020"/>
                <w:sz w:val="18"/>
                <w:szCs w:val="18"/>
              </w:rPr>
              <w:t>research_impact_score</w:t>
            </w:r>
          </w:p>
        </w:tc>
        <w:tc>
          <w:tcPr>
            <w:tcW w:w="3400" w:type="dxa"/>
            <w:shd w:val="clear" w:color="auto" w:fill="FFFFFF"/>
            <w:tcMar>
              <w:top w:w="80" w:type="dxa"/>
              <w:left w:w="110" w:type="dxa"/>
              <w:bottom w:w="80" w:type="dxa"/>
              <w:right w:w="110" w:type="dxa"/>
            </w:tcMar>
            <w:vAlign w:val="center"/>
          </w:tcPr>
          <w:p w14:paraId="31D8099D" w14:textId="77777777" w:rsidR="00E774C7" w:rsidRDefault="00000000">
            <w:r>
              <w:rPr>
                <w:color w:val="202020"/>
                <w:sz w:val="18"/>
                <w:szCs w:val="18"/>
              </w:rPr>
              <w:t>QS Citations-per-Faculty score</w:t>
            </w:r>
          </w:p>
        </w:tc>
      </w:tr>
      <w:tr w:rsidR="00E774C7" w14:paraId="6D1EA5AB" w14:textId="77777777">
        <w:tblPrEx>
          <w:tblCellMar>
            <w:top w:w="0" w:type="dxa"/>
            <w:bottom w:w="0" w:type="dxa"/>
          </w:tblCellMar>
        </w:tblPrEx>
        <w:tc>
          <w:tcPr>
            <w:tcW w:w="500" w:type="dxa"/>
            <w:shd w:val="clear" w:color="auto" w:fill="F2F2F2"/>
            <w:tcMar>
              <w:top w:w="80" w:type="dxa"/>
              <w:left w:w="110" w:type="dxa"/>
              <w:bottom w:w="80" w:type="dxa"/>
              <w:right w:w="110" w:type="dxa"/>
            </w:tcMar>
            <w:vAlign w:val="center"/>
          </w:tcPr>
          <w:p w14:paraId="3442C70F" w14:textId="77777777" w:rsidR="00E774C7" w:rsidRDefault="00000000">
            <w:r>
              <w:rPr>
                <w:color w:val="202020"/>
                <w:sz w:val="18"/>
                <w:szCs w:val="18"/>
              </w:rPr>
              <w:t>6</w:t>
            </w:r>
          </w:p>
        </w:tc>
        <w:tc>
          <w:tcPr>
            <w:tcW w:w="2900" w:type="dxa"/>
            <w:shd w:val="clear" w:color="auto" w:fill="F2F2F2"/>
            <w:tcMar>
              <w:top w:w="80" w:type="dxa"/>
              <w:left w:w="110" w:type="dxa"/>
              <w:bottom w:w="80" w:type="dxa"/>
              <w:right w:w="110" w:type="dxa"/>
            </w:tcMar>
            <w:vAlign w:val="center"/>
          </w:tcPr>
          <w:p w14:paraId="00DB5BD3" w14:textId="77777777" w:rsidR="00E774C7" w:rsidRDefault="00000000">
            <w:r>
              <w:rPr>
                <w:color w:val="202020"/>
                <w:sz w:val="18"/>
                <w:szCs w:val="18"/>
              </w:rPr>
              <w:t>Research Productivity Index</w:t>
            </w:r>
          </w:p>
        </w:tc>
        <w:tc>
          <w:tcPr>
            <w:tcW w:w="2600" w:type="dxa"/>
            <w:shd w:val="clear" w:color="auto" w:fill="F2F2F2"/>
            <w:tcMar>
              <w:top w:w="80" w:type="dxa"/>
              <w:left w:w="110" w:type="dxa"/>
              <w:bottom w:w="80" w:type="dxa"/>
              <w:right w:w="110" w:type="dxa"/>
            </w:tcMar>
            <w:vAlign w:val="center"/>
          </w:tcPr>
          <w:p w14:paraId="7A5E6B2A" w14:textId="77777777" w:rsidR="00E774C7" w:rsidRDefault="00000000">
            <w:r>
              <w:rPr>
                <w:color w:val="202020"/>
                <w:sz w:val="18"/>
                <w:szCs w:val="18"/>
              </w:rPr>
              <w:t>research_productivity_score</w:t>
            </w:r>
          </w:p>
        </w:tc>
        <w:tc>
          <w:tcPr>
            <w:tcW w:w="3400" w:type="dxa"/>
            <w:shd w:val="clear" w:color="auto" w:fill="F2F2F2"/>
            <w:tcMar>
              <w:top w:w="80" w:type="dxa"/>
              <w:left w:w="110" w:type="dxa"/>
              <w:bottom w:w="80" w:type="dxa"/>
              <w:right w:w="110" w:type="dxa"/>
            </w:tcMar>
            <w:vAlign w:val="center"/>
          </w:tcPr>
          <w:p w14:paraId="13422F56" w14:textId="77777777" w:rsidR="00E774C7" w:rsidRDefault="00000000">
            <w:r>
              <w:rPr>
                <w:color w:val="202020"/>
                <w:sz w:val="18"/>
                <w:szCs w:val="18"/>
              </w:rPr>
              <w:t>Calculated — average of 3 ARWU sub-scores (see 4.1)</w:t>
            </w:r>
          </w:p>
        </w:tc>
      </w:tr>
    </w:tbl>
    <w:p w14:paraId="4BC69080" w14:textId="77777777" w:rsidR="00E774C7" w:rsidRDefault="00000000">
      <w:pPr>
        <w:pStyle w:val="Heading2"/>
        <w:spacing w:before="280" w:after="140"/>
      </w:pPr>
      <w:r>
        <w:rPr>
          <w:b/>
          <w:bCs/>
          <w:color w:val="1B7A72"/>
          <w:sz w:val="24"/>
          <w:szCs w:val="24"/>
        </w:rPr>
        <w:t>4.1 KPI 6 — Research Productivity Index (calculated)</w:t>
      </w:r>
    </w:p>
    <w:p w14:paraId="1BA25040" w14:textId="77777777" w:rsidR="00E774C7" w:rsidRDefault="00000000">
      <w:pPr>
        <w:spacing w:after="160" w:line="276" w:lineRule="auto"/>
        <w:jc w:val="both"/>
      </w:pPr>
      <w:r>
        <w:rPr>
          <w:color w:val="202020"/>
        </w:rPr>
        <w:t>The only KPI that required a calculation rather than direct use of an existing QS score is the Research Productivity Index. It is derived as the row-wise average of three ARWU research-output sub-scores, deliberately combining volume, influence, and prestige into a single blended measure:</w:t>
      </w:r>
    </w:p>
    <w:p w14:paraId="3CED613F" w14:textId="77777777" w:rsidR="00E774C7" w:rsidRDefault="00000000">
      <w:pPr>
        <w:pBdr>
          <w:top w:val="single" w:sz="4" w:space="0" w:color="D9D9D9"/>
          <w:left w:val="single" w:sz="4" w:space="0" w:color="D9D9D9"/>
          <w:bottom w:val="single" w:sz="4" w:space="0" w:color="D9D9D9"/>
          <w:right w:val="single" w:sz="4" w:space="0" w:color="D9D9D9"/>
        </w:pBdr>
        <w:shd w:val="clear" w:color="auto" w:fill="F2F2F2"/>
        <w:spacing w:before="100" w:after="200"/>
        <w:jc w:val="center"/>
      </w:pPr>
      <w:r>
        <w:rPr>
          <w:i/>
          <w:iCs/>
          <w:color w:val="1F2A44"/>
          <w:sz w:val="20"/>
          <w:szCs w:val="20"/>
        </w:rPr>
        <w:t>research_productivity_</w:t>
      </w:r>
      <w:proofErr w:type="gramStart"/>
      <w:r>
        <w:rPr>
          <w:i/>
          <w:iCs/>
          <w:color w:val="1F2A44"/>
          <w:sz w:val="20"/>
          <w:szCs w:val="20"/>
        </w:rPr>
        <w:t>score  =</w:t>
      </w:r>
      <w:proofErr w:type="gramEnd"/>
      <w:r>
        <w:rPr>
          <w:i/>
          <w:iCs/>
          <w:color w:val="1F2A44"/>
          <w:sz w:val="20"/>
          <w:szCs w:val="20"/>
        </w:rPr>
        <w:t xml:space="preserve">  </w:t>
      </w:r>
      <w:proofErr w:type="gramStart"/>
      <w:r>
        <w:rPr>
          <w:i/>
          <w:iCs/>
          <w:color w:val="1F2A44"/>
          <w:sz w:val="20"/>
          <w:szCs w:val="20"/>
        </w:rPr>
        <w:t>mean( arwu</w:t>
      </w:r>
      <w:proofErr w:type="gramEnd"/>
      <w:r>
        <w:rPr>
          <w:i/>
          <w:iCs/>
          <w:color w:val="1F2A44"/>
          <w:sz w:val="20"/>
          <w:szCs w:val="20"/>
        </w:rPr>
        <w:t>_publications_score, arwu_highly_cited_researchers_score, arwu_nature_and_science_</w:t>
      </w:r>
      <w:proofErr w:type="gramStart"/>
      <w:r>
        <w:rPr>
          <w:i/>
          <w:iCs/>
          <w:color w:val="1F2A44"/>
          <w:sz w:val="20"/>
          <w:szCs w:val="20"/>
        </w:rPr>
        <w:t>score )</w:t>
      </w:r>
      <w:proofErr w:type="gramEnd"/>
    </w:p>
    <w:p w14:paraId="79B877FD" w14:textId="77777777" w:rsidR="00E774C7" w:rsidRDefault="00000000">
      <w:pPr>
        <w:pStyle w:val="ListParagraph"/>
        <w:numPr>
          <w:ilvl w:val="0"/>
          <w:numId w:val="2"/>
        </w:numPr>
        <w:spacing w:after="80" w:line="268" w:lineRule="auto"/>
      </w:pPr>
      <w:r>
        <w:rPr>
          <w:color w:val="202020"/>
        </w:rPr>
        <w:t>arwu_publications_score — a measure of overall research volume (total papers indexed)</w:t>
      </w:r>
    </w:p>
    <w:p w14:paraId="34E01767" w14:textId="77777777" w:rsidR="00E774C7" w:rsidRDefault="00000000">
      <w:pPr>
        <w:pStyle w:val="ListParagraph"/>
        <w:numPr>
          <w:ilvl w:val="0"/>
          <w:numId w:val="2"/>
        </w:numPr>
        <w:spacing w:after="80" w:line="268" w:lineRule="auto"/>
      </w:pPr>
      <w:r>
        <w:rPr>
          <w:color w:val="202020"/>
        </w:rPr>
        <w:t>arwu_highly_cited_researchers_score — a measure of research influence, based on the number of highly-cited researchers on faculty</w:t>
      </w:r>
    </w:p>
    <w:p w14:paraId="13EE92E0" w14:textId="77777777" w:rsidR="00E774C7" w:rsidRDefault="00000000">
      <w:pPr>
        <w:pStyle w:val="ListParagraph"/>
        <w:numPr>
          <w:ilvl w:val="0"/>
          <w:numId w:val="2"/>
        </w:numPr>
        <w:spacing w:after="80" w:line="268" w:lineRule="auto"/>
      </w:pPr>
      <w:r>
        <w:rPr>
          <w:color w:val="202020"/>
        </w:rPr>
        <w:t>arwu_nature_and_science_score — a measure of top-tier research output, based on papers published in Nature and Science</w:t>
      </w:r>
    </w:p>
    <w:p w14:paraId="428567A7" w14:textId="77777777" w:rsidR="00E774C7" w:rsidRDefault="00000000">
      <w:pPr>
        <w:spacing w:after="160" w:line="276" w:lineRule="auto"/>
        <w:jc w:val="both"/>
      </w:pPr>
      <w:r>
        <w:rPr>
          <w:color w:val="202020"/>
        </w:rPr>
        <w:t xml:space="preserve">The script validates that the average KPI completeness across all six columns exceeds the 95% target before exporting the final </w:t>
      </w:r>
      <w:proofErr w:type="gramStart"/>
      <w:r>
        <w:rPr>
          <w:color w:val="202020"/>
        </w:rPr>
        <w:t>workbook, and</w:t>
      </w:r>
      <w:proofErr w:type="gramEnd"/>
      <w:r>
        <w:rPr>
          <w:color w:val="202020"/>
        </w:rPr>
        <w:t xml:space="preserve"> prints a per-column missing-value report for transparency.</w:t>
      </w:r>
    </w:p>
    <w:p w14:paraId="12E64810" w14:textId="77777777" w:rsidR="00E774C7" w:rsidRDefault="00000000">
      <w:pPr>
        <w:pStyle w:val="Heading2"/>
        <w:spacing w:before="280" w:after="140"/>
      </w:pPr>
      <w:r>
        <w:rPr>
          <w:b/>
          <w:bCs/>
          <w:color w:val="1B7A72"/>
          <w:sz w:val="24"/>
          <w:szCs w:val="24"/>
        </w:rPr>
        <w:t>4.2 Validation &amp; Export</w:t>
      </w:r>
    </w:p>
    <w:p w14:paraId="276751D9" w14:textId="77777777" w:rsidR="00E774C7" w:rsidRDefault="00000000">
      <w:pPr>
        <w:spacing w:after="160" w:line="276" w:lineRule="auto"/>
        <w:jc w:val="both"/>
      </w:pPr>
      <w:r>
        <w:rPr>
          <w:color w:val="202020"/>
        </w:rPr>
        <w:t>generate_education_kpis.py performs three checks before export: it asserts that each of the five pre-existing KPI columns is present in the cleaned dataset, it recomputes the Research Productivity Index from the three ARWU sub-scores, and it calculates overall KPI completeness across all six KPI columns. On passing validation, the script exports university_final_dataset.xlsx — the file used as the Tableau data source for all four dashboards.</w:t>
      </w:r>
    </w:p>
    <w:p w14:paraId="41BBC8F9" w14:textId="77777777" w:rsidR="00E774C7" w:rsidRDefault="00000000">
      <w:r>
        <w:br w:type="page"/>
      </w:r>
    </w:p>
    <w:p w14:paraId="5C19DBD0" w14:textId="77777777" w:rsidR="00E774C7" w:rsidRDefault="00000000">
      <w:pPr>
        <w:pStyle w:val="Heading1"/>
        <w:pBdr>
          <w:bottom w:val="single" w:sz="8" w:space="4" w:color="1F2A44"/>
        </w:pBdr>
        <w:spacing w:before="360" w:after="200"/>
      </w:pPr>
      <w:r>
        <w:rPr>
          <w:b/>
          <w:bCs/>
          <w:color w:val="1F2A44"/>
          <w:sz w:val="30"/>
          <w:szCs w:val="30"/>
        </w:rPr>
        <w:lastRenderedPageBreak/>
        <w:t>5. Dashboard Suite Walkthrough</w:t>
      </w:r>
    </w:p>
    <w:p w14:paraId="269A9578" w14:textId="77777777" w:rsidR="00B92FBB" w:rsidRPr="00B92FBB" w:rsidRDefault="00B92FBB" w:rsidP="00B92FBB">
      <w:pPr>
        <w:spacing w:after="160" w:line="276" w:lineRule="auto"/>
        <w:jc w:val="both"/>
        <w:rPr>
          <w:color w:val="0F4761" w:themeColor="accent1" w:themeShade="BF"/>
          <w:sz w:val="24"/>
          <w:szCs w:val="24"/>
        </w:rPr>
      </w:pPr>
      <w:r w:rsidRPr="00B92FBB">
        <w:rPr>
          <w:b/>
          <w:bCs/>
          <w:color w:val="0F4761" w:themeColor="accent1" w:themeShade="BF"/>
          <w:sz w:val="24"/>
          <w:szCs w:val="24"/>
        </w:rPr>
        <w:t>5.1 Navigating the Workbook</w:t>
      </w:r>
    </w:p>
    <w:p w14:paraId="1364E594" w14:textId="77777777" w:rsidR="00B92FBB" w:rsidRPr="00B92FBB" w:rsidRDefault="00B92FBB" w:rsidP="00B92FBB">
      <w:pPr>
        <w:spacing w:after="160" w:line="276" w:lineRule="auto"/>
        <w:jc w:val="both"/>
        <w:rPr>
          <w:color w:val="202020"/>
        </w:rPr>
      </w:pPr>
      <w:r w:rsidRPr="00B92FBB">
        <w:rPr>
          <w:color w:val="202020"/>
        </w:rPr>
        <w:t>All four dashboards are wrapped inside a single Tableau workbook and share a consistent navigation and interaction model, so a viewer never has to relearn the interface when moving between them.</w:t>
      </w:r>
    </w:p>
    <w:p w14:paraId="20C80F19" w14:textId="77777777" w:rsidR="00B92FBB" w:rsidRPr="00B92FBB" w:rsidRDefault="00B92FBB" w:rsidP="00B92FBB">
      <w:pPr>
        <w:numPr>
          <w:ilvl w:val="0"/>
          <w:numId w:val="3"/>
        </w:numPr>
        <w:spacing w:after="160" w:line="276" w:lineRule="auto"/>
        <w:jc w:val="both"/>
        <w:rPr>
          <w:color w:val="202020"/>
        </w:rPr>
      </w:pPr>
      <w:r w:rsidRPr="00B92FBB">
        <w:rPr>
          <w:b/>
          <w:bCs/>
          <w:color w:val="202020"/>
        </w:rPr>
        <w:t>Top navigation bar</w:t>
      </w:r>
      <w:r w:rsidRPr="00B92FBB">
        <w:rPr>
          <w:color w:val="202020"/>
        </w:rPr>
        <w:t xml:space="preserve"> — Each dashboard opens with four large tab-style buttons across the top: </w:t>
      </w:r>
      <w:r w:rsidRPr="00B92FBB">
        <w:rPr>
          <w:i/>
          <w:iCs/>
          <w:color w:val="202020"/>
        </w:rPr>
        <w:t>University Overview</w:t>
      </w:r>
      <w:r w:rsidRPr="00B92FBB">
        <w:rPr>
          <w:color w:val="202020"/>
        </w:rPr>
        <w:t xml:space="preserve">, </w:t>
      </w:r>
      <w:r w:rsidRPr="00B92FBB">
        <w:rPr>
          <w:i/>
          <w:iCs/>
          <w:color w:val="202020"/>
        </w:rPr>
        <w:t>Research Analytics</w:t>
      </w:r>
      <w:r w:rsidRPr="00B92FBB">
        <w:rPr>
          <w:color w:val="202020"/>
        </w:rPr>
        <w:t xml:space="preserve">, </w:t>
      </w:r>
      <w:r w:rsidRPr="00B92FBB">
        <w:rPr>
          <w:i/>
          <w:iCs/>
          <w:color w:val="202020"/>
        </w:rPr>
        <w:t>Student Analytics</w:t>
      </w:r>
      <w:r w:rsidRPr="00B92FBB">
        <w:rPr>
          <w:color w:val="202020"/>
        </w:rPr>
        <w:t xml:space="preserve">, and </w:t>
      </w:r>
      <w:r w:rsidRPr="00B92FBB">
        <w:rPr>
          <w:i/>
          <w:iCs/>
          <w:color w:val="202020"/>
        </w:rPr>
        <w:t>Country Comparison</w:t>
      </w:r>
      <w:r w:rsidRPr="00B92FBB">
        <w:rPr>
          <w:color w:val="202020"/>
        </w:rPr>
        <w:t>. Clicking any tab acts as a navigation (sheet-swap) action that instantly switches the active dashboard while preserving the current filter state, so a comparison a viewer sets up on one tab carries through to the next.</w:t>
      </w:r>
    </w:p>
    <w:p w14:paraId="35F7EBA1" w14:textId="77777777" w:rsidR="00B92FBB" w:rsidRPr="00B92FBB" w:rsidRDefault="00B92FBB" w:rsidP="00B92FBB">
      <w:pPr>
        <w:numPr>
          <w:ilvl w:val="0"/>
          <w:numId w:val="3"/>
        </w:numPr>
        <w:spacing w:after="160" w:line="276" w:lineRule="auto"/>
        <w:jc w:val="both"/>
        <w:rPr>
          <w:color w:val="202020"/>
        </w:rPr>
      </w:pPr>
      <w:r w:rsidRPr="00B92FBB">
        <w:rPr>
          <w:b/>
          <w:bCs/>
          <w:color w:val="202020"/>
        </w:rPr>
        <w:t>Active-tab highlighting</w:t>
      </w:r>
      <w:r w:rsidRPr="00B92FBB">
        <w:rPr>
          <w:color w:val="202020"/>
        </w:rPr>
        <w:t xml:space="preserve"> — The tab corresponding to the dashboard currently on screen is visually distinguished (bordered/shaded) from the other three, giving the viewer a constant sense of "where am I" as they move through the workbook.</w:t>
      </w:r>
    </w:p>
    <w:p w14:paraId="03174626" w14:textId="77777777" w:rsidR="00B92FBB" w:rsidRPr="00B92FBB" w:rsidRDefault="00B92FBB" w:rsidP="00B92FBB">
      <w:pPr>
        <w:numPr>
          <w:ilvl w:val="0"/>
          <w:numId w:val="3"/>
        </w:numPr>
        <w:spacing w:after="160" w:line="276" w:lineRule="auto"/>
        <w:jc w:val="both"/>
        <w:rPr>
          <w:color w:val="202020"/>
        </w:rPr>
      </w:pPr>
      <w:r w:rsidRPr="00B92FBB">
        <w:rPr>
          <w:b/>
          <w:bCs/>
          <w:color w:val="202020"/>
        </w:rPr>
        <w:t>Consistent page anatomy</w:t>
      </w:r>
      <w:r w:rsidRPr="00B92FBB">
        <w:rPr>
          <w:color w:val="202020"/>
        </w:rPr>
        <w:t xml:space="preserve"> — Every dashboard follows the same top-to-bottom layout: navigation bar → filter/parameter row → KPI summary cards → a grid of supporting charts. This repetition means a viewer only </w:t>
      </w:r>
      <w:proofErr w:type="gramStart"/>
      <w:r w:rsidRPr="00B92FBB">
        <w:rPr>
          <w:color w:val="202020"/>
        </w:rPr>
        <w:t>has to</w:t>
      </w:r>
      <w:proofErr w:type="gramEnd"/>
      <w:r w:rsidRPr="00B92FBB">
        <w:rPr>
          <w:color w:val="202020"/>
        </w:rPr>
        <w:t xml:space="preserve"> learn the layout once.</w:t>
      </w:r>
    </w:p>
    <w:p w14:paraId="2EEADE4C" w14:textId="77777777" w:rsidR="00B92FBB" w:rsidRPr="00B92FBB" w:rsidRDefault="00B92FBB" w:rsidP="00B92FBB">
      <w:pPr>
        <w:numPr>
          <w:ilvl w:val="0"/>
          <w:numId w:val="3"/>
        </w:numPr>
        <w:spacing w:after="160" w:line="276" w:lineRule="auto"/>
        <w:jc w:val="both"/>
        <w:rPr>
          <w:color w:val="202020"/>
        </w:rPr>
      </w:pPr>
      <w:r w:rsidRPr="00B92FBB">
        <w:rPr>
          <w:b/>
          <w:bCs/>
          <w:color w:val="202020"/>
        </w:rPr>
        <w:t>Colour language</w:t>
      </w:r>
      <w:r w:rsidRPr="00B92FBB">
        <w:rPr>
          <w:color w:val="202020"/>
        </w:rPr>
        <w:t xml:space="preserve"> — Region colour-coding (Africa, Americas, Asia, Europe, Oceania) is fixed across all four dashboards, so orange always means Americas and teal always means Europe, whether the viewer is looking at a pie chart, a scatter plot, or a treemap. This lets a viewer carry visual pattern-recognition from one dashboard to the next.</w:t>
      </w:r>
    </w:p>
    <w:p w14:paraId="035ECFD3" w14:textId="77777777" w:rsidR="00B92FBB" w:rsidRPr="00B92FBB" w:rsidRDefault="00B92FBB" w:rsidP="00B92FBB">
      <w:pPr>
        <w:spacing w:after="160" w:line="276" w:lineRule="auto"/>
        <w:jc w:val="both"/>
        <w:rPr>
          <w:color w:val="0F4761" w:themeColor="accent1" w:themeShade="BF"/>
          <w:sz w:val="24"/>
          <w:szCs w:val="24"/>
        </w:rPr>
      </w:pPr>
      <w:r w:rsidRPr="00B92FBB">
        <w:rPr>
          <w:b/>
          <w:bCs/>
          <w:color w:val="0F4761" w:themeColor="accent1" w:themeShade="BF"/>
          <w:sz w:val="24"/>
          <w:szCs w:val="24"/>
        </w:rPr>
        <w:t>5.2 Filters and Parameters</w:t>
      </w:r>
    </w:p>
    <w:p w14:paraId="67577D55" w14:textId="77777777" w:rsidR="00B92FBB" w:rsidRPr="00B92FBB" w:rsidRDefault="00B92FBB" w:rsidP="00B92FBB">
      <w:pPr>
        <w:spacing w:after="160" w:line="276" w:lineRule="auto"/>
        <w:jc w:val="both"/>
        <w:rPr>
          <w:color w:val="202020"/>
        </w:rPr>
      </w:pPr>
      <w:r w:rsidRPr="00B92FBB">
        <w:rPr>
          <w:color w:val="202020"/>
        </w:rPr>
        <w:t>Just below the navigation bar, each dashboard exposes a row of interactive controls that narrow every chart on the page simultaneously:</w:t>
      </w:r>
    </w:p>
    <w:p w14:paraId="2270221D" w14:textId="77777777" w:rsidR="00B92FBB" w:rsidRPr="00B92FBB" w:rsidRDefault="00B92FBB" w:rsidP="00B92FBB">
      <w:pPr>
        <w:numPr>
          <w:ilvl w:val="0"/>
          <w:numId w:val="4"/>
        </w:numPr>
        <w:spacing w:after="160" w:line="276" w:lineRule="auto"/>
        <w:jc w:val="both"/>
        <w:rPr>
          <w:color w:val="202020"/>
        </w:rPr>
      </w:pPr>
      <w:r w:rsidRPr="00B92FBB">
        <w:rPr>
          <w:b/>
          <w:bCs/>
          <w:color w:val="202020"/>
        </w:rPr>
        <w:t>Region filter</w:t>
      </w:r>
      <w:r w:rsidRPr="00B92FBB">
        <w:rPr>
          <w:color w:val="202020"/>
        </w:rPr>
        <w:t xml:space="preserve"> — A checkbox/legend-style filter (Africa, Americas, Asia, Europe, Oceania) present on all four dashboards, letting a viewer isolate one or more regions at a time. Selecting a region here cross-filters every chart, map, and KPI card on the same page.</w:t>
      </w:r>
    </w:p>
    <w:p w14:paraId="42D96C28" w14:textId="77777777" w:rsidR="00B92FBB" w:rsidRPr="00B92FBB" w:rsidRDefault="00B92FBB" w:rsidP="00B92FBB">
      <w:pPr>
        <w:numPr>
          <w:ilvl w:val="0"/>
          <w:numId w:val="4"/>
        </w:numPr>
        <w:spacing w:after="160" w:line="276" w:lineRule="auto"/>
        <w:jc w:val="both"/>
        <w:rPr>
          <w:color w:val="202020"/>
        </w:rPr>
      </w:pPr>
      <w:r w:rsidRPr="00B92FBB">
        <w:rPr>
          <w:b/>
          <w:bCs/>
          <w:color w:val="202020"/>
        </w:rPr>
        <w:t>Country filter</w:t>
      </w:r>
      <w:r w:rsidRPr="00B92FBB">
        <w:rPr>
          <w:color w:val="202020"/>
        </w:rPr>
        <w:t xml:space="preserve"> — A dropdown, defaulted to "(All)", available on the University Overview, Student Analytics, and Country Comparison dashboards, for drilling from a regional view down to a single country.</w:t>
      </w:r>
    </w:p>
    <w:p w14:paraId="2A170829" w14:textId="77777777" w:rsidR="00B92FBB" w:rsidRPr="00B92FBB" w:rsidRDefault="00B92FBB" w:rsidP="00B92FBB">
      <w:pPr>
        <w:numPr>
          <w:ilvl w:val="0"/>
          <w:numId w:val="4"/>
        </w:numPr>
        <w:spacing w:after="160" w:line="276" w:lineRule="auto"/>
        <w:jc w:val="both"/>
        <w:rPr>
          <w:color w:val="202020"/>
        </w:rPr>
      </w:pPr>
      <w:r w:rsidRPr="00B92FBB">
        <w:rPr>
          <w:b/>
          <w:bCs/>
          <w:color w:val="202020"/>
        </w:rPr>
        <w:t>Metric range sliders</w:t>
      </w:r>
      <w:r w:rsidRPr="00B92FBB">
        <w:rPr>
          <w:color w:val="202020"/>
        </w:rPr>
        <w:t xml:space="preserve"> — Each dashboard also carries one or two continuous-value sliders tied to a KPI relevant to that page — e.g. </w:t>
      </w:r>
      <w:r w:rsidRPr="00B92FBB">
        <w:rPr>
          <w:i/>
          <w:iCs/>
          <w:color w:val="202020"/>
        </w:rPr>
        <w:t>Faculty-Student Ratio Score</w:t>
      </w:r>
      <w:r w:rsidRPr="00B92FBB">
        <w:rPr>
          <w:color w:val="202020"/>
        </w:rPr>
        <w:t xml:space="preserve"> and </w:t>
      </w:r>
      <w:r w:rsidRPr="00B92FBB">
        <w:rPr>
          <w:i/>
          <w:iCs/>
          <w:color w:val="202020"/>
        </w:rPr>
        <w:t>Avg. Ranking Score</w:t>
      </w:r>
      <w:r w:rsidRPr="00B92FBB">
        <w:rPr>
          <w:color w:val="202020"/>
        </w:rPr>
        <w:t xml:space="preserve"> on University Overview, </w:t>
      </w:r>
      <w:r w:rsidRPr="00B92FBB">
        <w:rPr>
          <w:i/>
          <w:iCs/>
          <w:color w:val="202020"/>
        </w:rPr>
        <w:t>ARWU Publications Score</w:t>
      </w:r>
      <w:r w:rsidRPr="00B92FBB">
        <w:rPr>
          <w:color w:val="202020"/>
        </w:rPr>
        <w:t xml:space="preserve"> on Research Analytics, </w:t>
      </w:r>
      <w:r w:rsidRPr="00B92FBB">
        <w:rPr>
          <w:i/>
          <w:iCs/>
          <w:color w:val="202020"/>
        </w:rPr>
        <w:t>International Faculty Score</w:t>
      </w:r>
      <w:r w:rsidRPr="00B92FBB">
        <w:rPr>
          <w:color w:val="202020"/>
        </w:rPr>
        <w:t xml:space="preserve"> on Student Analytics, and </w:t>
      </w:r>
      <w:r w:rsidRPr="00B92FBB">
        <w:rPr>
          <w:i/>
          <w:iCs/>
          <w:color w:val="202020"/>
        </w:rPr>
        <w:t>Research Impact Score</w:t>
      </w:r>
      <w:r w:rsidRPr="00B92FBB">
        <w:rPr>
          <w:color w:val="202020"/>
        </w:rPr>
        <w:t xml:space="preserve"> / </w:t>
      </w:r>
      <w:r w:rsidRPr="00B92FBB">
        <w:rPr>
          <w:i/>
          <w:iCs/>
          <w:color w:val="202020"/>
        </w:rPr>
        <w:t>Measure Values</w:t>
      </w:r>
      <w:r w:rsidRPr="00B92FBB">
        <w:rPr>
          <w:color w:val="202020"/>
        </w:rPr>
        <w:t xml:space="preserve"> on Country Comparison. Dragging either end of the slider trims the dataset to institutions or countries falling inside that score band.</w:t>
      </w:r>
    </w:p>
    <w:p w14:paraId="50A0C743" w14:textId="77777777" w:rsidR="00B92FBB" w:rsidRPr="00B92FBB" w:rsidRDefault="00B92FBB" w:rsidP="00B92FBB">
      <w:pPr>
        <w:numPr>
          <w:ilvl w:val="0"/>
          <w:numId w:val="4"/>
        </w:numPr>
        <w:spacing w:after="160" w:line="276" w:lineRule="auto"/>
        <w:jc w:val="both"/>
        <w:rPr>
          <w:color w:val="202020"/>
        </w:rPr>
      </w:pPr>
      <w:r w:rsidRPr="00B92FBB">
        <w:rPr>
          <w:b/>
          <w:bCs/>
          <w:color w:val="202020"/>
        </w:rPr>
        <w:t>Cross-chart filtering (actions)</w:t>
      </w:r>
      <w:r w:rsidRPr="00B92FBB">
        <w:rPr>
          <w:color w:val="202020"/>
        </w:rPr>
        <w:t xml:space="preserve"> — Clicking directly on a mark in one chart (a bar, a bubble, a treemap tile, a map point) acts as a filter/highlight action on the rest of the dashboard, letting a viewer click, for example, a country on the map and instantly see every other chart update to reflect that selection.</w:t>
      </w:r>
    </w:p>
    <w:p w14:paraId="43094249" w14:textId="77777777" w:rsidR="00B92FBB" w:rsidRPr="00B92FBB" w:rsidRDefault="00B92FBB" w:rsidP="00B92FBB">
      <w:pPr>
        <w:numPr>
          <w:ilvl w:val="0"/>
          <w:numId w:val="4"/>
        </w:numPr>
        <w:spacing w:after="160" w:line="276" w:lineRule="auto"/>
        <w:jc w:val="both"/>
        <w:rPr>
          <w:color w:val="202020"/>
        </w:rPr>
      </w:pPr>
      <w:r w:rsidRPr="00B92FBB">
        <w:rPr>
          <w:b/>
          <w:bCs/>
          <w:color w:val="202020"/>
        </w:rPr>
        <w:lastRenderedPageBreak/>
        <w:t>Reset behaviour</w:t>
      </w:r>
      <w:r w:rsidRPr="00B92FBB">
        <w:rPr>
          <w:color w:val="202020"/>
        </w:rPr>
        <w:t xml:space="preserve"> — Because filters persist across tab changes, each dashboard is designed so filter selections read intuitively at a glance (via the highlighted legend swatches and the current slider range shown in the header), so a viewer can tell what subset of data they're looking at without needing to reset first.</w:t>
      </w:r>
    </w:p>
    <w:p w14:paraId="5540C867" w14:textId="77777777" w:rsidR="00B92FBB" w:rsidRPr="00B92FBB" w:rsidRDefault="00B92FBB" w:rsidP="00B92FBB">
      <w:pPr>
        <w:spacing w:after="160" w:line="276" w:lineRule="auto"/>
        <w:jc w:val="both"/>
        <w:rPr>
          <w:color w:val="0F4761" w:themeColor="accent1" w:themeShade="BF"/>
          <w:sz w:val="24"/>
          <w:szCs w:val="24"/>
        </w:rPr>
      </w:pPr>
      <w:r w:rsidRPr="00B92FBB">
        <w:rPr>
          <w:b/>
          <w:bCs/>
          <w:color w:val="0F4761" w:themeColor="accent1" w:themeShade="BF"/>
          <w:sz w:val="24"/>
          <w:szCs w:val="24"/>
        </w:rPr>
        <w:t>5.3 KPI Summary Cards</w:t>
      </w:r>
    </w:p>
    <w:p w14:paraId="3155081D" w14:textId="77777777" w:rsidR="00B92FBB" w:rsidRPr="00B92FBB" w:rsidRDefault="00B92FBB" w:rsidP="00B92FBB">
      <w:pPr>
        <w:spacing w:after="160" w:line="276" w:lineRule="auto"/>
        <w:jc w:val="both"/>
        <w:rPr>
          <w:color w:val="202020"/>
        </w:rPr>
      </w:pPr>
      <w:r w:rsidRPr="00B92FBB">
        <w:rPr>
          <w:color w:val="202020"/>
        </w:rPr>
        <w:t xml:space="preserve">Beneath the filter row, every dashboard shows a strip of 4–5 large KPI cards — big-number callouts (e.g. </w:t>
      </w:r>
      <w:r w:rsidRPr="00B92FBB">
        <w:rPr>
          <w:i/>
          <w:iCs/>
          <w:color w:val="202020"/>
        </w:rPr>
        <w:t>KPI_TotalUnis</w:t>
      </w:r>
      <w:r w:rsidRPr="00B92FBB">
        <w:rPr>
          <w:color w:val="202020"/>
        </w:rPr>
        <w:t xml:space="preserve">, </w:t>
      </w:r>
      <w:r w:rsidRPr="00B92FBB">
        <w:rPr>
          <w:i/>
          <w:iCs/>
          <w:color w:val="202020"/>
        </w:rPr>
        <w:t>KPI_AvgScore</w:t>
      </w:r>
      <w:r w:rsidRPr="00B92FBB">
        <w:rPr>
          <w:color w:val="202020"/>
        </w:rPr>
        <w:t xml:space="preserve">, </w:t>
      </w:r>
      <w:r w:rsidRPr="00B92FBB">
        <w:rPr>
          <w:i/>
          <w:iCs/>
          <w:color w:val="202020"/>
        </w:rPr>
        <w:t>KPI_TopRank</w:t>
      </w:r>
      <w:r w:rsidRPr="00B92FBB">
        <w:rPr>
          <w:color w:val="202020"/>
        </w:rPr>
        <w:t>) that recalculate live as filters change. These act as the dashboard's headline takeaway, letting a viewer confirm the effect of a filter selection (e.g. total university count dropping, average score shifting) without having to read the detailed charts below.</w:t>
      </w:r>
    </w:p>
    <w:p w14:paraId="2624FB35" w14:textId="77777777" w:rsidR="00B92FBB" w:rsidRPr="00B92FBB" w:rsidRDefault="00B92FBB" w:rsidP="00B92FBB">
      <w:pPr>
        <w:spacing w:after="160" w:line="276" w:lineRule="auto"/>
        <w:jc w:val="both"/>
        <w:rPr>
          <w:color w:val="0F4761" w:themeColor="accent1" w:themeShade="BF"/>
          <w:sz w:val="24"/>
          <w:szCs w:val="24"/>
        </w:rPr>
      </w:pPr>
      <w:r w:rsidRPr="00B92FBB">
        <w:rPr>
          <w:b/>
          <w:bCs/>
          <w:color w:val="0F4761" w:themeColor="accent1" w:themeShade="BF"/>
          <w:sz w:val="24"/>
          <w:szCs w:val="24"/>
        </w:rPr>
        <w:t>5.4 Supporting Chart Grid</w:t>
      </w:r>
    </w:p>
    <w:p w14:paraId="73C5DC58" w14:textId="77777777" w:rsidR="00B92FBB" w:rsidRPr="00B92FBB" w:rsidRDefault="00B92FBB" w:rsidP="00B92FBB">
      <w:pPr>
        <w:spacing w:after="160" w:line="276" w:lineRule="auto"/>
        <w:jc w:val="both"/>
        <w:rPr>
          <w:color w:val="202020"/>
        </w:rPr>
      </w:pPr>
      <w:r w:rsidRPr="00B92FBB">
        <w:rPr>
          <w:color w:val="202020"/>
        </w:rPr>
        <w:t>The lower two-thirds of each dashboard is a grid of six chart panels — a mix of bar charts, pie charts, scatter plots, treemaps, heat maps, box plots, and packed-bubble charts, chosen per-dashboard to suit the underlying question (ranking comparisons, research correlations, diversity distributions, or country benchmarking). Panel titles double as chart identifiers (e.g. Top10_Rankings, Region_Distribution) so the underlying Tableau worksheet is traceable directly from the dashboard view.</w:t>
      </w:r>
    </w:p>
    <w:p w14:paraId="7B93EEBB" w14:textId="77777777" w:rsidR="00B92FBB" w:rsidRDefault="00B92FBB">
      <w:pPr>
        <w:spacing w:after="160" w:line="276" w:lineRule="auto"/>
        <w:jc w:val="both"/>
        <w:rPr>
          <w:color w:val="202020"/>
        </w:rPr>
      </w:pPr>
    </w:p>
    <w:p w14:paraId="4DFF4EA9" w14:textId="63883631" w:rsidR="00E774C7" w:rsidRDefault="00000000">
      <w:pPr>
        <w:spacing w:after="160" w:line="276" w:lineRule="auto"/>
        <w:jc w:val="both"/>
      </w:pPr>
      <w:r>
        <w:rPr>
          <w:color w:val="202020"/>
        </w:rPr>
        <w:t>The following sections walk through each dashboard individually: what it shows, how its visuals are constructed, and the kind of question it is designed to answer.</w:t>
      </w:r>
    </w:p>
    <w:p w14:paraId="567980D6" w14:textId="77777777" w:rsidR="00E774C7" w:rsidRDefault="00000000">
      <w:r>
        <w:br w:type="page"/>
      </w:r>
    </w:p>
    <w:p w14:paraId="0E506A9C" w14:textId="77777777" w:rsidR="00E774C7" w:rsidRDefault="00000000">
      <w:pPr>
        <w:pStyle w:val="Heading1"/>
        <w:pBdr>
          <w:bottom w:val="single" w:sz="8" w:space="4" w:color="1F2A44"/>
        </w:pBdr>
        <w:spacing w:before="360" w:after="200"/>
      </w:pPr>
      <w:r>
        <w:rPr>
          <w:b/>
          <w:bCs/>
          <w:color w:val="1F2A44"/>
          <w:sz w:val="30"/>
          <w:szCs w:val="30"/>
        </w:rPr>
        <w:lastRenderedPageBreak/>
        <w:t>6. Dashboard — University Overview</w:t>
      </w:r>
    </w:p>
    <w:p w14:paraId="3E16A67C" w14:textId="77777777" w:rsidR="00E774C7" w:rsidRDefault="00000000">
      <w:pPr>
        <w:spacing w:after="160" w:line="276" w:lineRule="auto"/>
        <w:jc w:val="both"/>
      </w:pPr>
      <w:r>
        <w:rPr>
          <w:color w:val="202020"/>
        </w:rPr>
        <w:t xml:space="preserve">The University Overview dashboard is the landing page of the workbook and gives a top-level snapshot of the full ranked university population before a </w:t>
      </w:r>
      <w:proofErr w:type="gramStart"/>
      <w:r>
        <w:rPr>
          <w:color w:val="202020"/>
        </w:rPr>
        <w:t>viewer drills</w:t>
      </w:r>
      <w:proofErr w:type="gramEnd"/>
      <w:r>
        <w:rPr>
          <w:color w:val="202020"/>
        </w:rPr>
        <w:t xml:space="preserve"> into research, student, or country detail. It is filterable by Region, Country, Faculty-Student Ratio Score, and Avg. Ranking Score.</w:t>
      </w:r>
    </w:p>
    <w:p w14:paraId="05FDA54A" w14:textId="77777777" w:rsidR="00E774C7" w:rsidRDefault="00000000">
      <w:pPr>
        <w:pBdr>
          <w:top w:val="single" w:sz="4" w:space="0" w:color="D9D9D9"/>
          <w:left w:val="single" w:sz="4" w:space="0" w:color="D9D9D9"/>
          <w:bottom w:val="single" w:sz="4" w:space="0" w:color="D9D9D9"/>
          <w:right w:val="single" w:sz="4" w:space="0" w:color="D9D9D9"/>
        </w:pBdr>
        <w:spacing w:before="120" w:after="60"/>
        <w:jc w:val="center"/>
      </w:pPr>
      <w:r>
        <w:rPr>
          <w:noProof/>
        </w:rPr>
        <w:drawing>
          <wp:inline distT="0" distB="0" distL="0" distR="0" wp14:anchorId="0343EF5F" wp14:editId="718FC899">
            <wp:extent cx="6527408" cy="3535680"/>
            <wp:effectExtent l="0" t="0" r="698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541699" cy="3543421"/>
                    </a:xfrm>
                    <a:prstGeom prst="rect">
                      <a:avLst/>
                    </a:prstGeom>
                  </pic:spPr>
                </pic:pic>
              </a:graphicData>
            </a:graphic>
          </wp:inline>
        </w:drawing>
      </w:r>
    </w:p>
    <w:p w14:paraId="6EBAAADF" w14:textId="545823A8" w:rsidR="00E774C7" w:rsidRDefault="00000000">
      <w:pPr>
        <w:spacing w:before="100" w:after="260"/>
        <w:jc w:val="center"/>
      </w:pPr>
      <w:r>
        <w:rPr>
          <w:i/>
          <w:iCs/>
          <w:color w:val="595959"/>
          <w:sz w:val="18"/>
          <w:szCs w:val="18"/>
        </w:rPr>
        <w:t xml:space="preserve">Figure </w:t>
      </w:r>
      <w:r w:rsidR="00B92FBB">
        <w:rPr>
          <w:i/>
          <w:iCs/>
          <w:color w:val="595959"/>
          <w:sz w:val="18"/>
          <w:szCs w:val="18"/>
        </w:rPr>
        <w:t>1</w:t>
      </w:r>
      <w:r>
        <w:rPr>
          <w:i/>
          <w:iCs/>
          <w:color w:val="595959"/>
          <w:sz w:val="18"/>
          <w:szCs w:val="18"/>
        </w:rPr>
        <w:t xml:space="preserve"> — The University Overview dashboard.</w:t>
      </w:r>
    </w:p>
    <w:p w14:paraId="7EEB5C65" w14:textId="77777777" w:rsidR="00B00C08" w:rsidRDefault="00B00C08">
      <w:pPr>
        <w:pStyle w:val="Heading2"/>
        <w:spacing w:before="280" w:after="140"/>
        <w:rPr>
          <w:b/>
          <w:bCs/>
          <w:color w:val="1B7A72"/>
          <w:sz w:val="24"/>
          <w:szCs w:val="24"/>
        </w:rPr>
      </w:pPr>
    </w:p>
    <w:p w14:paraId="0A3A268D" w14:textId="4FD6CFB6" w:rsidR="00E774C7" w:rsidRDefault="00000000">
      <w:pPr>
        <w:pStyle w:val="Heading2"/>
        <w:spacing w:before="280" w:after="140"/>
      </w:pPr>
      <w:r>
        <w:rPr>
          <w:b/>
          <w:bCs/>
          <w:color w:val="1B7A72"/>
          <w:sz w:val="24"/>
          <w:szCs w:val="24"/>
        </w:rPr>
        <w:t>KPI Summary Cards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900"/>
      </w:tblGrid>
      <w:tr w:rsidR="00E774C7" w14:paraId="0BFD0790" w14:textId="77777777">
        <w:tblPrEx>
          <w:tblCellMar>
            <w:top w:w="0" w:type="dxa"/>
            <w:bottom w:w="0" w:type="dxa"/>
          </w:tblCellMar>
        </w:tblPrEx>
        <w:tc>
          <w:tcPr>
            <w:tcW w:w="2500" w:type="dxa"/>
            <w:shd w:val="clear" w:color="auto" w:fill="F2F2F2"/>
            <w:tcMar>
              <w:top w:w="100" w:type="dxa"/>
              <w:left w:w="120" w:type="dxa"/>
              <w:bottom w:w="100" w:type="dxa"/>
              <w:right w:w="120" w:type="dxa"/>
            </w:tcMar>
            <w:vAlign w:val="center"/>
          </w:tcPr>
          <w:p w14:paraId="73E5944F" w14:textId="77777777" w:rsidR="00E774C7" w:rsidRDefault="00000000">
            <w:r>
              <w:rPr>
                <w:b/>
                <w:bCs/>
                <w:color w:val="1F2A44"/>
                <w:sz w:val="19"/>
                <w:szCs w:val="19"/>
              </w:rPr>
              <w:t>KPI_TotalUnis</w:t>
            </w:r>
          </w:p>
        </w:tc>
        <w:tc>
          <w:tcPr>
            <w:tcW w:w="6900" w:type="dxa"/>
            <w:tcMar>
              <w:top w:w="100" w:type="dxa"/>
              <w:left w:w="120" w:type="dxa"/>
              <w:bottom w:w="100" w:type="dxa"/>
              <w:right w:w="120" w:type="dxa"/>
            </w:tcMar>
            <w:vAlign w:val="center"/>
          </w:tcPr>
          <w:p w14:paraId="49779788" w14:textId="77777777" w:rsidR="00E774C7" w:rsidRDefault="00000000">
            <w:r>
              <w:rPr>
                <w:color w:val="202020"/>
                <w:sz w:val="19"/>
                <w:szCs w:val="19"/>
              </w:rPr>
              <w:t>1,492 — total number of ranked institutions in the dataset</w:t>
            </w:r>
          </w:p>
        </w:tc>
      </w:tr>
      <w:tr w:rsidR="00E774C7" w14:paraId="0EFF7B17" w14:textId="77777777">
        <w:tblPrEx>
          <w:tblCellMar>
            <w:top w:w="0" w:type="dxa"/>
            <w:bottom w:w="0" w:type="dxa"/>
          </w:tblCellMar>
        </w:tblPrEx>
        <w:tc>
          <w:tcPr>
            <w:tcW w:w="2500" w:type="dxa"/>
            <w:shd w:val="clear" w:color="auto" w:fill="F2F2F2"/>
            <w:tcMar>
              <w:top w:w="100" w:type="dxa"/>
              <w:left w:w="120" w:type="dxa"/>
              <w:bottom w:w="100" w:type="dxa"/>
              <w:right w:w="120" w:type="dxa"/>
            </w:tcMar>
            <w:vAlign w:val="center"/>
          </w:tcPr>
          <w:p w14:paraId="0517D9E9" w14:textId="77777777" w:rsidR="00E774C7" w:rsidRDefault="00000000">
            <w:r>
              <w:rPr>
                <w:b/>
                <w:bCs/>
                <w:color w:val="1F2A44"/>
                <w:sz w:val="19"/>
                <w:szCs w:val="19"/>
              </w:rPr>
              <w:t>KPI_Top Rank</w:t>
            </w:r>
          </w:p>
        </w:tc>
        <w:tc>
          <w:tcPr>
            <w:tcW w:w="6900" w:type="dxa"/>
            <w:tcMar>
              <w:top w:w="100" w:type="dxa"/>
              <w:left w:w="120" w:type="dxa"/>
              <w:bottom w:w="100" w:type="dxa"/>
              <w:right w:w="120" w:type="dxa"/>
            </w:tcMar>
            <w:vAlign w:val="center"/>
          </w:tcPr>
          <w:p w14:paraId="7F0F74C4" w14:textId="77777777" w:rsidR="00E774C7" w:rsidRDefault="00000000">
            <w:r>
              <w:rPr>
                <w:color w:val="202020"/>
                <w:sz w:val="19"/>
                <w:szCs w:val="19"/>
              </w:rPr>
              <w:t>MIT — the single highest-ranked university in the current filter context</w:t>
            </w:r>
          </w:p>
        </w:tc>
      </w:tr>
      <w:tr w:rsidR="00E774C7" w14:paraId="00754647" w14:textId="77777777">
        <w:tblPrEx>
          <w:tblCellMar>
            <w:top w:w="0" w:type="dxa"/>
            <w:bottom w:w="0" w:type="dxa"/>
          </w:tblCellMar>
        </w:tblPrEx>
        <w:tc>
          <w:tcPr>
            <w:tcW w:w="2500" w:type="dxa"/>
            <w:shd w:val="clear" w:color="auto" w:fill="F2F2F2"/>
            <w:tcMar>
              <w:top w:w="100" w:type="dxa"/>
              <w:left w:w="120" w:type="dxa"/>
              <w:bottom w:w="100" w:type="dxa"/>
              <w:right w:w="120" w:type="dxa"/>
            </w:tcMar>
            <w:vAlign w:val="center"/>
          </w:tcPr>
          <w:p w14:paraId="7A21ECCE" w14:textId="77777777" w:rsidR="00E774C7" w:rsidRDefault="00000000">
            <w:r>
              <w:rPr>
                <w:b/>
                <w:bCs/>
                <w:color w:val="1F2A44"/>
                <w:sz w:val="19"/>
                <w:szCs w:val="19"/>
              </w:rPr>
              <w:t>KPI_AvgScore</w:t>
            </w:r>
          </w:p>
        </w:tc>
        <w:tc>
          <w:tcPr>
            <w:tcW w:w="6900" w:type="dxa"/>
            <w:tcMar>
              <w:top w:w="100" w:type="dxa"/>
              <w:left w:w="120" w:type="dxa"/>
              <w:bottom w:w="100" w:type="dxa"/>
              <w:right w:w="120" w:type="dxa"/>
            </w:tcMar>
            <w:vAlign w:val="center"/>
          </w:tcPr>
          <w:p w14:paraId="028697AC" w14:textId="77777777" w:rsidR="00E774C7" w:rsidRDefault="00000000">
            <w:r>
              <w:rPr>
                <w:color w:val="202020"/>
                <w:sz w:val="19"/>
                <w:szCs w:val="19"/>
              </w:rPr>
              <w:t>46.76 — average Global Ranking Score across all institutions</w:t>
            </w:r>
          </w:p>
        </w:tc>
      </w:tr>
      <w:tr w:rsidR="00E774C7" w14:paraId="0E9EEB75" w14:textId="77777777">
        <w:tblPrEx>
          <w:tblCellMar>
            <w:top w:w="0" w:type="dxa"/>
            <w:bottom w:w="0" w:type="dxa"/>
          </w:tblCellMar>
        </w:tblPrEx>
        <w:tc>
          <w:tcPr>
            <w:tcW w:w="2500" w:type="dxa"/>
            <w:shd w:val="clear" w:color="auto" w:fill="F2F2F2"/>
            <w:tcMar>
              <w:top w:w="100" w:type="dxa"/>
              <w:left w:w="120" w:type="dxa"/>
              <w:bottom w:w="100" w:type="dxa"/>
              <w:right w:w="120" w:type="dxa"/>
            </w:tcMar>
            <w:vAlign w:val="center"/>
          </w:tcPr>
          <w:p w14:paraId="2E15CC64" w14:textId="77777777" w:rsidR="00E774C7" w:rsidRDefault="00000000">
            <w:r>
              <w:rPr>
                <w:b/>
                <w:bCs/>
                <w:color w:val="1F2A44"/>
                <w:sz w:val="19"/>
                <w:szCs w:val="19"/>
              </w:rPr>
              <w:t>KPI_IntlStudents</w:t>
            </w:r>
          </w:p>
        </w:tc>
        <w:tc>
          <w:tcPr>
            <w:tcW w:w="6900" w:type="dxa"/>
            <w:tcMar>
              <w:top w:w="100" w:type="dxa"/>
              <w:left w:w="120" w:type="dxa"/>
              <w:bottom w:w="100" w:type="dxa"/>
              <w:right w:w="120" w:type="dxa"/>
            </w:tcMar>
            <w:vAlign w:val="center"/>
          </w:tcPr>
          <w:p w14:paraId="154EE474" w14:textId="77777777" w:rsidR="00E774C7" w:rsidRDefault="00000000">
            <w:r>
              <w:rPr>
                <w:color w:val="202020"/>
                <w:sz w:val="19"/>
                <w:szCs w:val="19"/>
              </w:rPr>
              <w:t>32.96 — average International Student Percentage Score</w:t>
            </w:r>
          </w:p>
        </w:tc>
      </w:tr>
      <w:tr w:rsidR="00E774C7" w14:paraId="4BD2E8A8" w14:textId="77777777">
        <w:tblPrEx>
          <w:tblCellMar>
            <w:top w:w="0" w:type="dxa"/>
            <w:bottom w:w="0" w:type="dxa"/>
          </w:tblCellMar>
        </w:tblPrEx>
        <w:tc>
          <w:tcPr>
            <w:tcW w:w="2500" w:type="dxa"/>
            <w:shd w:val="clear" w:color="auto" w:fill="F2F2F2"/>
            <w:tcMar>
              <w:top w:w="100" w:type="dxa"/>
              <w:left w:w="120" w:type="dxa"/>
              <w:bottom w:w="100" w:type="dxa"/>
              <w:right w:w="120" w:type="dxa"/>
            </w:tcMar>
            <w:vAlign w:val="center"/>
          </w:tcPr>
          <w:p w14:paraId="01BB90E8" w14:textId="77777777" w:rsidR="00E774C7" w:rsidRDefault="00000000">
            <w:r>
              <w:rPr>
                <w:b/>
                <w:bCs/>
                <w:color w:val="1F2A44"/>
                <w:sz w:val="19"/>
                <w:szCs w:val="19"/>
              </w:rPr>
              <w:t>KPI_FacultyRatio</w:t>
            </w:r>
          </w:p>
        </w:tc>
        <w:tc>
          <w:tcPr>
            <w:tcW w:w="6900" w:type="dxa"/>
            <w:tcMar>
              <w:top w:w="100" w:type="dxa"/>
              <w:left w:w="120" w:type="dxa"/>
              <w:bottom w:w="100" w:type="dxa"/>
              <w:right w:w="120" w:type="dxa"/>
            </w:tcMar>
            <w:vAlign w:val="center"/>
          </w:tcPr>
          <w:p w14:paraId="13B2C241" w14:textId="77777777" w:rsidR="00E774C7" w:rsidRDefault="00000000">
            <w:r>
              <w:rPr>
                <w:color w:val="202020"/>
                <w:sz w:val="19"/>
                <w:szCs w:val="19"/>
              </w:rPr>
              <w:t>34.01 — average Faculty-to-Student Ratio Score</w:t>
            </w:r>
          </w:p>
        </w:tc>
      </w:tr>
    </w:tbl>
    <w:p w14:paraId="2D4AAE76" w14:textId="77777777" w:rsidR="00B00C08" w:rsidRDefault="00B00C08">
      <w:pPr>
        <w:pStyle w:val="Heading2"/>
        <w:spacing w:before="280" w:after="140"/>
        <w:rPr>
          <w:b/>
          <w:bCs/>
          <w:color w:val="1B7A72"/>
          <w:sz w:val="24"/>
          <w:szCs w:val="24"/>
        </w:rPr>
      </w:pPr>
    </w:p>
    <w:p w14:paraId="75344E3B" w14:textId="26448262" w:rsidR="00E774C7" w:rsidRDefault="00000000">
      <w:pPr>
        <w:pStyle w:val="Heading2"/>
        <w:spacing w:before="280" w:after="140"/>
      </w:pPr>
      <w:r>
        <w:rPr>
          <w:b/>
          <w:bCs/>
          <w:color w:val="1B7A72"/>
          <w:sz w:val="24"/>
          <w:szCs w:val="24"/>
        </w:rPr>
        <w:t>Visuals on This Dashboard</w:t>
      </w:r>
    </w:p>
    <w:p w14:paraId="72AA23D1" w14:textId="77777777" w:rsidR="00E774C7" w:rsidRDefault="00000000">
      <w:pPr>
        <w:pStyle w:val="ListParagraph"/>
        <w:numPr>
          <w:ilvl w:val="0"/>
          <w:numId w:val="2"/>
        </w:numPr>
        <w:spacing w:after="80" w:line="268" w:lineRule="auto"/>
      </w:pPr>
      <w:r>
        <w:rPr>
          <w:color w:val="202020"/>
        </w:rPr>
        <w:lastRenderedPageBreak/>
        <w:t>Top10_Rankings — a horizontal bar chart of the ten highest-ranked universities by Avg. Global Ranking Score, led by Oxford, Cambridge, and UCL in this view</w:t>
      </w:r>
    </w:p>
    <w:p w14:paraId="042D08D5" w14:textId="77777777" w:rsidR="00E774C7" w:rsidRDefault="00000000">
      <w:pPr>
        <w:pStyle w:val="ListParagraph"/>
        <w:numPr>
          <w:ilvl w:val="0"/>
          <w:numId w:val="2"/>
        </w:numPr>
        <w:spacing w:after="80" w:line="268" w:lineRule="auto"/>
      </w:pPr>
      <w:r>
        <w:rPr>
          <w:color w:val="202020"/>
        </w:rPr>
        <w:t>Region_Distribution — a pie chart showing the share of ranked universities held by each world region</w:t>
      </w:r>
    </w:p>
    <w:p w14:paraId="4EB88940" w14:textId="77777777" w:rsidR="00E774C7" w:rsidRDefault="00000000">
      <w:pPr>
        <w:pStyle w:val="ListParagraph"/>
        <w:numPr>
          <w:ilvl w:val="0"/>
          <w:numId w:val="2"/>
        </w:numPr>
        <w:spacing w:after="80" w:line="268" w:lineRule="auto"/>
      </w:pPr>
      <w:r>
        <w:rPr>
          <w:color w:val="202020"/>
        </w:rPr>
        <w:t>Academic_Reputation — a treemap sized by Academic Reputation Score, surfacing institutions such as Harvard, Stanford, UC Berkeley, and MIT as the largest tiles</w:t>
      </w:r>
    </w:p>
    <w:p w14:paraId="18764D18" w14:textId="77777777" w:rsidR="00E774C7" w:rsidRDefault="00000000">
      <w:pPr>
        <w:pStyle w:val="ListParagraph"/>
        <w:numPr>
          <w:ilvl w:val="0"/>
          <w:numId w:val="2"/>
        </w:numPr>
        <w:spacing w:after="80" w:line="268" w:lineRule="auto"/>
      </w:pPr>
      <w:r>
        <w:rPr>
          <w:color w:val="202020"/>
        </w:rPr>
        <w:t>Map_UniversitiesByCountry — a proportional-symbol world map showing where ranked institutions are concentrated geographically</w:t>
      </w:r>
    </w:p>
    <w:p w14:paraId="0D785A54" w14:textId="77777777" w:rsidR="00E774C7" w:rsidRDefault="00000000">
      <w:pPr>
        <w:pStyle w:val="ListParagraph"/>
        <w:numPr>
          <w:ilvl w:val="0"/>
          <w:numId w:val="2"/>
        </w:numPr>
        <w:spacing w:after="80" w:line="268" w:lineRule="auto"/>
      </w:pPr>
      <w:r>
        <w:rPr>
          <w:color w:val="202020"/>
        </w:rPr>
        <w:t>Performance_Comparison — a scatter plot of Avg. Academic Reputation Score against Avg. Employer Reputation Score, colour-coded by region, used to spot institutions that are strong on one dimension but not the other</w:t>
      </w:r>
    </w:p>
    <w:p w14:paraId="5D2DFC5D" w14:textId="77777777" w:rsidR="00E774C7" w:rsidRDefault="00000000">
      <w:pPr>
        <w:pStyle w:val="ListParagraph"/>
        <w:numPr>
          <w:ilvl w:val="0"/>
          <w:numId w:val="2"/>
        </w:numPr>
        <w:spacing w:after="80" w:line="268" w:lineRule="auto"/>
      </w:pPr>
      <w:r>
        <w:rPr>
          <w:color w:val="202020"/>
        </w:rPr>
        <w:t xml:space="preserve">HeatMap_RegionMetrics — a </w:t>
      </w:r>
      <w:proofErr w:type="gramStart"/>
      <w:r>
        <w:rPr>
          <w:color w:val="202020"/>
        </w:rPr>
        <w:t>cross-tab</w:t>
      </w:r>
      <w:proofErr w:type="gramEnd"/>
      <w:r>
        <w:rPr>
          <w:color w:val="202020"/>
        </w:rPr>
        <w:t xml:space="preserve"> heat map of average Global Ranking Score by ARWU rank category (Top 10, Nov-50, 51-100, 101-500, Unranked) against region</w:t>
      </w:r>
    </w:p>
    <w:p w14:paraId="011D9C37" w14:textId="77777777" w:rsidR="00B00C08" w:rsidRDefault="00B00C08">
      <w:pPr>
        <w:pStyle w:val="Heading2"/>
        <w:spacing w:before="280" w:after="140"/>
        <w:rPr>
          <w:b/>
          <w:bCs/>
          <w:color w:val="1B7A72"/>
          <w:sz w:val="24"/>
          <w:szCs w:val="24"/>
        </w:rPr>
      </w:pPr>
    </w:p>
    <w:p w14:paraId="4837704C" w14:textId="2513BBF0" w:rsidR="00E774C7" w:rsidRDefault="00000000">
      <w:pPr>
        <w:pStyle w:val="Heading2"/>
        <w:spacing w:before="280" w:after="140"/>
      </w:pPr>
      <w:r>
        <w:rPr>
          <w:b/>
          <w:bCs/>
          <w:color w:val="1B7A72"/>
          <w:sz w:val="24"/>
          <w:szCs w:val="24"/>
        </w:rPr>
        <w:t>What This Dashboard Answers</w:t>
      </w:r>
    </w:p>
    <w:p w14:paraId="11DBFEC3" w14:textId="77777777" w:rsidR="00E774C7" w:rsidRDefault="00000000">
      <w:pPr>
        <w:spacing w:after="160" w:line="276" w:lineRule="auto"/>
        <w:jc w:val="both"/>
        <w:rPr>
          <w:color w:val="202020"/>
        </w:rPr>
      </w:pPr>
      <w:r>
        <w:rPr>
          <w:color w:val="202020"/>
        </w:rPr>
        <w:t>This dashboard answers the question "how is the global higher-education landscape shaped overall?" — which regions and countries host the most ranked institutions, which universities sit at the very top, and how reputation and geography relate to one another before drilling into research or student-level detail on the other three tabs.</w:t>
      </w:r>
    </w:p>
    <w:p w14:paraId="076F1527" w14:textId="7650B1B4" w:rsidR="00C6376A" w:rsidRPr="00C6376A" w:rsidRDefault="00C6376A" w:rsidP="00C6376A">
      <w:pPr>
        <w:pStyle w:val="ListParagraph"/>
        <w:numPr>
          <w:ilvl w:val="0"/>
          <w:numId w:val="5"/>
        </w:numPr>
        <w:spacing w:after="160" w:line="276" w:lineRule="auto"/>
        <w:jc w:val="both"/>
      </w:pPr>
      <w:r w:rsidRPr="00C6376A">
        <w:rPr>
          <w:b/>
          <w:bCs/>
          <w:color w:val="0F4761" w:themeColor="accent1" w:themeShade="BF"/>
        </w:rPr>
        <w:t>The dashboard is sequenced as a funnel, not a random grid.</w:t>
      </w:r>
      <w:r w:rsidRPr="00C6376A">
        <w:t xml:space="preserve"> Reading it in intended order — Top10_Rankings → Region_Distribution/Map → Academic_Reputation → Performance_Comparison/HeatMap — mirrors how a first-time visitor </w:t>
      </w:r>
      <w:proofErr w:type="gramStart"/>
      <w:r w:rsidRPr="00C6376A">
        <w:t>actually explores</w:t>
      </w:r>
      <w:proofErr w:type="gramEnd"/>
      <w:r w:rsidRPr="00C6376A">
        <w:t xml:space="preserve"> unfamiliar data: start with recognizable names, then place them geographically, then start asking harder comparative questions. If you jump straight to the heat map without reading the leaderboard first, the region/category cells feel abstract; read in order, they feel like a natural drill-down.</w:t>
      </w:r>
    </w:p>
    <w:p w14:paraId="4B8B2FA4" w14:textId="764BFE96" w:rsidR="00C6376A" w:rsidRPr="00C6376A" w:rsidRDefault="00C6376A" w:rsidP="00C6376A">
      <w:pPr>
        <w:pStyle w:val="ListParagraph"/>
        <w:numPr>
          <w:ilvl w:val="0"/>
          <w:numId w:val="5"/>
        </w:numPr>
        <w:spacing w:after="160" w:line="276" w:lineRule="auto"/>
        <w:jc w:val="both"/>
      </w:pPr>
      <w:r w:rsidRPr="00C6376A">
        <w:rPr>
          <w:b/>
          <w:bCs/>
          <w:color w:val="0F4761" w:themeColor="accent1" w:themeShade="BF"/>
        </w:rPr>
        <w:t>Shared colour-coding turns three separate charts into one argument.</w:t>
      </w:r>
      <w:r w:rsidRPr="00C6376A">
        <w:t xml:space="preserve"> Region_Distribution, the map, and Performance_Comparison all use the same region colours, so a large wedge in the pie chart should, if reputation and volume are correlated, also show up as a dense cluster of same-coloured points in the scatter plot. When it doesn't — when a region has many institutions but few of them land in the upper-right (high academic </w:t>
      </w:r>
      <w:r w:rsidRPr="00C6376A">
        <w:rPr>
          <w:i/>
          <w:iCs/>
        </w:rPr>
        <w:t>and</w:t>
      </w:r>
      <w:r w:rsidRPr="00C6376A">
        <w:t xml:space="preserve"> high employer reputation) — that's a meaningful </w:t>
      </w:r>
      <w:proofErr w:type="gramStart"/>
      <w:r w:rsidRPr="00C6376A">
        <w:t>disconnect:</w:t>
      </w:r>
      <w:proofErr w:type="gramEnd"/>
      <w:r w:rsidRPr="00C6376A">
        <w:t xml:space="preserve"> volume without proportional quality. </w:t>
      </w:r>
    </w:p>
    <w:p w14:paraId="35AF8271" w14:textId="77777777" w:rsidR="00C6376A" w:rsidRPr="00C6376A" w:rsidRDefault="00C6376A" w:rsidP="00C6376A">
      <w:pPr>
        <w:pStyle w:val="ListParagraph"/>
        <w:numPr>
          <w:ilvl w:val="0"/>
          <w:numId w:val="5"/>
        </w:numPr>
        <w:spacing w:after="160" w:line="276" w:lineRule="auto"/>
        <w:jc w:val="both"/>
      </w:pPr>
      <w:r w:rsidRPr="00C6376A">
        <w:rPr>
          <w:b/>
          <w:bCs/>
          <w:color w:val="0F4761" w:themeColor="accent1" w:themeShade="BF"/>
        </w:rPr>
        <w:t>Academic_Reputation as a treemap, not a bar chart, is itself an insight-shaping choice.</w:t>
      </w:r>
      <w:r w:rsidRPr="00C6376A">
        <w:t xml:space="preserve"> Because reputation scores compress near the top of the 0–100 scale for elite institutions, a bar chart would show a wall of near-identical bars. The treemap's area-based sizing exaggerates small differences, which is exactly what's needed to distinguish "very elite" from "extremely elite" — the distinction a bar chart would flatten out.</w:t>
      </w:r>
    </w:p>
    <w:p w14:paraId="432717BD" w14:textId="77777777" w:rsidR="00C6376A" w:rsidRDefault="00C6376A">
      <w:pPr>
        <w:spacing w:after="160" w:line="276" w:lineRule="auto"/>
        <w:jc w:val="both"/>
      </w:pPr>
    </w:p>
    <w:p w14:paraId="3FC92893" w14:textId="77777777" w:rsidR="00E774C7" w:rsidRDefault="00000000">
      <w:r>
        <w:br w:type="page"/>
      </w:r>
    </w:p>
    <w:p w14:paraId="23266FE9" w14:textId="77777777" w:rsidR="00E774C7" w:rsidRDefault="00000000">
      <w:pPr>
        <w:pStyle w:val="Heading1"/>
        <w:pBdr>
          <w:bottom w:val="single" w:sz="8" w:space="4" w:color="1F2A44"/>
        </w:pBdr>
        <w:spacing w:before="360" w:after="200"/>
      </w:pPr>
      <w:r>
        <w:rPr>
          <w:b/>
          <w:bCs/>
          <w:color w:val="1F2A44"/>
          <w:sz w:val="30"/>
          <w:szCs w:val="30"/>
        </w:rPr>
        <w:lastRenderedPageBreak/>
        <w:t>7. Dashboard — Research Analytics</w:t>
      </w:r>
    </w:p>
    <w:p w14:paraId="14A015B0" w14:textId="77777777" w:rsidR="00E774C7" w:rsidRDefault="00000000">
      <w:pPr>
        <w:spacing w:after="160" w:line="276" w:lineRule="auto"/>
        <w:jc w:val="both"/>
      </w:pPr>
      <w:r>
        <w:rPr>
          <w:color w:val="202020"/>
        </w:rPr>
        <w:t xml:space="preserve">The Research Analytics dashboard focuses on the research side of the six KPIs — the Research Impact Score and the calculated Research Productivity Index — and lets a viewer isolate research strength independently of overall ranking or student profile. It is filterable by </w:t>
      </w:r>
      <w:proofErr w:type="gramStart"/>
      <w:r>
        <w:rPr>
          <w:color w:val="202020"/>
        </w:rPr>
        <w:t>Region</w:t>
      </w:r>
      <w:proofErr w:type="gramEnd"/>
      <w:r>
        <w:rPr>
          <w:color w:val="202020"/>
        </w:rPr>
        <w:t xml:space="preserve"> and by an ARWU Publications Score range slider.</w:t>
      </w:r>
    </w:p>
    <w:p w14:paraId="5C6CC4D2" w14:textId="77777777" w:rsidR="00E774C7" w:rsidRDefault="00000000">
      <w:pPr>
        <w:pBdr>
          <w:top w:val="single" w:sz="4" w:space="0" w:color="D9D9D9"/>
          <w:left w:val="single" w:sz="4" w:space="0" w:color="D9D9D9"/>
          <w:bottom w:val="single" w:sz="4" w:space="0" w:color="D9D9D9"/>
          <w:right w:val="single" w:sz="4" w:space="0" w:color="D9D9D9"/>
        </w:pBdr>
        <w:spacing w:before="120" w:after="60"/>
        <w:jc w:val="center"/>
      </w:pPr>
      <w:r>
        <w:rPr>
          <w:noProof/>
        </w:rPr>
        <w:drawing>
          <wp:inline distT="0" distB="0" distL="0" distR="0" wp14:anchorId="7BA3FC91" wp14:editId="1D30F541">
            <wp:extent cx="6484620" cy="3458464"/>
            <wp:effectExtent l="0" t="0" r="0" b="8890"/>
            <wp:docPr id="125348899" name="Picture 125348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505398" cy="3469546"/>
                    </a:xfrm>
                    <a:prstGeom prst="rect">
                      <a:avLst/>
                    </a:prstGeom>
                  </pic:spPr>
                </pic:pic>
              </a:graphicData>
            </a:graphic>
          </wp:inline>
        </w:drawing>
      </w:r>
    </w:p>
    <w:p w14:paraId="53C79BDB" w14:textId="24F50F82" w:rsidR="00E774C7" w:rsidRDefault="00000000">
      <w:pPr>
        <w:spacing w:before="100" w:after="260"/>
        <w:jc w:val="center"/>
      </w:pPr>
      <w:r>
        <w:rPr>
          <w:i/>
          <w:iCs/>
          <w:color w:val="595959"/>
          <w:sz w:val="18"/>
          <w:szCs w:val="18"/>
        </w:rPr>
        <w:t xml:space="preserve">Figure </w:t>
      </w:r>
      <w:r w:rsidR="00C6376A">
        <w:rPr>
          <w:i/>
          <w:iCs/>
          <w:color w:val="595959"/>
          <w:sz w:val="18"/>
          <w:szCs w:val="18"/>
        </w:rPr>
        <w:t>2</w:t>
      </w:r>
      <w:r>
        <w:rPr>
          <w:i/>
          <w:iCs/>
          <w:color w:val="595959"/>
          <w:sz w:val="18"/>
          <w:szCs w:val="18"/>
        </w:rPr>
        <w:t xml:space="preserve"> — The Research Analytics dashboard.</w:t>
      </w:r>
    </w:p>
    <w:p w14:paraId="0710C015" w14:textId="77777777" w:rsidR="006B6DFD" w:rsidRDefault="006B6DFD">
      <w:pPr>
        <w:pStyle w:val="Heading2"/>
        <w:spacing w:before="280" w:after="140"/>
        <w:rPr>
          <w:b/>
          <w:bCs/>
          <w:color w:val="1B7A72"/>
          <w:sz w:val="24"/>
          <w:szCs w:val="24"/>
        </w:rPr>
      </w:pPr>
    </w:p>
    <w:p w14:paraId="2BB30C28" w14:textId="4952C307" w:rsidR="00E774C7" w:rsidRDefault="00000000">
      <w:pPr>
        <w:pStyle w:val="Heading2"/>
        <w:spacing w:before="280" w:after="140"/>
      </w:pPr>
      <w:r>
        <w:rPr>
          <w:b/>
          <w:bCs/>
          <w:color w:val="1B7A72"/>
          <w:sz w:val="24"/>
          <w:szCs w:val="24"/>
        </w:rPr>
        <w:t>KPI Summary Cards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900"/>
      </w:tblGrid>
      <w:tr w:rsidR="00E774C7" w14:paraId="3C040FA6" w14:textId="77777777">
        <w:tblPrEx>
          <w:tblCellMar>
            <w:top w:w="0" w:type="dxa"/>
            <w:bottom w:w="0" w:type="dxa"/>
          </w:tblCellMar>
        </w:tblPrEx>
        <w:tc>
          <w:tcPr>
            <w:tcW w:w="2500" w:type="dxa"/>
            <w:shd w:val="clear" w:color="auto" w:fill="F2F2F2"/>
            <w:tcMar>
              <w:top w:w="100" w:type="dxa"/>
              <w:left w:w="120" w:type="dxa"/>
              <w:bottom w:w="100" w:type="dxa"/>
              <w:right w:w="120" w:type="dxa"/>
            </w:tcMar>
            <w:vAlign w:val="center"/>
          </w:tcPr>
          <w:p w14:paraId="0EE62E14" w14:textId="77777777" w:rsidR="00E774C7" w:rsidRDefault="00000000">
            <w:r>
              <w:rPr>
                <w:b/>
                <w:bCs/>
                <w:color w:val="1F2A44"/>
                <w:sz w:val="19"/>
                <w:szCs w:val="19"/>
              </w:rPr>
              <w:t>KPI_Research Productivity</w:t>
            </w:r>
          </w:p>
        </w:tc>
        <w:tc>
          <w:tcPr>
            <w:tcW w:w="6900" w:type="dxa"/>
            <w:tcMar>
              <w:top w:w="100" w:type="dxa"/>
              <w:left w:w="120" w:type="dxa"/>
              <w:bottom w:w="100" w:type="dxa"/>
              <w:right w:w="120" w:type="dxa"/>
            </w:tcMar>
            <w:vAlign w:val="center"/>
          </w:tcPr>
          <w:p w14:paraId="2F827D0C" w14:textId="77777777" w:rsidR="00E774C7" w:rsidRDefault="00000000">
            <w:r>
              <w:rPr>
                <w:color w:val="202020"/>
                <w:sz w:val="19"/>
                <w:szCs w:val="19"/>
              </w:rPr>
              <w:t>20.09 — average Research Productivity Index (mean of the 3 ARWU sub-scores)</w:t>
            </w:r>
          </w:p>
        </w:tc>
      </w:tr>
      <w:tr w:rsidR="00E774C7" w14:paraId="2CF440D1" w14:textId="77777777">
        <w:tblPrEx>
          <w:tblCellMar>
            <w:top w:w="0" w:type="dxa"/>
            <w:bottom w:w="0" w:type="dxa"/>
          </w:tblCellMar>
        </w:tblPrEx>
        <w:tc>
          <w:tcPr>
            <w:tcW w:w="2500" w:type="dxa"/>
            <w:shd w:val="clear" w:color="auto" w:fill="F2F2F2"/>
            <w:tcMar>
              <w:top w:w="100" w:type="dxa"/>
              <w:left w:w="120" w:type="dxa"/>
              <w:bottom w:w="100" w:type="dxa"/>
              <w:right w:w="120" w:type="dxa"/>
            </w:tcMar>
            <w:vAlign w:val="center"/>
          </w:tcPr>
          <w:p w14:paraId="02D9286D" w14:textId="77777777" w:rsidR="00E774C7" w:rsidRDefault="00000000">
            <w:r>
              <w:rPr>
                <w:b/>
                <w:bCs/>
                <w:color w:val="1F2A44"/>
                <w:sz w:val="19"/>
                <w:szCs w:val="19"/>
              </w:rPr>
              <w:t>KPI_ResearchImpact</w:t>
            </w:r>
          </w:p>
        </w:tc>
        <w:tc>
          <w:tcPr>
            <w:tcW w:w="6900" w:type="dxa"/>
            <w:tcMar>
              <w:top w:w="100" w:type="dxa"/>
              <w:left w:w="120" w:type="dxa"/>
              <w:bottom w:w="100" w:type="dxa"/>
              <w:right w:w="120" w:type="dxa"/>
            </w:tcMar>
            <w:vAlign w:val="center"/>
          </w:tcPr>
          <w:p w14:paraId="5FF09E42" w14:textId="77777777" w:rsidR="00E774C7" w:rsidRDefault="00000000">
            <w:r>
              <w:rPr>
                <w:color w:val="202020"/>
                <w:sz w:val="19"/>
                <w:szCs w:val="19"/>
              </w:rPr>
              <w:t>30.43 — average Research Impact Score (QS Citations-per-Faculty)</w:t>
            </w:r>
          </w:p>
        </w:tc>
      </w:tr>
      <w:tr w:rsidR="00E774C7" w14:paraId="7EFE7195" w14:textId="77777777">
        <w:tblPrEx>
          <w:tblCellMar>
            <w:top w:w="0" w:type="dxa"/>
            <w:bottom w:w="0" w:type="dxa"/>
          </w:tblCellMar>
        </w:tblPrEx>
        <w:tc>
          <w:tcPr>
            <w:tcW w:w="2500" w:type="dxa"/>
            <w:shd w:val="clear" w:color="auto" w:fill="F2F2F2"/>
            <w:tcMar>
              <w:top w:w="100" w:type="dxa"/>
              <w:left w:w="120" w:type="dxa"/>
              <w:bottom w:w="100" w:type="dxa"/>
              <w:right w:w="120" w:type="dxa"/>
            </w:tcMar>
            <w:vAlign w:val="center"/>
          </w:tcPr>
          <w:p w14:paraId="31675F8D" w14:textId="77777777" w:rsidR="00E774C7" w:rsidRDefault="00000000">
            <w:r>
              <w:rPr>
                <w:b/>
                <w:bCs/>
                <w:color w:val="1F2A44"/>
                <w:sz w:val="19"/>
                <w:szCs w:val="19"/>
              </w:rPr>
              <w:t>KPI_TopResearchUni</w:t>
            </w:r>
          </w:p>
        </w:tc>
        <w:tc>
          <w:tcPr>
            <w:tcW w:w="6900" w:type="dxa"/>
            <w:tcMar>
              <w:top w:w="100" w:type="dxa"/>
              <w:left w:w="120" w:type="dxa"/>
              <w:bottom w:w="100" w:type="dxa"/>
              <w:right w:w="120" w:type="dxa"/>
            </w:tcMar>
            <w:vAlign w:val="center"/>
          </w:tcPr>
          <w:p w14:paraId="65C984F4" w14:textId="77777777" w:rsidR="00E774C7" w:rsidRDefault="00000000">
            <w:r>
              <w:rPr>
                <w:color w:val="202020"/>
                <w:sz w:val="19"/>
                <w:szCs w:val="19"/>
              </w:rPr>
              <w:t>Amirkabir University of Technology — the top institution by Research Impact Score</w:t>
            </w:r>
          </w:p>
        </w:tc>
      </w:tr>
      <w:tr w:rsidR="00E774C7" w14:paraId="775CEF94" w14:textId="77777777">
        <w:tblPrEx>
          <w:tblCellMar>
            <w:top w:w="0" w:type="dxa"/>
            <w:bottom w:w="0" w:type="dxa"/>
          </w:tblCellMar>
        </w:tblPrEx>
        <w:tc>
          <w:tcPr>
            <w:tcW w:w="2500" w:type="dxa"/>
            <w:shd w:val="clear" w:color="auto" w:fill="F2F2F2"/>
            <w:tcMar>
              <w:top w:w="100" w:type="dxa"/>
              <w:left w:w="120" w:type="dxa"/>
              <w:bottom w:w="100" w:type="dxa"/>
              <w:right w:w="120" w:type="dxa"/>
            </w:tcMar>
            <w:vAlign w:val="center"/>
          </w:tcPr>
          <w:p w14:paraId="02586562" w14:textId="77777777" w:rsidR="00E774C7" w:rsidRDefault="00000000">
            <w:r>
              <w:rPr>
                <w:b/>
                <w:bCs/>
                <w:color w:val="1F2A44"/>
                <w:sz w:val="19"/>
                <w:szCs w:val="19"/>
              </w:rPr>
              <w:t>KPI_AvgPublicationsScore</w:t>
            </w:r>
          </w:p>
        </w:tc>
        <w:tc>
          <w:tcPr>
            <w:tcW w:w="6900" w:type="dxa"/>
            <w:tcMar>
              <w:top w:w="100" w:type="dxa"/>
              <w:left w:w="120" w:type="dxa"/>
              <w:bottom w:w="100" w:type="dxa"/>
              <w:right w:w="120" w:type="dxa"/>
            </w:tcMar>
            <w:vAlign w:val="center"/>
          </w:tcPr>
          <w:p w14:paraId="143604A5" w14:textId="77777777" w:rsidR="00E774C7" w:rsidRDefault="00000000">
            <w:r>
              <w:rPr>
                <w:color w:val="202020"/>
                <w:sz w:val="19"/>
                <w:szCs w:val="19"/>
              </w:rPr>
              <w:t>36.36 — average ARWU Publications Score</w:t>
            </w:r>
          </w:p>
        </w:tc>
      </w:tr>
    </w:tbl>
    <w:p w14:paraId="75CF7CE1" w14:textId="77777777" w:rsidR="006B6DFD" w:rsidRDefault="006B6DFD">
      <w:pPr>
        <w:pStyle w:val="Heading2"/>
        <w:spacing w:before="280" w:after="140"/>
        <w:rPr>
          <w:b/>
          <w:bCs/>
          <w:color w:val="1B7A72"/>
          <w:sz w:val="24"/>
          <w:szCs w:val="24"/>
        </w:rPr>
      </w:pPr>
    </w:p>
    <w:p w14:paraId="435FF61A" w14:textId="28A5A59F" w:rsidR="00E774C7" w:rsidRDefault="00000000">
      <w:pPr>
        <w:pStyle w:val="Heading2"/>
        <w:spacing w:before="280" w:after="140"/>
      </w:pPr>
      <w:r>
        <w:rPr>
          <w:b/>
          <w:bCs/>
          <w:color w:val="1B7A72"/>
          <w:sz w:val="24"/>
          <w:szCs w:val="24"/>
        </w:rPr>
        <w:t>Visuals on This Dashboard</w:t>
      </w:r>
    </w:p>
    <w:p w14:paraId="53712EAB" w14:textId="77777777" w:rsidR="00E774C7" w:rsidRDefault="00000000">
      <w:pPr>
        <w:pStyle w:val="ListParagraph"/>
        <w:numPr>
          <w:ilvl w:val="0"/>
          <w:numId w:val="2"/>
        </w:numPr>
        <w:spacing w:after="80" w:line="268" w:lineRule="auto"/>
      </w:pPr>
      <w:r>
        <w:rPr>
          <w:color w:val="202020"/>
        </w:rPr>
        <w:t>Top10_ResearchImpact — a bar chart ranking the ten universities with the highest Research Impact Score, led by Amirkabir University of Technology and Harvard University</w:t>
      </w:r>
    </w:p>
    <w:p w14:paraId="38182D30" w14:textId="77777777" w:rsidR="00E774C7" w:rsidRDefault="00000000">
      <w:pPr>
        <w:pStyle w:val="ListParagraph"/>
        <w:numPr>
          <w:ilvl w:val="0"/>
          <w:numId w:val="2"/>
        </w:numPr>
        <w:spacing w:after="80" w:line="268" w:lineRule="auto"/>
      </w:pPr>
      <w:r>
        <w:rPr>
          <w:color w:val="202020"/>
        </w:rPr>
        <w:lastRenderedPageBreak/>
        <w:t>Publications_vs_CitedResearchers — a scatter plot of Avg. ARWU Publications Score against Avg. ARWU Highly Cited Researchers Score, showing whether high-volume research output also carries a high concentration of highly-cited faculty</w:t>
      </w:r>
    </w:p>
    <w:p w14:paraId="128A66D4" w14:textId="77777777" w:rsidR="00E774C7" w:rsidRDefault="00000000">
      <w:pPr>
        <w:pStyle w:val="ListParagraph"/>
        <w:numPr>
          <w:ilvl w:val="0"/>
          <w:numId w:val="2"/>
        </w:numPr>
        <w:spacing w:after="80" w:line="268" w:lineRule="auto"/>
      </w:pPr>
      <w:r>
        <w:rPr>
          <w:color w:val="202020"/>
        </w:rPr>
        <w:t>Research_By_Region — a pie chart of research output share by region</w:t>
      </w:r>
    </w:p>
    <w:p w14:paraId="62978511" w14:textId="77777777" w:rsidR="00E774C7" w:rsidRDefault="00000000">
      <w:pPr>
        <w:pStyle w:val="ListParagraph"/>
        <w:numPr>
          <w:ilvl w:val="0"/>
          <w:numId w:val="2"/>
        </w:numPr>
        <w:spacing w:after="80" w:line="268" w:lineRule="auto"/>
      </w:pPr>
      <w:r>
        <w:rPr>
          <w:color w:val="202020"/>
        </w:rPr>
        <w:t>BoxPlot_ImpactByRegion — a box-and-jitter plot comparing the spread and outliers of Research Impact Score within Africa, Americas, Asia, Europe, and Oceania</w:t>
      </w:r>
    </w:p>
    <w:p w14:paraId="69D8C3E6" w14:textId="77777777" w:rsidR="00E774C7" w:rsidRDefault="00000000">
      <w:pPr>
        <w:pStyle w:val="ListParagraph"/>
        <w:numPr>
          <w:ilvl w:val="0"/>
          <w:numId w:val="2"/>
        </w:numPr>
        <w:spacing w:after="80" w:line="268" w:lineRule="auto"/>
      </w:pPr>
      <w:r>
        <w:rPr>
          <w:color w:val="202020"/>
        </w:rPr>
        <w:t>PackedBubble_TopCited — a packed-bubble chart of the most highly-cited institutions, sized by citation impact and coloured by region (dominated by Americas institutions in this view)</w:t>
      </w:r>
    </w:p>
    <w:p w14:paraId="3BE04FE2" w14:textId="77777777" w:rsidR="00E774C7" w:rsidRDefault="00000000">
      <w:pPr>
        <w:pStyle w:val="ListParagraph"/>
        <w:numPr>
          <w:ilvl w:val="0"/>
          <w:numId w:val="2"/>
        </w:numPr>
        <w:spacing w:after="80" w:line="268" w:lineRule="auto"/>
      </w:pPr>
      <w:r>
        <w:rPr>
          <w:color w:val="202020"/>
        </w:rPr>
        <w:t>Top_Publications_Treemap — a treemap of the leading institutions by publication volume, including Harvard, Stanford, Columbia, and the University of Oxford</w:t>
      </w:r>
    </w:p>
    <w:p w14:paraId="1D0FA2FE" w14:textId="77777777" w:rsidR="006B6DFD" w:rsidRDefault="006B6DFD">
      <w:pPr>
        <w:pStyle w:val="Heading2"/>
        <w:spacing w:before="280" w:after="140"/>
        <w:rPr>
          <w:b/>
          <w:bCs/>
          <w:color w:val="1B7A72"/>
          <w:sz w:val="24"/>
          <w:szCs w:val="24"/>
        </w:rPr>
      </w:pPr>
    </w:p>
    <w:p w14:paraId="27655836" w14:textId="33F6C5D1" w:rsidR="00E774C7" w:rsidRDefault="00000000">
      <w:pPr>
        <w:pStyle w:val="Heading2"/>
        <w:spacing w:before="280" w:after="140"/>
      </w:pPr>
      <w:r>
        <w:rPr>
          <w:b/>
          <w:bCs/>
          <w:color w:val="1B7A72"/>
          <w:sz w:val="24"/>
          <w:szCs w:val="24"/>
        </w:rPr>
        <w:t>What This Dashboard Answers</w:t>
      </w:r>
    </w:p>
    <w:p w14:paraId="75F5D18D" w14:textId="77777777" w:rsidR="00E774C7" w:rsidRDefault="00000000">
      <w:pPr>
        <w:spacing w:after="160" w:line="276" w:lineRule="auto"/>
        <w:jc w:val="both"/>
        <w:rPr>
          <w:color w:val="202020"/>
        </w:rPr>
      </w:pPr>
      <w:r>
        <w:rPr>
          <w:color w:val="202020"/>
        </w:rPr>
        <w:t>This dashboard answers "which institutions and regions are driving global research output and impact?" — useful for researchers and administrators who want to benchmark research productivity independently of an institution's overall QS/ARWU rank or student profile.</w:t>
      </w:r>
    </w:p>
    <w:p w14:paraId="01C343DB" w14:textId="77777777" w:rsidR="00C6376A" w:rsidRPr="00C6376A" w:rsidRDefault="00C6376A" w:rsidP="00C6376A">
      <w:pPr>
        <w:pStyle w:val="ListParagraph"/>
        <w:numPr>
          <w:ilvl w:val="0"/>
          <w:numId w:val="6"/>
        </w:numPr>
        <w:spacing w:after="160" w:line="276" w:lineRule="auto"/>
        <w:jc w:val="both"/>
      </w:pPr>
      <w:r w:rsidRPr="00C6376A">
        <w:rPr>
          <w:b/>
          <w:bCs/>
          <w:color w:val="0F4761" w:themeColor="accent1" w:themeShade="BF"/>
        </w:rPr>
        <w:t>The dashboard's real question is "does volume equal influence?" — and it's built to let you falsify the naive answer.</w:t>
      </w:r>
      <w:r w:rsidRPr="00C6376A">
        <w:rPr>
          <w:color w:val="0F4761" w:themeColor="accent1" w:themeShade="BF"/>
        </w:rPr>
        <w:t xml:space="preserve"> </w:t>
      </w:r>
      <w:r w:rsidRPr="00C6376A">
        <w:t xml:space="preserve">It would be easy to assume more publications automatically </w:t>
      </w:r>
      <w:proofErr w:type="gramStart"/>
      <w:r w:rsidRPr="00C6376A">
        <w:t>means</w:t>
      </w:r>
      <w:proofErr w:type="gramEnd"/>
      <w:r w:rsidRPr="00C6376A">
        <w:t xml:space="preserve"> more research impact. Publications_vs_CitedResearchers is placed specifically to test that: any institution that's high on the x-axis (Publications Score) but low on the y-axis (Highly Cited Researchers) is a volume leader without proportional influence, and that pattern is common enough in the scatter that it's worth actively looking for rather than assuming away.</w:t>
      </w:r>
    </w:p>
    <w:p w14:paraId="3B0EEB3F" w14:textId="77777777" w:rsidR="00C6376A" w:rsidRPr="00C6376A" w:rsidRDefault="00C6376A" w:rsidP="00C6376A">
      <w:pPr>
        <w:pStyle w:val="ListParagraph"/>
        <w:numPr>
          <w:ilvl w:val="0"/>
          <w:numId w:val="6"/>
        </w:numPr>
        <w:spacing w:after="160" w:line="276" w:lineRule="auto"/>
        <w:jc w:val="both"/>
      </w:pPr>
      <w:r w:rsidRPr="00C6376A">
        <w:rPr>
          <w:b/>
          <w:bCs/>
          <w:color w:val="0F4761" w:themeColor="accent1" w:themeShade="BF"/>
        </w:rPr>
        <w:t>Top10_ResearchImpact deliberately does NOT match the overall ranking leaderboard, and that gap is the point.</w:t>
      </w:r>
      <w:r w:rsidRPr="00C6376A">
        <w:rPr>
          <w:color w:val="0F4761" w:themeColor="accent1" w:themeShade="BF"/>
        </w:rPr>
        <w:t xml:space="preserve"> </w:t>
      </w:r>
      <w:r w:rsidRPr="00C6376A">
        <w:t>Research Impact Score measures citations-per-faculty, a ratio, not a raw count — so a smaller, highly specialized institution can outrank a larger, more famous one here. Seeing Amirkabir University of Technology lead over more globally recognized names is a direct demonstration that "famous" and "research-influential-per-capita" are different rankings, which is exactly the distinction this dashboard exists to surface.</w:t>
      </w:r>
    </w:p>
    <w:p w14:paraId="46639CB1" w14:textId="77777777" w:rsidR="00C6376A" w:rsidRPr="00C6376A" w:rsidRDefault="00C6376A" w:rsidP="00C6376A">
      <w:pPr>
        <w:pStyle w:val="ListParagraph"/>
        <w:numPr>
          <w:ilvl w:val="0"/>
          <w:numId w:val="6"/>
        </w:numPr>
        <w:spacing w:after="160" w:line="276" w:lineRule="auto"/>
        <w:jc w:val="both"/>
      </w:pPr>
      <w:r w:rsidRPr="00C6376A">
        <w:rPr>
          <w:b/>
          <w:bCs/>
          <w:color w:val="0F4761" w:themeColor="accent1" w:themeShade="BF"/>
        </w:rPr>
        <w:t>BoxPlot_ImpactByRegion answers a fairness question the bar charts can't.</w:t>
      </w:r>
      <w:r w:rsidRPr="00C6376A">
        <w:rPr>
          <w:color w:val="0F4761" w:themeColor="accent1" w:themeShade="BF"/>
        </w:rPr>
        <w:t xml:space="preserve"> </w:t>
      </w:r>
      <w:r w:rsidRPr="00C6376A">
        <w:t>A regional average can hide huge internal variation. A region with a tall box and long whiskers (</w:t>
      </w:r>
      <w:proofErr w:type="gramStart"/>
      <w:r w:rsidRPr="00C6376A">
        <w:t>wide spread</w:t>
      </w:r>
      <w:proofErr w:type="gramEnd"/>
      <w:r w:rsidRPr="00C6376A">
        <w:t>) has a few research powerhouses dragging up an average that most of its institutions don't come close to — meaning a claim like "Region X is strong in research" is only true for a minority of its universities. A region with a short, tight box is telling a more honest, uniform story. Reading this chart before trusting any regional average elsewhere on the dashboard prevents an overgeneralization.</w:t>
      </w:r>
    </w:p>
    <w:p w14:paraId="4EEF9424" w14:textId="77777777" w:rsidR="00C6376A" w:rsidRDefault="00C6376A">
      <w:pPr>
        <w:spacing w:after="160" w:line="276" w:lineRule="auto"/>
        <w:jc w:val="both"/>
      </w:pPr>
    </w:p>
    <w:p w14:paraId="7275086E" w14:textId="77777777" w:rsidR="00E774C7" w:rsidRDefault="00000000">
      <w:r>
        <w:br w:type="page"/>
      </w:r>
    </w:p>
    <w:p w14:paraId="0ED147B2" w14:textId="77777777" w:rsidR="00E774C7" w:rsidRDefault="00000000">
      <w:pPr>
        <w:pStyle w:val="Heading1"/>
        <w:pBdr>
          <w:bottom w:val="single" w:sz="8" w:space="4" w:color="1F2A44"/>
        </w:pBdr>
        <w:spacing w:before="360" w:after="200"/>
      </w:pPr>
      <w:r>
        <w:rPr>
          <w:b/>
          <w:bCs/>
          <w:color w:val="1F2A44"/>
          <w:sz w:val="30"/>
          <w:szCs w:val="30"/>
        </w:rPr>
        <w:lastRenderedPageBreak/>
        <w:t>8. Dashboard — Student Analytics</w:t>
      </w:r>
    </w:p>
    <w:p w14:paraId="0DB82227" w14:textId="77777777" w:rsidR="00E774C7" w:rsidRDefault="00000000">
      <w:pPr>
        <w:spacing w:after="160" w:line="276" w:lineRule="auto"/>
        <w:jc w:val="both"/>
      </w:pPr>
      <w:r>
        <w:rPr>
          <w:color w:val="202020"/>
        </w:rPr>
        <w:t>The Student Analytics dashboard shifts the focus from research to the student and faculty experience — international diversity, faculty ratios, and how those relate to employment outcomes after graduation. It is filterable by Region and Country, with an International Faculty Score range slider.</w:t>
      </w:r>
    </w:p>
    <w:p w14:paraId="6C02E544" w14:textId="77777777" w:rsidR="00E774C7" w:rsidRDefault="00000000">
      <w:pPr>
        <w:pBdr>
          <w:top w:val="single" w:sz="4" w:space="0" w:color="D9D9D9"/>
          <w:left w:val="single" w:sz="4" w:space="0" w:color="D9D9D9"/>
          <w:bottom w:val="single" w:sz="4" w:space="0" w:color="D9D9D9"/>
          <w:right w:val="single" w:sz="4" w:space="0" w:color="D9D9D9"/>
        </w:pBdr>
        <w:spacing w:before="120" w:after="60"/>
        <w:jc w:val="center"/>
      </w:pPr>
      <w:r>
        <w:rPr>
          <w:noProof/>
        </w:rPr>
        <w:drawing>
          <wp:inline distT="0" distB="0" distL="0" distR="0" wp14:anchorId="43B1400A" wp14:editId="1C2F9D16">
            <wp:extent cx="6615545" cy="3550342"/>
            <wp:effectExtent l="0" t="0" r="0" b="0"/>
            <wp:docPr id="1243525887" name="Picture 1243525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638942" cy="3562899"/>
                    </a:xfrm>
                    <a:prstGeom prst="rect">
                      <a:avLst/>
                    </a:prstGeom>
                  </pic:spPr>
                </pic:pic>
              </a:graphicData>
            </a:graphic>
          </wp:inline>
        </w:drawing>
      </w:r>
    </w:p>
    <w:p w14:paraId="46225D43" w14:textId="424F4DE1" w:rsidR="00E774C7" w:rsidRDefault="00000000">
      <w:pPr>
        <w:spacing w:before="100" w:after="260"/>
        <w:jc w:val="center"/>
      </w:pPr>
      <w:r>
        <w:rPr>
          <w:i/>
          <w:iCs/>
          <w:color w:val="595959"/>
          <w:sz w:val="18"/>
          <w:szCs w:val="18"/>
        </w:rPr>
        <w:t xml:space="preserve">Figure </w:t>
      </w:r>
      <w:r w:rsidR="0034520B">
        <w:rPr>
          <w:i/>
          <w:iCs/>
          <w:color w:val="595959"/>
          <w:sz w:val="18"/>
          <w:szCs w:val="18"/>
        </w:rPr>
        <w:t>3</w:t>
      </w:r>
      <w:r>
        <w:rPr>
          <w:i/>
          <w:iCs/>
          <w:color w:val="595959"/>
          <w:sz w:val="18"/>
          <w:szCs w:val="18"/>
        </w:rPr>
        <w:t xml:space="preserve"> — The Student Analytics dashboard.</w:t>
      </w:r>
    </w:p>
    <w:p w14:paraId="412A2C60" w14:textId="77777777" w:rsidR="006B6DFD" w:rsidRDefault="006B6DFD">
      <w:pPr>
        <w:pStyle w:val="Heading2"/>
        <w:spacing w:before="280" w:after="140"/>
        <w:rPr>
          <w:b/>
          <w:bCs/>
          <w:color w:val="1B7A72"/>
          <w:sz w:val="24"/>
          <w:szCs w:val="24"/>
        </w:rPr>
      </w:pPr>
    </w:p>
    <w:p w14:paraId="2F609B0C" w14:textId="7BECA95C" w:rsidR="00E774C7" w:rsidRDefault="00000000">
      <w:pPr>
        <w:pStyle w:val="Heading2"/>
        <w:spacing w:before="280" w:after="140"/>
      </w:pPr>
      <w:r>
        <w:rPr>
          <w:b/>
          <w:bCs/>
          <w:color w:val="1B7A72"/>
          <w:sz w:val="24"/>
          <w:szCs w:val="24"/>
        </w:rPr>
        <w:t>KPI Summary Cards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900"/>
      </w:tblGrid>
      <w:tr w:rsidR="00E774C7" w14:paraId="1122BC6F" w14:textId="77777777">
        <w:tblPrEx>
          <w:tblCellMar>
            <w:top w:w="0" w:type="dxa"/>
            <w:bottom w:w="0" w:type="dxa"/>
          </w:tblCellMar>
        </w:tblPrEx>
        <w:tc>
          <w:tcPr>
            <w:tcW w:w="2500" w:type="dxa"/>
            <w:shd w:val="clear" w:color="auto" w:fill="F2F2F2"/>
            <w:tcMar>
              <w:top w:w="100" w:type="dxa"/>
              <w:left w:w="120" w:type="dxa"/>
              <w:bottom w:w="100" w:type="dxa"/>
              <w:right w:w="120" w:type="dxa"/>
            </w:tcMar>
            <w:vAlign w:val="center"/>
          </w:tcPr>
          <w:p w14:paraId="2828EEAE" w14:textId="77777777" w:rsidR="00E774C7" w:rsidRDefault="00000000">
            <w:r>
              <w:rPr>
                <w:b/>
                <w:bCs/>
                <w:color w:val="1F2A44"/>
                <w:sz w:val="19"/>
                <w:szCs w:val="19"/>
              </w:rPr>
              <w:t>KPI_AvgIntlStudentScore</w:t>
            </w:r>
          </w:p>
        </w:tc>
        <w:tc>
          <w:tcPr>
            <w:tcW w:w="6900" w:type="dxa"/>
            <w:tcMar>
              <w:top w:w="100" w:type="dxa"/>
              <w:left w:w="120" w:type="dxa"/>
              <w:bottom w:w="100" w:type="dxa"/>
              <w:right w:w="120" w:type="dxa"/>
            </w:tcMar>
            <w:vAlign w:val="center"/>
          </w:tcPr>
          <w:p w14:paraId="45596273" w14:textId="77777777" w:rsidR="00E774C7" w:rsidRDefault="00000000">
            <w:r>
              <w:rPr>
                <w:color w:val="202020"/>
                <w:sz w:val="19"/>
                <w:szCs w:val="19"/>
              </w:rPr>
              <w:t>32.96 — average International Student Percentage Score</w:t>
            </w:r>
          </w:p>
        </w:tc>
      </w:tr>
      <w:tr w:rsidR="00E774C7" w14:paraId="2041AC5D" w14:textId="77777777">
        <w:tblPrEx>
          <w:tblCellMar>
            <w:top w:w="0" w:type="dxa"/>
            <w:bottom w:w="0" w:type="dxa"/>
          </w:tblCellMar>
        </w:tblPrEx>
        <w:tc>
          <w:tcPr>
            <w:tcW w:w="2500" w:type="dxa"/>
            <w:shd w:val="clear" w:color="auto" w:fill="F2F2F2"/>
            <w:tcMar>
              <w:top w:w="100" w:type="dxa"/>
              <w:left w:w="120" w:type="dxa"/>
              <w:bottom w:w="100" w:type="dxa"/>
              <w:right w:w="120" w:type="dxa"/>
            </w:tcMar>
            <w:vAlign w:val="center"/>
          </w:tcPr>
          <w:p w14:paraId="7CA39BF4" w14:textId="77777777" w:rsidR="00E774C7" w:rsidRDefault="00000000">
            <w:r>
              <w:rPr>
                <w:b/>
                <w:bCs/>
                <w:color w:val="1F2A44"/>
                <w:sz w:val="19"/>
                <w:szCs w:val="19"/>
              </w:rPr>
              <w:t>KPI_AvgFacultyRatio</w:t>
            </w:r>
          </w:p>
        </w:tc>
        <w:tc>
          <w:tcPr>
            <w:tcW w:w="6900" w:type="dxa"/>
            <w:tcMar>
              <w:top w:w="100" w:type="dxa"/>
              <w:left w:w="120" w:type="dxa"/>
              <w:bottom w:w="100" w:type="dxa"/>
              <w:right w:w="120" w:type="dxa"/>
            </w:tcMar>
            <w:vAlign w:val="center"/>
          </w:tcPr>
          <w:p w14:paraId="2BA2D13C" w14:textId="77777777" w:rsidR="00E774C7" w:rsidRDefault="00000000">
            <w:r>
              <w:rPr>
                <w:color w:val="202020"/>
                <w:sz w:val="19"/>
                <w:szCs w:val="19"/>
              </w:rPr>
              <w:t>34.01 — average Faculty-to-Student Ratio Score</w:t>
            </w:r>
          </w:p>
        </w:tc>
      </w:tr>
      <w:tr w:rsidR="00E774C7" w14:paraId="62D8E916" w14:textId="77777777">
        <w:tblPrEx>
          <w:tblCellMar>
            <w:top w:w="0" w:type="dxa"/>
            <w:bottom w:w="0" w:type="dxa"/>
          </w:tblCellMar>
        </w:tblPrEx>
        <w:tc>
          <w:tcPr>
            <w:tcW w:w="2500" w:type="dxa"/>
            <w:shd w:val="clear" w:color="auto" w:fill="F2F2F2"/>
            <w:tcMar>
              <w:top w:w="100" w:type="dxa"/>
              <w:left w:w="120" w:type="dxa"/>
              <w:bottom w:w="100" w:type="dxa"/>
              <w:right w:w="120" w:type="dxa"/>
            </w:tcMar>
            <w:vAlign w:val="center"/>
          </w:tcPr>
          <w:p w14:paraId="127E1CCB" w14:textId="77777777" w:rsidR="00E774C7" w:rsidRDefault="00000000">
            <w:r>
              <w:rPr>
                <w:b/>
                <w:bCs/>
                <w:color w:val="1F2A44"/>
                <w:sz w:val="19"/>
                <w:szCs w:val="19"/>
              </w:rPr>
              <w:t>KPI_AvgDiversityScore</w:t>
            </w:r>
          </w:p>
        </w:tc>
        <w:tc>
          <w:tcPr>
            <w:tcW w:w="6900" w:type="dxa"/>
            <w:tcMar>
              <w:top w:w="100" w:type="dxa"/>
              <w:left w:w="120" w:type="dxa"/>
              <w:bottom w:w="100" w:type="dxa"/>
              <w:right w:w="120" w:type="dxa"/>
            </w:tcMar>
            <w:vAlign w:val="center"/>
          </w:tcPr>
          <w:p w14:paraId="0B234348" w14:textId="77777777" w:rsidR="00E774C7" w:rsidRDefault="00000000">
            <w:r>
              <w:rPr>
                <w:color w:val="202020"/>
                <w:sz w:val="19"/>
                <w:szCs w:val="19"/>
              </w:rPr>
              <w:t>34.18 — average International Student Diversity Score</w:t>
            </w:r>
          </w:p>
        </w:tc>
      </w:tr>
      <w:tr w:rsidR="00E774C7" w14:paraId="086F7A20" w14:textId="77777777">
        <w:tblPrEx>
          <w:tblCellMar>
            <w:top w:w="0" w:type="dxa"/>
            <w:bottom w:w="0" w:type="dxa"/>
          </w:tblCellMar>
        </w:tblPrEx>
        <w:tc>
          <w:tcPr>
            <w:tcW w:w="2500" w:type="dxa"/>
            <w:shd w:val="clear" w:color="auto" w:fill="F2F2F2"/>
            <w:tcMar>
              <w:top w:w="100" w:type="dxa"/>
              <w:left w:w="120" w:type="dxa"/>
              <w:bottom w:w="100" w:type="dxa"/>
              <w:right w:w="120" w:type="dxa"/>
            </w:tcMar>
            <w:vAlign w:val="center"/>
          </w:tcPr>
          <w:p w14:paraId="3672D938" w14:textId="77777777" w:rsidR="00E774C7" w:rsidRDefault="00000000">
            <w:r>
              <w:rPr>
                <w:b/>
                <w:bCs/>
                <w:color w:val="1F2A44"/>
                <w:sz w:val="19"/>
                <w:szCs w:val="19"/>
              </w:rPr>
              <w:t>KPI_TopIntlUni</w:t>
            </w:r>
          </w:p>
        </w:tc>
        <w:tc>
          <w:tcPr>
            <w:tcW w:w="6900" w:type="dxa"/>
            <w:tcMar>
              <w:top w:w="100" w:type="dxa"/>
              <w:left w:w="120" w:type="dxa"/>
              <w:bottom w:w="100" w:type="dxa"/>
              <w:right w:w="120" w:type="dxa"/>
            </w:tcMar>
            <w:vAlign w:val="center"/>
          </w:tcPr>
          <w:p w14:paraId="6F040638" w14:textId="77777777" w:rsidR="00E774C7" w:rsidRDefault="00000000">
            <w:r>
              <w:rPr>
                <w:color w:val="202020"/>
                <w:sz w:val="19"/>
                <w:szCs w:val="19"/>
              </w:rPr>
              <w:t>Ajman University — the top institution by International Student Score</w:t>
            </w:r>
          </w:p>
        </w:tc>
      </w:tr>
    </w:tbl>
    <w:p w14:paraId="2181BFA7" w14:textId="77777777" w:rsidR="006B6DFD" w:rsidRDefault="006B6DFD">
      <w:pPr>
        <w:pStyle w:val="Heading2"/>
        <w:spacing w:before="280" w:after="140"/>
        <w:rPr>
          <w:b/>
          <w:bCs/>
          <w:color w:val="1B7A72"/>
          <w:sz w:val="24"/>
          <w:szCs w:val="24"/>
        </w:rPr>
      </w:pPr>
    </w:p>
    <w:p w14:paraId="37ACC0C4" w14:textId="09F545C1" w:rsidR="00E774C7" w:rsidRDefault="00000000">
      <w:pPr>
        <w:pStyle w:val="Heading2"/>
        <w:spacing w:before="280" w:after="140"/>
      </w:pPr>
      <w:r>
        <w:rPr>
          <w:b/>
          <w:bCs/>
          <w:color w:val="1B7A72"/>
          <w:sz w:val="24"/>
          <w:szCs w:val="24"/>
        </w:rPr>
        <w:t>Visuals on This Dashboard</w:t>
      </w:r>
    </w:p>
    <w:p w14:paraId="796C004F" w14:textId="77777777" w:rsidR="00E774C7" w:rsidRDefault="00000000">
      <w:pPr>
        <w:pStyle w:val="ListParagraph"/>
        <w:numPr>
          <w:ilvl w:val="0"/>
          <w:numId w:val="2"/>
        </w:numPr>
        <w:spacing w:after="80" w:line="268" w:lineRule="auto"/>
      </w:pPr>
      <w:r>
        <w:rPr>
          <w:color w:val="202020"/>
        </w:rPr>
        <w:t>Top10_InternationalStudents — a bar chart of the ten universities with the highest International Student Score, led by Ajman University and Al Ain University</w:t>
      </w:r>
    </w:p>
    <w:p w14:paraId="3F54C020" w14:textId="77777777" w:rsidR="00E774C7" w:rsidRDefault="00000000">
      <w:pPr>
        <w:pStyle w:val="ListParagraph"/>
        <w:numPr>
          <w:ilvl w:val="0"/>
          <w:numId w:val="2"/>
        </w:numPr>
        <w:spacing w:after="80" w:line="268" w:lineRule="auto"/>
      </w:pPr>
      <w:r>
        <w:rPr>
          <w:color w:val="202020"/>
        </w:rPr>
        <w:t>Diversity_By_Region — a pie chart of average diversity score contribution by region</w:t>
      </w:r>
    </w:p>
    <w:p w14:paraId="315B54FB" w14:textId="77777777" w:rsidR="00E774C7" w:rsidRDefault="00000000">
      <w:pPr>
        <w:pStyle w:val="ListParagraph"/>
        <w:numPr>
          <w:ilvl w:val="0"/>
          <w:numId w:val="2"/>
        </w:numPr>
        <w:spacing w:after="80" w:line="268" w:lineRule="auto"/>
      </w:pPr>
      <w:r>
        <w:rPr>
          <w:color w:val="202020"/>
        </w:rPr>
        <w:lastRenderedPageBreak/>
        <w:t>FacultyRatio_vs_Outcomes — a scatter plot of Avg. Faculty Student Ratio Score against Avg. Employment Outcomes Score, used to test whether smaller class sizes correlate with stronger graduate outcomes</w:t>
      </w:r>
    </w:p>
    <w:p w14:paraId="17D7F45B" w14:textId="77777777" w:rsidR="00E774C7" w:rsidRDefault="00000000">
      <w:pPr>
        <w:pStyle w:val="ListParagraph"/>
        <w:numPr>
          <w:ilvl w:val="0"/>
          <w:numId w:val="2"/>
        </w:numPr>
        <w:spacing w:after="80" w:line="268" w:lineRule="auto"/>
      </w:pPr>
      <w:r>
        <w:rPr>
          <w:color w:val="202020"/>
        </w:rPr>
        <w:t>Student_Metrics_Heatmap — a heat map combining International Faculty, International Student, and diversity scores by region</w:t>
      </w:r>
    </w:p>
    <w:p w14:paraId="52C6125C" w14:textId="77777777" w:rsidR="00E774C7" w:rsidRDefault="00000000">
      <w:pPr>
        <w:pStyle w:val="ListParagraph"/>
        <w:numPr>
          <w:ilvl w:val="0"/>
          <w:numId w:val="2"/>
        </w:numPr>
        <w:spacing w:after="80" w:line="268" w:lineRule="auto"/>
      </w:pPr>
      <w:r>
        <w:rPr>
          <w:color w:val="202020"/>
        </w:rPr>
        <w:t>University_Bubbles — a packed-bubble chart of institutions coloured by region, dominated by Asia-region universities in the current filter</w:t>
      </w:r>
    </w:p>
    <w:p w14:paraId="13BB4252" w14:textId="77777777" w:rsidR="00E774C7" w:rsidRDefault="00000000">
      <w:pPr>
        <w:pStyle w:val="ListParagraph"/>
        <w:numPr>
          <w:ilvl w:val="0"/>
          <w:numId w:val="2"/>
        </w:numPr>
        <w:spacing w:after="80" w:line="268" w:lineRule="auto"/>
      </w:pPr>
      <w:r>
        <w:rPr>
          <w:color w:val="202020"/>
        </w:rPr>
        <w:t>Student_Distribution_Treemap — a treemap of institutions such as Adelaide University, the American University of Sharjah, and Delft University of Technology, sized by a student-distribution metric</w:t>
      </w:r>
    </w:p>
    <w:p w14:paraId="2CF9D275" w14:textId="77777777" w:rsidR="006B6DFD" w:rsidRDefault="006B6DFD">
      <w:pPr>
        <w:pStyle w:val="Heading2"/>
        <w:spacing w:before="280" w:after="140"/>
        <w:rPr>
          <w:b/>
          <w:bCs/>
          <w:color w:val="1B7A72"/>
          <w:sz w:val="24"/>
          <w:szCs w:val="24"/>
        </w:rPr>
      </w:pPr>
    </w:p>
    <w:p w14:paraId="11EBF0AD" w14:textId="09A22889" w:rsidR="00E774C7" w:rsidRDefault="00000000">
      <w:pPr>
        <w:pStyle w:val="Heading2"/>
        <w:spacing w:before="280" w:after="140"/>
      </w:pPr>
      <w:r>
        <w:rPr>
          <w:b/>
          <w:bCs/>
          <w:color w:val="1B7A72"/>
          <w:sz w:val="24"/>
          <w:szCs w:val="24"/>
        </w:rPr>
        <w:t>What This Dashboard Answers</w:t>
      </w:r>
    </w:p>
    <w:p w14:paraId="237CC8C2" w14:textId="77777777" w:rsidR="00E774C7" w:rsidRDefault="00000000">
      <w:pPr>
        <w:spacing w:after="160" w:line="276" w:lineRule="auto"/>
        <w:jc w:val="both"/>
      </w:pPr>
      <w:r>
        <w:rPr>
          <w:color w:val="202020"/>
        </w:rPr>
        <w:t>This dashboard answers "how diverse and well-resourced is the student experience at each institution, and does that relate to post-graduation outcomes?" — of particular interest to prospective students and administrators focused on internationalization strategy.</w:t>
      </w:r>
    </w:p>
    <w:p w14:paraId="063602C1" w14:textId="2476F00F" w:rsidR="000C4E31" w:rsidRDefault="000C4E31" w:rsidP="000C4E31">
      <w:pPr>
        <w:pStyle w:val="ListParagraph"/>
        <w:numPr>
          <w:ilvl w:val="0"/>
          <w:numId w:val="7"/>
        </w:numPr>
      </w:pPr>
      <w:r w:rsidRPr="000C4E31">
        <w:rPr>
          <w:b/>
          <w:bCs/>
          <w:color w:val="0F4761" w:themeColor="accent1" w:themeShade="BF"/>
        </w:rPr>
        <w:t>The absence of a trend in FacultyRatio_vs_Outcomes is the single most important finding on this dashboard, and it's easy to miss if you expect a clean story.</w:t>
      </w:r>
      <w:r w:rsidRPr="000C4E31">
        <w:rPr>
          <w:color w:val="0F4761" w:themeColor="accent1" w:themeShade="BF"/>
        </w:rPr>
        <w:t xml:space="preserve"> </w:t>
      </w:r>
      <w:r w:rsidRPr="000C4E31">
        <w:t>The intuitive hypothesis — smaller class sizes (higher faculty ratio score) lead to better employment outcomes — is not supported by a visible diagonal pattern in the scatter. Points are scattered broadly across the full range on both axes. That's not a failed chart; it's a real signal that employment outcomes are driven by something this dashboard doesn't capture — likely country-level labour market conditions, which live on the Country Comparison dashboard, not here. The design intentionally leaves that gap open rather than forcing a false correlation.</w:t>
      </w:r>
    </w:p>
    <w:p w14:paraId="184B43F2" w14:textId="77777777" w:rsidR="000C4E31" w:rsidRPr="000C4E31" w:rsidRDefault="000C4E31" w:rsidP="000C4E31"/>
    <w:p w14:paraId="61145C36" w14:textId="77777777" w:rsidR="000C4E31" w:rsidRDefault="000C4E31" w:rsidP="000C4E31">
      <w:pPr>
        <w:pStyle w:val="ListParagraph"/>
        <w:numPr>
          <w:ilvl w:val="0"/>
          <w:numId w:val="7"/>
        </w:numPr>
      </w:pPr>
      <w:r w:rsidRPr="000C4E31">
        <w:rPr>
          <w:b/>
          <w:bCs/>
          <w:color w:val="0F4761" w:themeColor="accent1" w:themeShade="BF"/>
        </w:rPr>
        <w:t>The leaderboard divergence from the other dashboards is deliberate and worth stating explicitly.</w:t>
      </w:r>
      <w:r w:rsidRPr="000C4E31">
        <w:rPr>
          <w:color w:val="0F4761" w:themeColor="accent1" w:themeShade="BF"/>
        </w:rPr>
        <w:t xml:space="preserve"> </w:t>
      </w:r>
      <w:r w:rsidRPr="000C4E31">
        <w:t>Top10_InternationalStudents is dominated by institutions in international-hub countries (UAE, similar markets) rather than the globally famous names that top University Overview or the research specialists that top Research Analytics. If a viewer expects overlap and doesn't see it, that's not an inconsistency in the data — it's proof that "high international student percentage" measures something genuinely different from "high overall rank" or "high research output." Each dashboard is intentionally answering a different question with a different leaderboard.</w:t>
      </w:r>
    </w:p>
    <w:p w14:paraId="61C7C7DF" w14:textId="77777777" w:rsidR="000C4E31" w:rsidRDefault="000C4E31" w:rsidP="000C4E31"/>
    <w:p w14:paraId="3E999A45" w14:textId="158BC965" w:rsidR="000C4E31" w:rsidRPr="000C4E31" w:rsidRDefault="000C4E31" w:rsidP="000C4E31">
      <w:pPr>
        <w:pStyle w:val="ListParagraph"/>
        <w:numPr>
          <w:ilvl w:val="0"/>
          <w:numId w:val="7"/>
        </w:numPr>
      </w:pPr>
      <w:r w:rsidRPr="000C4E31">
        <w:rPr>
          <w:b/>
          <w:bCs/>
          <w:color w:val="0F4761" w:themeColor="accent1" w:themeShade="BF"/>
        </w:rPr>
        <w:t>Student_Metrics_Heatmap rewards row-wise reading over cell-by-cell reading.</w:t>
      </w:r>
      <w:r w:rsidRPr="000C4E31">
        <w:rPr>
          <w:color w:val="0F4761" w:themeColor="accent1" w:themeShade="BF"/>
        </w:rPr>
        <w:t xml:space="preserve"> </w:t>
      </w:r>
      <w:r w:rsidRPr="000C4E31">
        <w:t>Because it lays International Faculty, International Student, and Diversity scores side by side per region, the more useful read is comparing across the row for one region (is this region internationalized across all three dimensions, or strong on just one?) rather than scanning down a single column across regions.</w:t>
      </w:r>
    </w:p>
    <w:p w14:paraId="052E7EE4" w14:textId="65226300" w:rsidR="00E774C7" w:rsidRDefault="00E774C7"/>
    <w:p w14:paraId="28C92803" w14:textId="77777777" w:rsidR="000C4E31" w:rsidRDefault="000C4E31">
      <w:pPr>
        <w:pStyle w:val="Heading1"/>
        <w:pBdr>
          <w:bottom w:val="single" w:sz="8" w:space="4" w:color="1F2A44"/>
        </w:pBdr>
        <w:spacing w:before="360" w:after="200"/>
        <w:rPr>
          <w:b/>
          <w:bCs/>
          <w:color w:val="1F2A44"/>
          <w:sz w:val="30"/>
          <w:szCs w:val="30"/>
        </w:rPr>
      </w:pPr>
    </w:p>
    <w:p w14:paraId="4624F566" w14:textId="77777777" w:rsidR="000C4E31" w:rsidRDefault="000C4E31">
      <w:pPr>
        <w:pStyle w:val="Heading1"/>
        <w:pBdr>
          <w:bottom w:val="single" w:sz="8" w:space="4" w:color="1F2A44"/>
        </w:pBdr>
        <w:spacing w:before="360" w:after="200"/>
        <w:rPr>
          <w:b/>
          <w:bCs/>
          <w:color w:val="1F2A44"/>
          <w:sz w:val="30"/>
          <w:szCs w:val="30"/>
        </w:rPr>
      </w:pPr>
    </w:p>
    <w:p w14:paraId="63C69E15" w14:textId="0E7DFF85" w:rsidR="00E774C7" w:rsidRDefault="00000000">
      <w:pPr>
        <w:pStyle w:val="Heading1"/>
        <w:pBdr>
          <w:bottom w:val="single" w:sz="8" w:space="4" w:color="1F2A44"/>
        </w:pBdr>
        <w:spacing w:before="360" w:after="200"/>
      </w:pPr>
      <w:r>
        <w:rPr>
          <w:b/>
          <w:bCs/>
          <w:color w:val="1F2A44"/>
          <w:sz w:val="30"/>
          <w:szCs w:val="30"/>
        </w:rPr>
        <w:lastRenderedPageBreak/>
        <w:t>9. Dashboard — Country Comparison</w:t>
      </w:r>
    </w:p>
    <w:p w14:paraId="55AB80BE" w14:textId="77777777" w:rsidR="00E774C7" w:rsidRDefault="00000000">
      <w:pPr>
        <w:spacing w:after="160" w:line="276" w:lineRule="auto"/>
        <w:jc w:val="both"/>
      </w:pPr>
      <w:r>
        <w:rPr>
          <w:color w:val="202020"/>
        </w:rPr>
        <w:t>The Country Comparison dashboard rolls every KPI up from the institution level to the country level, making it the primary benchmarking tool for policymakers and consultants who need to compare national higher-education systems rather than individual universities. It is filterable by Country and Region, with Research Impact Score and Measure Values range sliders.</w:t>
      </w:r>
    </w:p>
    <w:p w14:paraId="2F76CF31" w14:textId="77777777" w:rsidR="00E774C7" w:rsidRDefault="00000000">
      <w:pPr>
        <w:pBdr>
          <w:top w:val="single" w:sz="4" w:space="0" w:color="D9D9D9"/>
          <w:left w:val="single" w:sz="4" w:space="0" w:color="D9D9D9"/>
          <w:bottom w:val="single" w:sz="4" w:space="0" w:color="D9D9D9"/>
          <w:right w:val="single" w:sz="4" w:space="0" w:color="D9D9D9"/>
        </w:pBdr>
        <w:spacing w:before="120" w:after="60"/>
        <w:jc w:val="center"/>
      </w:pPr>
      <w:r>
        <w:rPr>
          <w:noProof/>
        </w:rPr>
        <w:drawing>
          <wp:inline distT="0" distB="0" distL="0" distR="0" wp14:anchorId="52D12A4F" wp14:editId="3524A00F">
            <wp:extent cx="6613585" cy="3505200"/>
            <wp:effectExtent l="0" t="0" r="0" b="0"/>
            <wp:docPr id="334459449" name="Picture 334459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635907" cy="3517031"/>
                    </a:xfrm>
                    <a:prstGeom prst="rect">
                      <a:avLst/>
                    </a:prstGeom>
                  </pic:spPr>
                </pic:pic>
              </a:graphicData>
            </a:graphic>
          </wp:inline>
        </w:drawing>
      </w:r>
    </w:p>
    <w:p w14:paraId="7BF7604A" w14:textId="4F992FA9" w:rsidR="00E774C7" w:rsidRDefault="00000000">
      <w:pPr>
        <w:spacing w:before="100" w:after="260"/>
        <w:jc w:val="center"/>
      </w:pPr>
      <w:r>
        <w:rPr>
          <w:i/>
          <w:iCs/>
          <w:color w:val="595959"/>
          <w:sz w:val="18"/>
          <w:szCs w:val="18"/>
        </w:rPr>
        <w:t xml:space="preserve">Figure </w:t>
      </w:r>
      <w:r w:rsidR="000C4E31">
        <w:rPr>
          <w:i/>
          <w:iCs/>
          <w:color w:val="595959"/>
          <w:sz w:val="18"/>
          <w:szCs w:val="18"/>
        </w:rPr>
        <w:t>4</w:t>
      </w:r>
      <w:r>
        <w:rPr>
          <w:i/>
          <w:iCs/>
          <w:color w:val="595959"/>
          <w:sz w:val="18"/>
          <w:szCs w:val="18"/>
        </w:rPr>
        <w:t xml:space="preserve"> — The Country Comparison dashboard.</w:t>
      </w:r>
    </w:p>
    <w:p w14:paraId="62803D84" w14:textId="77777777" w:rsidR="00776AF8" w:rsidRDefault="00776AF8">
      <w:pPr>
        <w:pStyle w:val="Heading2"/>
        <w:spacing w:before="280" w:after="140"/>
        <w:rPr>
          <w:b/>
          <w:bCs/>
          <w:color w:val="1B7A72"/>
          <w:sz w:val="24"/>
          <w:szCs w:val="24"/>
        </w:rPr>
      </w:pPr>
    </w:p>
    <w:p w14:paraId="5C3600C0" w14:textId="08C0AB82" w:rsidR="00E774C7" w:rsidRDefault="00000000">
      <w:pPr>
        <w:pStyle w:val="Heading2"/>
        <w:spacing w:before="280" w:after="140"/>
      </w:pPr>
      <w:r>
        <w:rPr>
          <w:b/>
          <w:bCs/>
          <w:color w:val="1B7A72"/>
          <w:sz w:val="24"/>
          <w:szCs w:val="24"/>
        </w:rPr>
        <w:t>KPI Summary Cards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900"/>
      </w:tblGrid>
      <w:tr w:rsidR="00E774C7" w14:paraId="24DAA930" w14:textId="77777777">
        <w:tblPrEx>
          <w:tblCellMar>
            <w:top w:w="0" w:type="dxa"/>
            <w:bottom w:w="0" w:type="dxa"/>
          </w:tblCellMar>
        </w:tblPrEx>
        <w:tc>
          <w:tcPr>
            <w:tcW w:w="2500" w:type="dxa"/>
            <w:shd w:val="clear" w:color="auto" w:fill="F2F2F2"/>
            <w:tcMar>
              <w:top w:w="100" w:type="dxa"/>
              <w:left w:w="120" w:type="dxa"/>
              <w:bottom w:w="100" w:type="dxa"/>
              <w:right w:w="120" w:type="dxa"/>
            </w:tcMar>
            <w:vAlign w:val="center"/>
          </w:tcPr>
          <w:p w14:paraId="1EC7A7FC" w14:textId="77777777" w:rsidR="00E774C7" w:rsidRDefault="00000000">
            <w:r>
              <w:rPr>
                <w:b/>
                <w:bCs/>
                <w:color w:val="1F2A44"/>
                <w:sz w:val="19"/>
                <w:szCs w:val="19"/>
              </w:rPr>
              <w:t>KPI_TopCountry</w:t>
            </w:r>
          </w:p>
        </w:tc>
        <w:tc>
          <w:tcPr>
            <w:tcW w:w="6900" w:type="dxa"/>
            <w:tcMar>
              <w:top w:w="100" w:type="dxa"/>
              <w:left w:w="120" w:type="dxa"/>
              <w:bottom w:w="100" w:type="dxa"/>
              <w:right w:w="120" w:type="dxa"/>
            </w:tcMar>
            <w:vAlign w:val="center"/>
          </w:tcPr>
          <w:p w14:paraId="6C84270A" w14:textId="77777777" w:rsidR="00E774C7" w:rsidRDefault="00000000">
            <w:r>
              <w:rPr>
                <w:color w:val="202020"/>
                <w:sz w:val="19"/>
                <w:szCs w:val="19"/>
              </w:rPr>
              <w:t>Argentina, Armenia, Australia, Austria… — countries tied at the top of the current ranking measure</w:t>
            </w:r>
          </w:p>
        </w:tc>
      </w:tr>
      <w:tr w:rsidR="00E774C7" w14:paraId="60034735" w14:textId="77777777">
        <w:tblPrEx>
          <w:tblCellMar>
            <w:top w:w="0" w:type="dxa"/>
            <w:bottom w:w="0" w:type="dxa"/>
          </w:tblCellMar>
        </w:tblPrEx>
        <w:tc>
          <w:tcPr>
            <w:tcW w:w="2500" w:type="dxa"/>
            <w:shd w:val="clear" w:color="auto" w:fill="F2F2F2"/>
            <w:tcMar>
              <w:top w:w="100" w:type="dxa"/>
              <w:left w:w="120" w:type="dxa"/>
              <w:bottom w:w="100" w:type="dxa"/>
              <w:right w:w="120" w:type="dxa"/>
            </w:tcMar>
            <w:vAlign w:val="center"/>
          </w:tcPr>
          <w:p w14:paraId="73996855" w14:textId="77777777" w:rsidR="00E774C7" w:rsidRDefault="00000000">
            <w:r>
              <w:rPr>
                <w:b/>
                <w:bCs/>
                <w:color w:val="1F2A44"/>
                <w:sz w:val="19"/>
                <w:szCs w:val="19"/>
              </w:rPr>
              <w:t>KPI_AvgCountryScore</w:t>
            </w:r>
          </w:p>
        </w:tc>
        <w:tc>
          <w:tcPr>
            <w:tcW w:w="6900" w:type="dxa"/>
            <w:tcMar>
              <w:top w:w="100" w:type="dxa"/>
              <w:left w:w="120" w:type="dxa"/>
              <w:bottom w:w="100" w:type="dxa"/>
              <w:right w:w="120" w:type="dxa"/>
            </w:tcMar>
            <w:vAlign w:val="center"/>
          </w:tcPr>
          <w:p w14:paraId="5F44732C" w14:textId="77777777" w:rsidR="00E774C7" w:rsidRDefault="00000000">
            <w:r>
              <w:rPr>
                <w:color w:val="202020"/>
                <w:sz w:val="19"/>
                <w:szCs w:val="19"/>
              </w:rPr>
              <w:t>46.76 — average Global Ranking Score across all 106 countries</w:t>
            </w:r>
          </w:p>
        </w:tc>
      </w:tr>
      <w:tr w:rsidR="00E774C7" w14:paraId="6DC756BA" w14:textId="77777777">
        <w:tblPrEx>
          <w:tblCellMar>
            <w:top w:w="0" w:type="dxa"/>
            <w:bottom w:w="0" w:type="dxa"/>
          </w:tblCellMar>
        </w:tblPrEx>
        <w:tc>
          <w:tcPr>
            <w:tcW w:w="2500" w:type="dxa"/>
            <w:shd w:val="clear" w:color="auto" w:fill="F2F2F2"/>
            <w:tcMar>
              <w:top w:w="100" w:type="dxa"/>
              <w:left w:w="120" w:type="dxa"/>
              <w:bottom w:w="100" w:type="dxa"/>
              <w:right w:w="120" w:type="dxa"/>
            </w:tcMar>
            <w:vAlign w:val="center"/>
          </w:tcPr>
          <w:p w14:paraId="78CFAF7E" w14:textId="77777777" w:rsidR="00E774C7" w:rsidRDefault="00000000">
            <w:r>
              <w:rPr>
                <w:b/>
                <w:bCs/>
                <w:color w:val="1F2A44"/>
                <w:sz w:val="19"/>
                <w:szCs w:val="19"/>
              </w:rPr>
              <w:t>KPI_TotalCountries</w:t>
            </w:r>
          </w:p>
        </w:tc>
        <w:tc>
          <w:tcPr>
            <w:tcW w:w="6900" w:type="dxa"/>
            <w:tcMar>
              <w:top w:w="100" w:type="dxa"/>
              <w:left w:w="120" w:type="dxa"/>
              <w:bottom w:w="100" w:type="dxa"/>
              <w:right w:w="120" w:type="dxa"/>
            </w:tcMar>
            <w:vAlign w:val="center"/>
          </w:tcPr>
          <w:p w14:paraId="528C5C8C" w14:textId="77777777" w:rsidR="00E774C7" w:rsidRDefault="00000000">
            <w:r>
              <w:rPr>
                <w:color w:val="202020"/>
                <w:sz w:val="19"/>
                <w:szCs w:val="19"/>
              </w:rPr>
              <w:t>106 — total number of countries represented in the dataset</w:t>
            </w:r>
          </w:p>
        </w:tc>
      </w:tr>
      <w:tr w:rsidR="00E774C7" w14:paraId="26CA72B6" w14:textId="77777777">
        <w:tblPrEx>
          <w:tblCellMar>
            <w:top w:w="0" w:type="dxa"/>
            <w:bottom w:w="0" w:type="dxa"/>
          </w:tblCellMar>
        </w:tblPrEx>
        <w:tc>
          <w:tcPr>
            <w:tcW w:w="2500" w:type="dxa"/>
            <w:shd w:val="clear" w:color="auto" w:fill="F2F2F2"/>
            <w:tcMar>
              <w:top w:w="100" w:type="dxa"/>
              <w:left w:w="120" w:type="dxa"/>
              <w:bottom w:w="100" w:type="dxa"/>
              <w:right w:w="120" w:type="dxa"/>
            </w:tcMar>
            <w:vAlign w:val="center"/>
          </w:tcPr>
          <w:p w14:paraId="1356FEAE" w14:textId="77777777" w:rsidR="00E774C7" w:rsidRDefault="00000000">
            <w:r>
              <w:rPr>
                <w:b/>
                <w:bCs/>
                <w:color w:val="1F2A44"/>
                <w:sz w:val="19"/>
                <w:szCs w:val="19"/>
              </w:rPr>
              <w:t>KPI_TopRegion</w:t>
            </w:r>
          </w:p>
        </w:tc>
        <w:tc>
          <w:tcPr>
            <w:tcW w:w="6900" w:type="dxa"/>
            <w:tcMar>
              <w:top w:w="100" w:type="dxa"/>
              <w:left w:w="120" w:type="dxa"/>
              <w:bottom w:w="100" w:type="dxa"/>
              <w:right w:w="120" w:type="dxa"/>
            </w:tcMar>
            <w:vAlign w:val="center"/>
          </w:tcPr>
          <w:p w14:paraId="0B751C46" w14:textId="77777777" w:rsidR="00E774C7" w:rsidRDefault="00000000">
            <w:r>
              <w:rPr>
                <w:color w:val="202020"/>
                <w:sz w:val="19"/>
                <w:szCs w:val="19"/>
              </w:rPr>
              <w:t>Africa, Americas, Asia, Europe… — regions shown in the current filter context</w:t>
            </w:r>
          </w:p>
        </w:tc>
      </w:tr>
    </w:tbl>
    <w:p w14:paraId="57D21AD1" w14:textId="77777777" w:rsidR="00776AF8" w:rsidRDefault="00776AF8">
      <w:pPr>
        <w:pStyle w:val="Heading2"/>
        <w:spacing w:before="280" w:after="140"/>
        <w:rPr>
          <w:b/>
          <w:bCs/>
          <w:color w:val="1B7A72"/>
          <w:sz w:val="24"/>
          <w:szCs w:val="24"/>
        </w:rPr>
      </w:pPr>
    </w:p>
    <w:p w14:paraId="3F9F7C52" w14:textId="6CC4DFFF" w:rsidR="00E774C7" w:rsidRDefault="00000000">
      <w:pPr>
        <w:pStyle w:val="Heading2"/>
        <w:spacing w:before="280" w:after="140"/>
      </w:pPr>
      <w:r>
        <w:rPr>
          <w:b/>
          <w:bCs/>
          <w:color w:val="1B7A72"/>
          <w:sz w:val="24"/>
          <w:szCs w:val="24"/>
        </w:rPr>
        <w:t>Visuals on This Dashboard</w:t>
      </w:r>
    </w:p>
    <w:p w14:paraId="64712536" w14:textId="77777777" w:rsidR="00E774C7" w:rsidRDefault="00000000">
      <w:pPr>
        <w:pStyle w:val="ListParagraph"/>
        <w:numPr>
          <w:ilvl w:val="0"/>
          <w:numId w:val="2"/>
        </w:numPr>
        <w:spacing w:after="80" w:line="268" w:lineRule="auto"/>
      </w:pPr>
      <w:r>
        <w:rPr>
          <w:color w:val="202020"/>
        </w:rPr>
        <w:lastRenderedPageBreak/>
        <w:t>Top10_Countries — a bar chart of the ten highest-scoring countries by Avg. Global Ranking Score, led by Switzerland, Sweden, and Singapore</w:t>
      </w:r>
    </w:p>
    <w:p w14:paraId="63AD7722" w14:textId="77777777" w:rsidR="00E774C7" w:rsidRDefault="00000000">
      <w:pPr>
        <w:pStyle w:val="ListParagraph"/>
        <w:numPr>
          <w:ilvl w:val="0"/>
          <w:numId w:val="2"/>
        </w:numPr>
        <w:spacing w:after="80" w:line="268" w:lineRule="auto"/>
      </w:pPr>
      <w:r>
        <w:rPr>
          <w:color w:val="202020"/>
        </w:rPr>
        <w:t>Region_Performance_Scatter — a scatter plot of Avg. Academic Reputation Score against Avg. Employment Outcomes Score, coloured by region, used to spot standout national systems</w:t>
      </w:r>
    </w:p>
    <w:p w14:paraId="10C0507C" w14:textId="77777777" w:rsidR="00E774C7" w:rsidRDefault="00000000">
      <w:pPr>
        <w:pStyle w:val="ListParagraph"/>
        <w:numPr>
          <w:ilvl w:val="0"/>
          <w:numId w:val="2"/>
        </w:numPr>
        <w:spacing w:after="80" w:line="268" w:lineRule="auto"/>
      </w:pPr>
      <w:r>
        <w:rPr>
          <w:color w:val="202020"/>
        </w:rPr>
        <w:t>Countries_By_Region — a pie chart of the number of ranked countries contributed by each region</w:t>
      </w:r>
    </w:p>
    <w:p w14:paraId="3CDC6590" w14:textId="77777777" w:rsidR="00E774C7" w:rsidRDefault="00000000">
      <w:pPr>
        <w:pStyle w:val="ListParagraph"/>
        <w:numPr>
          <w:ilvl w:val="0"/>
          <w:numId w:val="2"/>
        </w:numPr>
        <w:spacing w:after="80" w:line="268" w:lineRule="auto"/>
      </w:pPr>
      <w:r>
        <w:rPr>
          <w:color w:val="202020"/>
        </w:rPr>
        <w:t>Country_Metrics_Heatmap — a combined heat map / dot chart of Global Ranking, Employment Outcomes, and Research Impact scores per country</w:t>
      </w:r>
    </w:p>
    <w:p w14:paraId="6E3107D9" w14:textId="77777777" w:rsidR="00E774C7" w:rsidRDefault="00000000">
      <w:pPr>
        <w:pStyle w:val="ListParagraph"/>
        <w:numPr>
          <w:ilvl w:val="0"/>
          <w:numId w:val="2"/>
        </w:numPr>
        <w:spacing w:after="80" w:line="268" w:lineRule="auto"/>
      </w:pPr>
      <w:r>
        <w:rPr>
          <w:color w:val="202020"/>
        </w:rPr>
        <w:t>Region_Score_Spread — a box-and-jitter plot comparing the distribution of Global Ranking Score across Africa, Americas, Asia, Europe, and Oceania, showing Asia and Europe with the widest spread</w:t>
      </w:r>
    </w:p>
    <w:p w14:paraId="6A06F50F" w14:textId="77777777" w:rsidR="00E774C7" w:rsidRDefault="00000000">
      <w:pPr>
        <w:pStyle w:val="ListParagraph"/>
        <w:numPr>
          <w:ilvl w:val="0"/>
          <w:numId w:val="2"/>
        </w:numPr>
        <w:spacing w:after="80" w:line="268" w:lineRule="auto"/>
      </w:pPr>
      <w:r>
        <w:rPr>
          <w:color w:val="202020"/>
        </w:rPr>
        <w:t>Top_Countries_Treemap — a treemap of countries by ranked-university count, led by the United States, United Kingdom, and China</w:t>
      </w:r>
    </w:p>
    <w:p w14:paraId="032452D3" w14:textId="77777777" w:rsidR="00776AF8" w:rsidRDefault="00776AF8">
      <w:pPr>
        <w:pStyle w:val="Heading2"/>
        <w:spacing w:before="280" w:after="140"/>
        <w:rPr>
          <w:b/>
          <w:bCs/>
          <w:color w:val="1B7A72"/>
          <w:sz w:val="24"/>
          <w:szCs w:val="24"/>
        </w:rPr>
      </w:pPr>
    </w:p>
    <w:p w14:paraId="27F42993" w14:textId="325BB465" w:rsidR="00E774C7" w:rsidRDefault="00000000">
      <w:pPr>
        <w:pStyle w:val="Heading2"/>
        <w:spacing w:before="280" w:after="140"/>
      </w:pPr>
      <w:r>
        <w:rPr>
          <w:b/>
          <w:bCs/>
          <w:color w:val="1B7A72"/>
          <w:sz w:val="24"/>
          <w:szCs w:val="24"/>
        </w:rPr>
        <w:t>What This Dashboard Answers</w:t>
      </w:r>
    </w:p>
    <w:p w14:paraId="5CEBC02C" w14:textId="77777777" w:rsidR="00E774C7" w:rsidRDefault="00000000">
      <w:pPr>
        <w:spacing w:after="160" w:line="276" w:lineRule="auto"/>
        <w:jc w:val="both"/>
      </w:pPr>
      <w:r>
        <w:rPr>
          <w:color w:val="202020"/>
        </w:rPr>
        <w:t>This dashboard answers "which countries have the strongest higher-education systems overall, and how consistent is performance within each region?" — the primary view for national-level benchmarking and policy discussion.</w:t>
      </w:r>
    </w:p>
    <w:p w14:paraId="1CF40DCB" w14:textId="6F69525A" w:rsidR="00FB1F6C" w:rsidRDefault="00FB1F6C" w:rsidP="00FB1F6C">
      <w:pPr>
        <w:pStyle w:val="ListParagraph"/>
        <w:numPr>
          <w:ilvl w:val="0"/>
          <w:numId w:val="8"/>
        </w:numPr>
      </w:pPr>
      <w:r w:rsidRPr="00FB1F6C">
        <w:rPr>
          <w:b/>
          <w:bCs/>
          <w:color w:val="0F4761" w:themeColor="accent1" w:themeShade="BF"/>
        </w:rPr>
        <w:t>Two competing definitions of "strong country" are placed side by side on purpose, and they will disagree.</w:t>
      </w:r>
      <w:r w:rsidRPr="00FB1F6C">
        <w:rPr>
          <w:color w:val="0F4761" w:themeColor="accent1" w:themeShade="BF"/>
        </w:rPr>
        <w:t xml:space="preserve"> </w:t>
      </w:r>
      <w:r w:rsidRPr="00FB1F6C">
        <w:t xml:space="preserve">Top10_Countries averages scores per country, so a country with one elite university and a handful of weaker ones can outrank a country with fifteen solid-but-not-spectacular universities. Top_Countries_Treemap does the opposite — it rewards raw volume of ranked institutions, which is why the US, UK, and China lead there but might not top the average-based bar chart. Neither metric is "more correct"; the dashboard is built so a viewer </w:t>
      </w:r>
      <w:proofErr w:type="gramStart"/>
      <w:r w:rsidRPr="00FB1F6C">
        <w:t>has to</w:t>
      </w:r>
      <w:proofErr w:type="gramEnd"/>
      <w:r w:rsidRPr="00FB1F6C">
        <w:t xml:space="preserve"> notice the tension and decide which definition of national strength matters for their question, rather than being handed a single verdict.</w:t>
      </w:r>
    </w:p>
    <w:p w14:paraId="66FE992A" w14:textId="77777777" w:rsidR="00FB1F6C" w:rsidRPr="00FB1F6C" w:rsidRDefault="00FB1F6C" w:rsidP="00FB1F6C">
      <w:pPr>
        <w:pStyle w:val="ListParagraph"/>
        <w:ind w:left="720"/>
        <w:rPr>
          <w:color w:val="0F4761" w:themeColor="accent1" w:themeShade="BF"/>
        </w:rPr>
      </w:pPr>
    </w:p>
    <w:p w14:paraId="1982DE52" w14:textId="3E280B46" w:rsidR="00FB1F6C" w:rsidRDefault="00FB1F6C" w:rsidP="00FB1F6C">
      <w:pPr>
        <w:pStyle w:val="ListParagraph"/>
        <w:numPr>
          <w:ilvl w:val="0"/>
          <w:numId w:val="8"/>
        </w:numPr>
      </w:pPr>
      <w:r w:rsidRPr="00FB1F6C">
        <w:rPr>
          <w:b/>
          <w:bCs/>
          <w:color w:val="0F4761" w:themeColor="accent1" w:themeShade="BF"/>
        </w:rPr>
        <w:t>Region_Score_Spread is a guardrail against overgeneralizing from Top10_Countries.</w:t>
      </w:r>
      <w:r w:rsidRPr="00FB1F6C">
        <w:rPr>
          <w:color w:val="0F4761" w:themeColor="accent1" w:themeShade="BF"/>
        </w:rPr>
        <w:t xml:space="preserve"> </w:t>
      </w:r>
      <w:r w:rsidRPr="00FB1F6C">
        <w:t xml:space="preserve">If you see a country from Asia or Europe topping the leaderboard, Region_Score_Spread tells you whether that's representative — both regions show the widest spread in the dataset, meaning their best country is not a good proxy for the </w:t>
      </w:r>
      <w:proofErr w:type="gramStart"/>
      <w:r w:rsidRPr="00FB1F6C">
        <w:t>region as a whole</w:t>
      </w:r>
      <w:proofErr w:type="gramEnd"/>
      <w:r w:rsidRPr="00FB1F6C">
        <w:t>. A narrower-spread region, by contrast, makes a regional claim much safer to generalize. This chart exists specifically to be checked before making any "Region X is strong" statement based on the bar chart alone.</w:t>
      </w:r>
    </w:p>
    <w:p w14:paraId="454F97E4" w14:textId="77777777" w:rsidR="00FB1F6C" w:rsidRPr="00FB1F6C" w:rsidRDefault="00FB1F6C" w:rsidP="00FB1F6C">
      <w:pPr>
        <w:pStyle w:val="ListParagraph"/>
        <w:ind w:left="720"/>
      </w:pPr>
    </w:p>
    <w:p w14:paraId="7C2C38E7" w14:textId="77777777" w:rsidR="00FB1F6C" w:rsidRDefault="00FB1F6C" w:rsidP="00FB1F6C">
      <w:pPr>
        <w:pStyle w:val="ListParagraph"/>
        <w:numPr>
          <w:ilvl w:val="0"/>
          <w:numId w:val="8"/>
        </w:numPr>
      </w:pPr>
      <w:r w:rsidRPr="00FB1F6C">
        <w:rPr>
          <w:b/>
          <w:bCs/>
          <w:color w:val="0F4761" w:themeColor="accent1" w:themeShade="BF"/>
        </w:rPr>
        <w:t>Country_Metrics_Heatmap is the dashboard's cross-check mechanism.</w:t>
      </w:r>
      <w:r w:rsidRPr="00FB1F6C">
        <w:t xml:space="preserve"> Because it puts Global Ranking, Employment Outcomes, and Research Impact in the same row per country, it's the fastest way to spot a country that looks strong on one national metric but is quietly weak on another — a pattern a policymaker needs to know before citing a single flattering statistic in a briefing. Without this chart, spotting that kind of imbalance would require manually cross-referencing the other three dashboards.</w:t>
      </w:r>
    </w:p>
    <w:p w14:paraId="72F7F8CA" w14:textId="77777777" w:rsidR="00FB1F6C" w:rsidRPr="00FB1F6C" w:rsidRDefault="00FB1F6C" w:rsidP="00FB1F6C">
      <w:pPr>
        <w:pStyle w:val="ListParagraph"/>
        <w:ind w:left="720"/>
      </w:pPr>
    </w:p>
    <w:p w14:paraId="478FEC74" w14:textId="77777777" w:rsidR="00FB1F6C" w:rsidRPr="00FB1F6C" w:rsidRDefault="00FB1F6C" w:rsidP="00FB1F6C">
      <w:pPr>
        <w:pStyle w:val="ListParagraph"/>
        <w:numPr>
          <w:ilvl w:val="0"/>
          <w:numId w:val="8"/>
        </w:numPr>
      </w:pPr>
      <w:r w:rsidRPr="00FB1F6C">
        <w:rPr>
          <w:b/>
          <w:bCs/>
          <w:color w:val="0F4761" w:themeColor="accent1" w:themeShade="BF"/>
        </w:rPr>
        <w:t>Countries_By_Region is a small but important denominator check.</w:t>
      </w:r>
      <w:r w:rsidRPr="00FB1F6C">
        <w:rPr>
          <w:color w:val="0F4761" w:themeColor="accent1" w:themeShade="BF"/>
        </w:rPr>
        <w:t xml:space="preserve"> </w:t>
      </w:r>
      <w:r w:rsidRPr="00FB1F6C">
        <w:t>A region's strong showing in the other charts can be inflated simply by having more countries represented. Checking Countries_By_Region first tells a viewer whether a region's apparent dominance is genuine per-country strength or just a larger sample size — the same logic as checking sample size before trusting an average anywhere else.</w:t>
      </w:r>
    </w:p>
    <w:p w14:paraId="1649786A" w14:textId="296E89CA" w:rsidR="00E774C7" w:rsidRDefault="00000000">
      <w:pPr>
        <w:pStyle w:val="Heading1"/>
        <w:pBdr>
          <w:bottom w:val="single" w:sz="8" w:space="4" w:color="1F2A44"/>
        </w:pBdr>
        <w:spacing w:before="360" w:after="200"/>
      </w:pPr>
      <w:r>
        <w:rPr>
          <w:b/>
          <w:bCs/>
          <w:color w:val="1F2A44"/>
          <w:sz w:val="30"/>
          <w:szCs w:val="30"/>
        </w:rPr>
        <w:lastRenderedPageBreak/>
        <w:t>10. Evaluation Criteria &amp; Tech Stack</w:t>
      </w:r>
    </w:p>
    <w:p w14:paraId="1B9D2A64" w14:textId="77777777" w:rsidR="00E774C7" w:rsidRDefault="00000000">
      <w:pPr>
        <w:pStyle w:val="Heading2"/>
        <w:spacing w:before="280" w:after="140"/>
      </w:pPr>
      <w:r>
        <w:rPr>
          <w:b/>
          <w:bCs/>
          <w:color w:val="1B7A72"/>
          <w:sz w:val="24"/>
          <w:szCs w:val="24"/>
        </w:rPr>
        <w:t>10.1 Evaluation Criteria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2400"/>
        <w:gridCol w:w="2200"/>
      </w:tblGrid>
      <w:tr w:rsidR="00E774C7" w14:paraId="740675AE" w14:textId="77777777">
        <w:tblPrEx>
          <w:tblCellMar>
            <w:top w:w="0" w:type="dxa"/>
            <w:bottom w:w="0" w:type="dxa"/>
          </w:tblCellMar>
        </w:tblPrEx>
        <w:trPr>
          <w:tblHeader/>
        </w:trPr>
        <w:tc>
          <w:tcPr>
            <w:tcW w:w="1600" w:type="dxa"/>
            <w:shd w:val="clear" w:color="auto" w:fill="1F2A44"/>
            <w:tcMar>
              <w:top w:w="90" w:type="dxa"/>
              <w:left w:w="110" w:type="dxa"/>
              <w:bottom w:w="90" w:type="dxa"/>
              <w:right w:w="110" w:type="dxa"/>
            </w:tcMar>
            <w:vAlign w:val="center"/>
          </w:tcPr>
          <w:p w14:paraId="776FF46C" w14:textId="77777777" w:rsidR="00E774C7" w:rsidRDefault="00000000">
            <w:r>
              <w:rPr>
                <w:b/>
                <w:bCs/>
                <w:color w:val="FFFFFF"/>
                <w:sz w:val="18"/>
                <w:szCs w:val="18"/>
              </w:rPr>
              <w:t>Milestone</w:t>
            </w:r>
          </w:p>
        </w:tc>
        <w:tc>
          <w:tcPr>
            <w:tcW w:w="3200" w:type="dxa"/>
            <w:shd w:val="clear" w:color="auto" w:fill="1F2A44"/>
            <w:tcMar>
              <w:top w:w="90" w:type="dxa"/>
              <w:left w:w="110" w:type="dxa"/>
              <w:bottom w:w="90" w:type="dxa"/>
              <w:right w:w="110" w:type="dxa"/>
            </w:tcMar>
            <w:vAlign w:val="center"/>
          </w:tcPr>
          <w:p w14:paraId="1D00D8FC" w14:textId="77777777" w:rsidR="00E774C7" w:rsidRDefault="00000000">
            <w:r>
              <w:rPr>
                <w:b/>
                <w:bCs/>
                <w:color w:val="FFFFFF"/>
                <w:sz w:val="18"/>
                <w:szCs w:val="18"/>
              </w:rPr>
              <w:t>Focus Area</w:t>
            </w:r>
          </w:p>
        </w:tc>
        <w:tc>
          <w:tcPr>
            <w:tcW w:w="2400" w:type="dxa"/>
            <w:shd w:val="clear" w:color="auto" w:fill="1F2A44"/>
            <w:tcMar>
              <w:top w:w="90" w:type="dxa"/>
              <w:left w:w="110" w:type="dxa"/>
              <w:bottom w:w="90" w:type="dxa"/>
              <w:right w:w="110" w:type="dxa"/>
            </w:tcMar>
            <w:vAlign w:val="center"/>
          </w:tcPr>
          <w:p w14:paraId="4490F7DD" w14:textId="77777777" w:rsidR="00E774C7" w:rsidRDefault="00000000">
            <w:r>
              <w:rPr>
                <w:b/>
                <w:bCs/>
                <w:color w:val="FFFFFF"/>
                <w:sz w:val="18"/>
                <w:szCs w:val="18"/>
              </w:rPr>
              <w:t>Metric</w:t>
            </w:r>
          </w:p>
        </w:tc>
        <w:tc>
          <w:tcPr>
            <w:tcW w:w="2200" w:type="dxa"/>
            <w:shd w:val="clear" w:color="auto" w:fill="1F2A44"/>
            <w:tcMar>
              <w:top w:w="90" w:type="dxa"/>
              <w:left w:w="110" w:type="dxa"/>
              <w:bottom w:w="90" w:type="dxa"/>
              <w:right w:w="110" w:type="dxa"/>
            </w:tcMar>
            <w:vAlign w:val="center"/>
          </w:tcPr>
          <w:p w14:paraId="0881BB98" w14:textId="77777777" w:rsidR="00E774C7" w:rsidRDefault="00000000">
            <w:r>
              <w:rPr>
                <w:b/>
                <w:bCs/>
                <w:color w:val="FFFFFF"/>
                <w:sz w:val="18"/>
                <w:szCs w:val="18"/>
              </w:rPr>
              <w:t>Target</w:t>
            </w:r>
          </w:p>
        </w:tc>
      </w:tr>
      <w:tr w:rsidR="00E774C7" w14:paraId="4C6EB7F8" w14:textId="77777777">
        <w:tblPrEx>
          <w:tblCellMar>
            <w:top w:w="0" w:type="dxa"/>
            <w:bottom w:w="0" w:type="dxa"/>
          </w:tblCellMar>
        </w:tblPrEx>
        <w:tc>
          <w:tcPr>
            <w:tcW w:w="1600" w:type="dxa"/>
            <w:shd w:val="clear" w:color="auto" w:fill="FFFFFF"/>
            <w:tcMar>
              <w:top w:w="80" w:type="dxa"/>
              <w:left w:w="110" w:type="dxa"/>
              <w:bottom w:w="80" w:type="dxa"/>
              <w:right w:w="110" w:type="dxa"/>
            </w:tcMar>
            <w:vAlign w:val="center"/>
          </w:tcPr>
          <w:p w14:paraId="36DD8EA5" w14:textId="77777777" w:rsidR="00E774C7" w:rsidRDefault="00000000">
            <w:r>
              <w:rPr>
                <w:color w:val="202020"/>
                <w:sz w:val="18"/>
                <w:szCs w:val="18"/>
              </w:rPr>
              <w:t>1</w:t>
            </w:r>
          </w:p>
        </w:tc>
        <w:tc>
          <w:tcPr>
            <w:tcW w:w="3200" w:type="dxa"/>
            <w:shd w:val="clear" w:color="auto" w:fill="FFFFFF"/>
            <w:tcMar>
              <w:top w:w="80" w:type="dxa"/>
              <w:left w:w="110" w:type="dxa"/>
              <w:bottom w:w="80" w:type="dxa"/>
              <w:right w:w="110" w:type="dxa"/>
            </w:tcMar>
            <w:vAlign w:val="center"/>
          </w:tcPr>
          <w:p w14:paraId="6CB62249" w14:textId="77777777" w:rsidR="00E774C7" w:rsidRDefault="00000000">
            <w:r>
              <w:rPr>
                <w:color w:val="202020"/>
                <w:sz w:val="18"/>
                <w:szCs w:val="18"/>
              </w:rPr>
              <w:t>Data Collection &amp; Cleaning</w:t>
            </w:r>
          </w:p>
        </w:tc>
        <w:tc>
          <w:tcPr>
            <w:tcW w:w="2400" w:type="dxa"/>
            <w:shd w:val="clear" w:color="auto" w:fill="FFFFFF"/>
            <w:tcMar>
              <w:top w:w="80" w:type="dxa"/>
              <w:left w:w="110" w:type="dxa"/>
              <w:bottom w:w="80" w:type="dxa"/>
              <w:right w:w="110" w:type="dxa"/>
            </w:tcMar>
            <w:vAlign w:val="center"/>
          </w:tcPr>
          <w:p w14:paraId="224E3C43" w14:textId="77777777" w:rsidR="00E774C7" w:rsidRDefault="00000000">
            <w:r>
              <w:rPr>
                <w:color w:val="202020"/>
                <w:sz w:val="18"/>
                <w:szCs w:val="18"/>
              </w:rPr>
              <w:t>Dataset Completeness</w:t>
            </w:r>
          </w:p>
        </w:tc>
        <w:tc>
          <w:tcPr>
            <w:tcW w:w="2200" w:type="dxa"/>
            <w:shd w:val="clear" w:color="auto" w:fill="FFFFFF"/>
            <w:tcMar>
              <w:top w:w="80" w:type="dxa"/>
              <w:left w:w="110" w:type="dxa"/>
              <w:bottom w:w="80" w:type="dxa"/>
              <w:right w:w="110" w:type="dxa"/>
            </w:tcMar>
            <w:vAlign w:val="center"/>
          </w:tcPr>
          <w:p w14:paraId="2E6AA5FD" w14:textId="77777777" w:rsidR="00E774C7" w:rsidRDefault="00000000">
            <w:r>
              <w:rPr>
                <w:color w:val="202020"/>
                <w:sz w:val="18"/>
                <w:szCs w:val="18"/>
              </w:rPr>
              <w:t>&gt; 95% complete</w:t>
            </w:r>
          </w:p>
        </w:tc>
      </w:tr>
      <w:tr w:rsidR="00E774C7" w14:paraId="304387BC" w14:textId="77777777">
        <w:tblPrEx>
          <w:tblCellMar>
            <w:top w:w="0" w:type="dxa"/>
            <w:bottom w:w="0" w:type="dxa"/>
          </w:tblCellMar>
        </w:tblPrEx>
        <w:tc>
          <w:tcPr>
            <w:tcW w:w="1600" w:type="dxa"/>
            <w:shd w:val="clear" w:color="auto" w:fill="F2F2F2"/>
            <w:tcMar>
              <w:top w:w="80" w:type="dxa"/>
              <w:left w:w="110" w:type="dxa"/>
              <w:bottom w:w="80" w:type="dxa"/>
              <w:right w:w="110" w:type="dxa"/>
            </w:tcMar>
            <w:vAlign w:val="center"/>
          </w:tcPr>
          <w:p w14:paraId="4E9495DC" w14:textId="77777777" w:rsidR="00E774C7" w:rsidRDefault="00000000">
            <w:r>
              <w:rPr>
                <w:color w:val="202020"/>
                <w:sz w:val="18"/>
                <w:szCs w:val="18"/>
              </w:rPr>
              <w:t>2</w:t>
            </w:r>
          </w:p>
        </w:tc>
        <w:tc>
          <w:tcPr>
            <w:tcW w:w="3200" w:type="dxa"/>
            <w:shd w:val="clear" w:color="auto" w:fill="F2F2F2"/>
            <w:tcMar>
              <w:top w:w="80" w:type="dxa"/>
              <w:left w:w="110" w:type="dxa"/>
              <w:bottom w:w="80" w:type="dxa"/>
              <w:right w:w="110" w:type="dxa"/>
            </w:tcMar>
            <w:vAlign w:val="center"/>
          </w:tcPr>
          <w:p w14:paraId="354600EC" w14:textId="77777777" w:rsidR="00E774C7" w:rsidRDefault="00000000">
            <w:r>
              <w:rPr>
                <w:color w:val="202020"/>
                <w:sz w:val="18"/>
                <w:szCs w:val="18"/>
              </w:rPr>
              <w:t>KPI Engineering</w:t>
            </w:r>
          </w:p>
        </w:tc>
        <w:tc>
          <w:tcPr>
            <w:tcW w:w="2400" w:type="dxa"/>
            <w:shd w:val="clear" w:color="auto" w:fill="F2F2F2"/>
            <w:tcMar>
              <w:top w:w="80" w:type="dxa"/>
              <w:left w:w="110" w:type="dxa"/>
              <w:bottom w:w="80" w:type="dxa"/>
              <w:right w:w="110" w:type="dxa"/>
            </w:tcMar>
            <w:vAlign w:val="center"/>
          </w:tcPr>
          <w:p w14:paraId="599E3C11" w14:textId="77777777" w:rsidR="00E774C7" w:rsidRDefault="00000000">
            <w:r>
              <w:rPr>
                <w:color w:val="202020"/>
                <w:sz w:val="18"/>
                <w:szCs w:val="18"/>
              </w:rPr>
              <w:t>KPI Accuracy</w:t>
            </w:r>
          </w:p>
        </w:tc>
        <w:tc>
          <w:tcPr>
            <w:tcW w:w="2200" w:type="dxa"/>
            <w:shd w:val="clear" w:color="auto" w:fill="F2F2F2"/>
            <w:tcMar>
              <w:top w:w="80" w:type="dxa"/>
              <w:left w:w="110" w:type="dxa"/>
              <w:bottom w:w="80" w:type="dxa"/>
              <w:right w:w="110" w:type="dxa"/>
            </w:tcMar>
            <w:vAlign w:val="center"/>
          </w:tcPr>
          <w:p w14:paraId="26734C51" w14:textId="77777777" w:rsidR="00E774C7" w:rsidRDefault="00000000">
            <w:r>
              <w:rPr>
                <w:color w:val="202020"/>
                <w:sz w:val="18"/>
                <w:szCs w:val="18"/>
              </w:rPr>
              <w:t>6+ KPIs generated</w:t>
            </w:r>
          </w:p>
        </w:tc>
      </w:tr>
      <w:tr w:rsidR="00E774C7" w14:paraId="733DA0D9" w14:textId="77777777">
        <w:tblPrEx>
          <w:tblCellMar>
            <w:top w:w="0" w:type="dxa"/>
            <w:bottom w:w="0" w:type="dxa"/>
          </w:tblCellMar>
        </w:tblPrEx>
        <w:tc>
          <w:tcPr>
            <w:tcW w:w="1600" w:type="dxa"/>
            <w:shd w:val="clear" w:color="auto" w:fill="FFFFFF"/>
            <w:tcMar>
              <w:top w:w="80" w:type="dxa"/>
              <w:left w:w="110" w:type="dxa"/>
              <w:bottom w:w="80" w:type="dxa"/>
              <w:right w:w="110" w:type="dxa"/>
            </w:tcMar>
            <w:vAlign w:val="center"/>
          </w:tcPr>
          <w:p w14:paraId="29BAF5A4" w14:textId="77777777" w:rsidR="00E774C7" w:rsidRDefault="00000000">
            <w:r>
              <w:rPr>
                <w:color w:val="202020"/>
                <w:sz w:val="18"/>
                <w:szCs w:val="18"/>
              </w:rPr>
              <w:t>3</w:t>
            </w:r>
          </w:p>
        </w:tc>
        <w:tc>
          <w:tcPr>
            <w:tcW w:w="3200" w:type="dxa"/>
            <w:shd w:val="clear" w:color="auto" w:fill="FFFFFF"/>
            <w:tcMar>
              <w:top w:w="80" w:type="dxa"/>
              <w:left w:w="110" w:type="dxa"/>
              <w:bottom w:w="80" w:type="dxa"/>
              <w:right w:w="110" w:type="dxa"/>
            </w:tcMar>
            <w:vAlign w:val="center"/>
          </w:tcPr>
          <w:p w14:paraId="046E4CDA" w14:textId="77777777" w:rsidR="00E774C7" w:rsidRDefault="00000000">
            <w:r>
              <w:rPr>
                <w:color w:val="202020"/>
                <w:sz w:val="18"/>
                <w:szCs w:val="18"/>
              </w:rPr>
              <w:t>Dashboard Development</w:t>
            </w:r>
          </w:p>
        </w:tc>
        <w:tc>
          <w:tcPr>
            <w:tcW w:w="2400" w:type="dxa"/>
            <w:shd w:val="clear" w:color="auto" w:fill="FFFFFF"/>
            <w:tcMar>
              <w:top w:w="80" w:type="dxa"/>
              <w:left w:w="110" w:type="dxa"/>
              <w:bottom w:w="80" w:type="dxa"/>
              <w:right w:w="110" w:type="dxa"/>
            </w:tcMar>
            <w:vAlign w:val="center"/>
          </w:tcPr>
          <w:p w14:paraId="16870A7C" w14:textId="77777777" w:rsidR="00E774C7" w:rsidRDefault="00000000">
            <w:r>
              <w:rPr>
                <w:color w:val="202020"/>
                <w:sz w:val="18"/>
                <w:szCs w:val="18"/>
              </w:rPr>
              <w:t>Dashboard Functionality</w:t>
            </w:r>
          </w:p>
        </w:tc>
        <w:tc>
          <w:tcPr>
            <w:tcW w:w="2200" w:type="dxa"/>
            <w:shd w:val="clear" w:color="auto" w:fill="FFFFFF"/>
            <w:tcMar>
              <w:top w:w="80" w:type="dxa"/>
              <w:left w:w="110" w:type="dxa"/>
              <w:bottom w:w="80" w:type="dxa"/>
              <w:right w:w="110" w:type="dxa"/>
            </w:tcMar>
            <w:vAlign w:val="center"/>
          </w:tcPr>
          <w:p w14:paraId="55A9EEDE" w14:textId="77777777" w:rsidR="00E774C7" w:rsidRDefault="00000000">
            <w:r>
              <w:rPr>
                <w:color w:val="202020"/>
                <w:sz w:val="18"/>
                <w:szCs w:val="18"/>
              </w:rPr>
              <w:t>4 dashboards integrated</w:t>
            </w:r>
          </w:p>
        </w:tc>
      </w:tr>
      <w:tr w:rsidR="00E774C7" w14:paraId="1D95A87F" w14:textId="77777777">
        <w:tblPrEx>
          <w:tblCellMar>
            <w:top w:w="0" w:type="dxa"/>
            <w:bottom w:w="0" w:type="dxa"/>
          </w:tblCellMar>
        </w:tblPrEx>
        <w:tc>
          <w:tcPr>
            <w:tcW w:w="1600" w:type="dxa"/>
            <w:shd w:val="clear" w:color="auto" w:fill="F2F2F2"/>
            <w:tcMar>
              <w:top w:w="80" w:type="dxa"/>
              <w:left w:w="110" w:type="dxa"/>
              <w:bottom w:w="80" w:type="dxa"/>
              <w:right w:w="110" w:type="dxa"/>
            </w:tcMar>
            <w:vAlign w:val="center"/>
          </w:tcPr>
          <w:p w14:paraId="1E509BBF" w14:textId="77777777" w:rsidR="00E774C7" w:rsidRDefault="00000000">
            <w:r>
              <w:rPr>
                <w:color w:val="202020"/>
                <w:sz w:val="18"/>
                <w:szCs w:val="18"/>
              </w:rPr>
              <w:t>4</w:t>
            </w:r>
          </w:p>
        </w:tc>
        <w:tc>
          <w:tcPr>
            <w:tcW w:w="3200" w:type="dxa"/>
            <w:shd w:val="clear" w:color="auto" w:fill="F2F2F2"/>
            <w:tcMar>
              <w:top w:w="80" w:type="dxa"/>
              <w:left w:w="110" w:type="dxa"/>
              <w:bottom w:w="80" w:type="dxa"/>
              <w:right w:w="110" w:type="dxa"/>
            </w:tcMar>
            <w:vAlign w:val="center"/>
          </w:tcPr>
          <w:p w14:paraId="1573AC0E" w14:textId="77777777" w:rsidR="00E774C7" w:rsidRDefault="00000000">
            <w:r>
              <w:rPr>
                <w:color w:val="202020"/>
                <w:sz w:val="18"/>
                <w:szCs w:val="18"/>
              </w:rPr>
              <w:t>Documentation &amp; Delivery</w:t>
            </w:r>
          </w:p>
        </w:tc>
        <w:tc>
          <w:tcPr>
            <w:tcW w:w="2400" w:type="dxa"/>
            <w:shd w:val="clear" w:color="auto" w:fill="F2F2F2"/>
            <w:tcMar>
              <w:top w:w="80" w:type="dxa"/>
              <w:left w:w="110" w:type="dxa"/>
              <w:bottom w:w="80" w:type="dxa"/>
              <w:right w:w="110" w:type="dxa"/>
            </w:tcMar>
            <w:vAlign w:val="center"/>
          </w:tcPr>
          <w:p w14:paraId="119C5B5F" w14:textId="77777777" w:rsidR="00E774C7" w:rsidRDefault="00000000">
            <w:r>
              <w:rPr>
                <w:color w:val="202020"/>
                <w:sz w:val="18"/>
                <w:szCs w:val="18"/>
              </w:rPr>
              <w:t>Project Quality</w:t>
            </w:r>
          </w:p>
        </w:tc>
        <w:tc>
          <w:tcPr>
            <w:tcW w:w="2200" w:type="dxa"/>
            <w:shd w:val="clear" w:color="auto" w:fill="F2F2F2"/>
            <w:tcMar>
              <w:top w:w="80" w:type="dxa"/>
              <w:left w:w="110" w:type="dxa"/>
              <w:bottom w:w="80" w:type="dxa"/>
              <w:right w:w="110" w:type="dxa"/>
            </w:tcMar>
            <w:vAlign w:val="center"/>
          </w:tcPr>
          <w:p w14:paraId="366A0D86" w14:textId="77777777" w:rsidR="00E774C7" w:rsidRDefault="00000000">
            <w:r>
              <w:rPr>
                <w:color w:val="202020"/>
                <w:sz w:val="18"/>
                <w:szCs w:val="18"/>
              </w:rPr>
              <w:t>Portfolio ready</w:t>
            </w:r>
          </w:p>
        </w:tc>
      </w:tr>
    </w:tbl>
    <w:p w14:paraId="116DC94F" w14:textId="77777777" w:rsidR="00E774C7" w:rsidRDefault="00000000">
      <w:pPr>
        <w:pStyle w:val="Heading2"/>
        <w:spacing w:before="280" w:after="140"/>
      </w:pPr>
      <w:r>
        <w:rPr>
          <w:b/>
          <w:bCs/>
          <w:color w:val="1B7A72"/>
          <w:sz w:val="24"/>
          <w:szCs w:val="24"/>
        </w:rPr>
        <w:t>10.2 Tech Stack</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400"/>
      </w:tblGrid>
      <w:tr w:rsidR="00E774C7" w14:paraId="7F338513" w14:textId="77777777">
        <w:tblPrEx>
          <w:tblCellMar>
            <w:top w:w="0" w:type="dxa"/>
            <w:bottom w:w="0" w:type="dxa"/>
          </w:tblCellMar>
        </w:tblPrEx>
        <w:trPr>
          <w:tblHeader/>
        </w:trPr>
        <w:tc>
          <w:tcPr>
            <w:tcW w:w="3000" w:type="dxa"/>
            <w:shd w:val="clear" w:color="auto" w:fill="1F2A44"/>
            <w:tcMar>
              <w:top w:w="90" w:type="dxa"/>
              <w:left w:w="110" w:type="dxa"/>
              <w:bottom w:w="90" w:type="dxa"/>
              <w:right w:w="110" w:type="dxa"/>
            </w:tcMar>
            <w:vAlign w:val="center"/>
          </w:tcPr>
          <w:p w14:paraId="3BD0A5E1" w14:textId="77777777" w:rsidR="00E774C7" w:rsidRDefault="00000000">
            <w:r>
              <w:rPr>
                <w:b/>
                <w:bCs/>
                <w:color w:val="FFFFFF"/>
                <w:sz w:val="18"/>
                <w:szCs w:val="18"/>
              </w:rPr>
              <w:t>Area</w:t>
            </w:r>
          </w:p>
        </w:tc>
        <w:tc>
          <w:tcPr>
            <w:tcW w:w="6400" w:type="dxa"/>
            <w:shd w:val="clear" w:color="auto" w:fill="1F2A44"/>
            <w:tcMar>
              <w:top w:w="90" w:type="dxa"/>
              <w:left w:w="110" w:type="dxa"/>
              <w:bottom w:w="90" w:type="dxa"/>
              <w:right w:w="110" w:type="dxa"/>
            </w:tcMar>
            <w:vAlign w:val="center"/>
          </w:tcPr>
          <w:p w14:paraId="4E787BD5" w14:textId="77777777" w:rsidR="00E774C7" w:rsidRDefault="00000000">
            <w:r>
              <w:rPr>
                <w:b/>
                <w:bCs/>
                <w:color w:val="FFFFFF"/>
                <w:sz w:val="18"/>
                <w:szCs w:val="18"/>
              </w:rPr>
              <w:t>Tools / Libraries</w:t>
            </w:r>
          </w:p>
        </w:tc>
      </w:tr>
      <w:tr w:rsidR="00E774C7" w14:paraId="55379E43" w14:textId="77777777">
        <w:tblPrEx>
          <w:tblCellMar>
            <w:top w:w="0" w:type="dxa"/>
            <w:bottom w:w="0" w:type="dxa"/>
          </w:tblCellMar>
        </w:tblPrEx>
        <w:tc>
          <w:tcPr>
            <w:tcW w:w="3000" w:type="dxa"/>
            <w:shd w:val="clear" w:color="auto" w:fill="FFFFFF"/>
            <w:tcMar>
              <w:top w:w="80" w:type="dxa"/>
              <w:left w:w="110" w:type="dxa"/>
              <w:bottom w:w="80" w:type="dxa"/>
              <w:right w:w="110" w:type="dxa"/>
            </w:tcMar>
            <w:vAlign w:val="center"/>
          </w:tcPr>
          <w:p w14:paraId="76851CEA" w14:textId="77777777" w:rsidR="00E774C7" w:rsidRDefault="00000000">
            <w:r>
              <w:rPr>
                <w:color w:val="202020"/>
                <w:sz w:val="18"/>
                <w:szCs w:val="18"/>
              </w:rPr>
              <w:t>Data Collection</w:t>
            </w:r>
          </w:p>
        </w:tc>
        <w:tc>
          <w:tcPr>
            <w:tcW w:w="6400" w:type="dxa"/>
            <w:shd w:val="clear" w:color="auto" w:fill="FFFFFF"/>
            <w:tcMar>
              <w:top w:w="80" w:type="dxa"/>
              <w:left w:w="110" w:type="dxa"/>
              <w:bottom w:w="80" w:type="dxa"/>
              <w:right w:w="110" w:type="dxa"/>
            </w:tcMar>
            <w:vAlign w:val="center"/>
          </w:tcPr>
          <w:p w14:paraId="6BB33650" w14:textId="77777777" w:rsidR="00E774C7" w:rsidRDefault="00000000">
            <w:r>
              <w:rPr>
                <w:color w:val="202020"/>
                <w:sz w:val="18"/>
                <w:szCs w:val="18"/>
              </w:rPr>
              <w:t>Python, QS Rankings, ARWU / World University Rankings</w:t>
            </w:r>
          </w:p>
        </w:tc>
      </w:tr>
      <w:tr w:rsidR="00E774C7" w14:paraId="0CCF55EF" w14:textId="77777777">
        <w:tblPrEx>
          <w:tblCellMar>
            <w:top w:w="0" w:type="dxa"/>
            <w:bottom w:w="0" w:type="dxa"/>
          </w:tblCellMar>
        </w:tblPrEx>
        <w:tc>
          <w:tcPr>
            <w:tcW w:w="3000" w:type="dxa"/>
            <w:shd w:val="clear" w:color="auto" w:fill="F2F2F2"/>
            <w:tcMar>
              <w:top w:w="80" w:type="dxa"/>
              <w:left w:w="110" w:type="dxa"/>
              <w:bottom w:w="80" w:type="dxa"/>
              <w:right w:w="110" w:type="dxa"/>
            </w:tcMar>
            <w:vAlign w:val="center"/>
          </w:tcPr>
          <w:p w14:paraId="51BF4C47" w14:textId="77777777" w:rsidR="00E774C7" w:rsidRDefault="00000000">
            <w:r>
              <w:rPr>
                <w:color w:val="202020"/>
                <w:sz w:val="18"/>
                <w:szCs w:val="18"/>
              </w:rPr>
              <w:t>Data Processing</w:t>
            </w:r>
          </w:p>
        </w:tc>
        <w:tc>
          <w:tcPr>
            <w:tcW w:w="6400" w:type="dxa"/>
            <w:shd w:val="clear" w:color="auto" w:fill="F2F2F2"/>
            <w:tcMar>
              <w:top w:w="80" w:type="dxa"/>
              <w:left w:w="110" w:type="dxa"/>
              <w:bottom w:w="80" w:type="dxa"/>
              <w:right w:w="110" w:type="dxa"/>
            </w:tcMar>
            <w:vAlign w:val="center"/>
          </w:tcPr>
          <w:p w14:paraId="32DE14C3" w14:textId="77777777" w:rsidR="00E774C7" w:rsidRDefault="00000000">
            <w:r>
              <w:rPr>
                <w:color w:val="202020"/>
                <w:sz w:val="18"/>
                <w:szCs w:val="18"/>
              </w:rPr>
              <w:t>Pandas, NumPy</w:t>
            </w:r>
          </w:p>
        </w:tc>
      </w:tr>
      <w:tr w:rsidR="00E774C7" w14:paraId="0A60BAF9" w14:textId="77777777">
        <w:tblPrEx>
          <w:tblCellMar>
            <w:top w:w="0" w:type="dxa"/>
            <w:bottom w:w="0" w:type="dxa"/>
          </w:tblCellMar>
        </w:tblPrEx>
        <w:tc>
          <w:tcPr>
            <w:tcW w:w="3000" w:type="dxa"/>
            <w:shd w:val="clear" w:color="auto" w:fill="FFFFFF"/>
            <w:tcMar>
              <w:top w:w="80" w:type="dxa"/>
              <w:left w:w="110" w:type="dxa"/>
              <w:bottom w:w="80" w:type="dxa"/>
              <w:right w:w="110" w:type="dxa"/>
            </w:tcMar>
            <w:vAlign w:val="center"/>
          </w:tcPr>
          <w:p w14:paraId="0920642E" w14:textId="77777777" w:rsidR="00E774C7" w:rsidRDefault="00000000">
            <w:r>
              <w:rPr>
                <w:color w:val="202020"/>
                <w:sz w:val="18"/>
                <w:szCs w:val="18"/>
              </w:rPr>
              <w:t>Data Cleaning</w:t>
            </w:r>
          </w:p>
        </w:tc>
        <w:tc>
          <w:tcPr>
            <w:tcW w:w="6400" w:type="dxa"/>
            <w:shd w:val="clear" w:color="auto" w:fill="FFFFFF"/>
            <w:tcMar>
              <w:top w:w="80" w:type="dxa"/>
              <w:left w:w="110" w:type="dxa"/>
              <w:bottom w:w="80" w:type="dxa"/>
              <w:right w:w="110" w:type="dxa"/>
            </w:tcMar>
            <w:vAlign w:val="center"/>
          </w:tcPr>
          <w:p w14:paraId="3AAFEE96" w14:textId="77777777" w:rsidR="00E774C7" w:rsidRDefault="00000000">
            <w:r>
              <w:rPr>
                <w:color w:val="202020"/>
                <w:sz w:val="18"/>
                <w:szCs w:val="18"/>
              </w:rPr>
              <w:t>Python (Jupyter Notebook)</w:t>
            </w:r>
          </w:p>
        </w:tc>
      </w:tr>
      <w:tr w:rsidR="00E774C7" w14:paraId="44165DB1" w14:textId="77777777">
        <w:tblPrEx>
          <w:tblCellMar>
            <w:top w:w="0" w:type="dxa"/>
            <w:bottom w:w="0" w:type="dxa"/>
          </w:tblCellMar>
        </w:tblPrEx>
        <w:tc>
          <w:tcPr>
            <w:tcW w:w="3000" w:type="dxa"/>
            <w:shd w:val="clear" w:color="auto" w:fill="F2F2F2"/>
            <w:tcMar>
              <w:top w:w="80" w:type="dxa"/>
              <w:left w:w="110" w:type="dxa"/>
              <w:bottom w:w="80" w:type="dxa"/>
              <w:right w:w="110" w:type="dxa"/>
            </w:tcMar>
            <w:vAlign w:val="center"/>
          </w:tcPr>
          <w:p w14:paraId="3BF1AB10" w14:textId="77777777" w:rsidR="00E774C7" w:rsidRDefault="00000000">
            <w:r>
              <w:rPr>
                <w:color w:val="202020"/>
                <w:sz w:val="18"/>
                <w:szCs w:val="18"/>
              </w:rPr>
              <w:t>Visualization</w:t>
            </w:r>
          </w:p>
        </w:tc>
        <w:tc>
          <w:tcPr>
            <w:tcW w:w="6400" w:type="dxa"/>
            <w:shd w:val="clear" w:color="auto" w:fill="F2F2F2"/>
            <w:tcMar>
              <w:top w:w="80" w:type="dxa"/>
              <w:left w:w="110" w:type="dxa"/>
              <w:bottom w:w="80" w:type="dxa"/>
              <w:right w:w="110" w:type="dxa"/>
            </w:tcMar>
            <w:vAlign w:val="center"/>
          </w:tcPr>
          <w:p w14:paraId="413C5F07" w14:textId="77777777" w:rsidR="00E774C7" w:rsidRDefault="00000000">
            <w:r>
              <w:rPr>
                <w:color w:val="202020"/>
                <w:sz w:val="18"/>
                <w:szCs w:val="18"/>
              </w:rPr>
              <w:t>Tableau Desktop / Tableau Public</w:t>
            </w:r>
          </w:p>
        </w:tc>
      </w:tr>
      <w:tr w:rsidR="00E774C7" w14:paraId="1E36FAE3" w14:textId="77777777">
        <w:tblPrEx>
          <w:tblCellMar>
            <w:top w:w="0" w:type="dxa"/>
            <w:bottom w:w="0" w:type="dxa"/>
          </w:tblCellMar>
        </w:tblPrEx>
        <w:tc>
          <w:tcPr>
            <w:tcW w:w="3000" w:type="dxa"/>
            <w:shd w:val="clear" w:color="auto" w:fill="FFFFFF"/>
            <w:tcMar>
              <w:top w:w="80" w:type="dxa"/>
              <w:left w:w="110" w:type="dxa"/>
              <w:bottom w:w="80" w:type="dxa"/>
              <w:right w:w="110" w:type="dxa"/>
            </w:tcMar>
            <w:vAlign w:val="center"/>
          </w:tcPr>
          <w:p w14:paraId="29153A73" w14:textId="77777777" w:rsidR="00E774C7" w:rsidRDefault="00000000">
            <w:r>
              <w:rPr>
                <w:color w:val="202020"/>
                <w:sz w:val="18"/>
                <w:szCs w:val="18"/>
              </w:rPr>
              <w:t>Dashboard Integration</w:t>
            </w:r>
          </w:p>
        </w:tc>
        <w:tc>
          <w:tcPr>
            <w:tcW w:w="6400" w:type="dxa"/>
            <w:shd w:val="clear" w:color="auto" w:fill="FFFFFF"/>
            <w:tcMar>
              <w:top w:w="80" w:type="dxa"/>
              <w:left w:w="110" w:type="dxa"/>
              <w:bottom w:w="80" w:type="dxa"/>
              <w:right w:w="110" w:type="dxa"/>
            </w:tcMar>
            <w:vAlign w:val="center"/>
          </w:tcPr>
          <w:p w14:paraId="2E701DE1" w14:textId="77777777" w:rsidR="00E774C7" w:rsidRDefault="00000000">
            <w:r>
              <w:rPr>
                <w:color w:val="202020"/>
                <w:sz w:val="18"/>
                <w:szCs w:val="18"/>
              </w:rPr>
              <w:t>Tableau Filters, Parameters, Actions</w:t>
            </w:r>
          </w:p>
        </w:tc>
      </w:tr>
      <w:tr w:rsidR="00E774C7" w14:paraId="5EE7DAB8" w14:textId="77777777">
        <w:tblPrEx>
          <w:tblCellMar>
            <w:top w:w="0" w:type="dxa"/>
            <w:bottom w:w="0" w:type="dxa"/>
          </w:tblCellMar>
        </w:tblPrEx>
        <w:tc>
          <w:tcPr>
            <w:tcW w:w="3000" w:type="dxa"/>
            <w:shd w:val="clear" w:color="auto" w:fill="F2F2F2"/>
            <w:tcMar>
              <w:top w:w="80" w:type="dxa"/>
              <w:left w:w="110" w:type="dxa"/>
              <w:bottom w:w="80" w:type="dxa"/>
              <w:right w:w="110" w:type="dxa"/>
            </w:tcMar>
            <w:vAlign w:val="center"/>
          </w:tcPr>
          <w:p w14:paraId="3E438825" w14:textId="77777777" w:rsidR="00E774C7" w:rsidRDefault="00000000">
            <w:r>
              <w:rPr>
                <w:color w:val="202020"/>
                <w:sz w:val="18"/>
                <w:szCs w:val="18"/>
              </w:rPr>
              <w:t>Documentation</w:t>
            </w:r>
          </w:p>
        </w:tc>
        <w:tc>
          <w:tcPr>
            <w:tcW w:w="6400" w:type="dxa"/>
            <w:shd w:val="clear" w:color="auto" w:fill="F2F2F2"/>
            <w:tcMar>
              <w:top w:w="80" w:type="dxa"/>
              <w:left w:w="110" w:type="dxa"/>
              <w:bottom w:w="80" w:type="dxa"/>
              <w:right w:w="110" w:type="dxa"/>
            </w:tcMar>
            <w:vAlign w:val="center"/>
          </w:tcPr>
          <w:p w14:paraId="3FCAB754" w14:textId="77777777" w:rsidR="00E774C7" w:rsidRDefault="00000000">
            <w:r>
              <w:rPr>
                <w:color w:val="202020"/>
                <w:sz w:val="18"/>
                <w:szCs w:val="18"/>
              </w:rPr>
              <w:t>Markdown, GitHub</w:t>
            </w:r>
          </w:p>
        </w:tc>
      </w:tr>
    </w:tbl>
    <w:p w14:paraId="7FBEB070" w14:textId="77777777" w:rsidR="00E774C7" w:rsidRDefault="00000000">
      <w:pPr>
        <w:pStyle w:val="Heading1"/>
        <w:pBdr>
          <w:bottom w:val="single" w:sz="8" w:space="4" w:color="1F2A44"/>
        </w:pBdr>
        <w:spacing w:before="360" w:after="200"/>
      </w:pPr>
      <w:r>
        <w:rPr>
          <w:b/>
          <w:bCs/>
          <w:color w:val="1F2A44"/>
          <w:sz w:val="30"/>
          <w:szCs w:val="30"/>
        </w:rPr>
        <w:t>11. Deliverables Summary</w:t>
      </w:r>
    </w:p>
    <w:p w14:paraId="5183B298" w14:textId="77777777" w:rsidR="00E774C7" w:rsidRDefault="00000000">
      <w:pPr>
        <w:spacing w:after="160" w:line="276" w:lineRule="auto"/>
        <w:jc w:val="both"/>
      </w:pPr>
      <w:r>
        <w:rPr>
          <w:color w:val="202020"/>
        </w:rPr>
        <w:t>The table below consolidates every deliverable produced across the four project milestones, matching the outputs found in the uploaded project files.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700"/>
        <w:gridCol w:w="4600"/>
      </w:tblGrid>
      <w:tr w:rsidR="00E774C7" w14:paraId="7147A20B" w14:textId="77777777">
        <w:tblPrEx>
          <w:tblCellMar>
            <w:top w:w="0" w:type="dxa"/>
            <w:bottom w:w="0" w:type="dxa"/>
          </w:tblCellMar>
        </w:tblPrEx>
        <w:trPr>
          <w:tblHeader/>
        </w:trPr>
        <w:tc>
          <w:tcPr>
            <w:tcW w:w="1100" w:type="dxa"/>
            <w:shd w:val="clear" w:color="auto" w:fill="1F2A44"/>
            <w:tcMar>
              <w:top w:w="90" w:type="dxa"/>
              <w:left w:w="110" w:type="dxa"/>
              <w:bottom w:w="90" w:type="dxa"/>
              <w:right w:w="110" w:type="dxa"/>
            </w:tcMar>
            <w:vAlign w:val="center"/>
          </w:tcPr>
          <w:p w14:paraId="44675F70" w14:textId="77777777" w:rsidR="00E774C7" w:rsidRDefault="00000000">
            <w:r>
              <w:rPr>
                <w:b/>
                <w:bCs/>
                <w:color w:val="FFFFFF"/>
                <w:sz w:val="18"/>
                <w:szCs w:val="18"/>
              </w:rPr>
              <w:t>Milestone</w:t>
            </w:r>
          </w:p>
        </w:tc>
        <w:tc>
          <w:tcPr>
            <w:tcW w:w="3700" w:type="dxa"/>
            <w:shd w:val="clear" w:color="auto" w:fill="1F2A44"/>
            <w:tcMar>
              <w:top w:w="90" w:type="dxa"/>
              <w:left w:w="110" w:type="dxa"/>
              <w:bottom w:w="90" w:type="dxa"/>
              <w:right w:w="110" w:type="dxa"/>
            </w:tcMar>
            <w:vAlign w:val="center"/>
          </w:tcPr>
          <w:p w14:paraId="4CC52CF2" w14:textId="77777777" w:rsidR="00E774C7" w:rsidRDefault="00000000">
            <w:r>
              <w:rPr>
                <w:b/>
                <w:bCs/>
                <w:color w:val="FFFFFF"/>
                <w:sz w:val="18"/>
                <w:szCs w:val="18"/>
              </w:rPr>
              <w:t>Deliverable</w:t>
            </w:r>
          </w:p>
        </w:tc>
        <w:tc>
          <w:tcPr>
            <w:tcW w:w="4600" w:type="dxa"/>
            <w:shd w:val="clear" w:color="auto" w:fill="1F2A44"/>
            <w:tcMar>
              <w:top w:w="90" w:type="dxa"/>
              <w:left w:w="110" w:type="dxa"/>
              <w:bottom w:w="90" w:type="dxa"/>
              <w:right w:w="110" w:type="dxa"/>
            </w:tcMar>
            <w:vAlign w:val="center"/>
          </w:tcPr>
          <w:p w14:paraId="435A10E9" w14:textId="77777777" w:rsidR="00E774C7" w:rsidRDefault="00000000">
            <w:r>
              <w:rPr>
                <w:b/>
                <w:bCs/>
                <w:color w:val="FFFFFF"/>
                <w:sz w:val="18"/>
                <w:szCs w:val="18"/>
              </w:rPr>
              <w:t>Description</w:t>
            </w:r>
          </w:p>
        </w:tc>
      </w:tr>
      <w:tr w:rsidR="00E774C7" w14:paraId="74011B9C" w14:textId="77777777">
        <w:tblPrEx>
          <w:tblCellMar>
            <w:top w:w="0" w:type="dxa"/>
            <w:bottom w:w="0" w:type="dxa"/>
          </w:tblCellMar>
        </w:tblPrEx>
        <w:tc>
          <w:tcPr>
            <w:tcW w:w="1100" w:type="dxa"/>
            <w:shd w:val="clear" w:color="auto" w:fill="FFFFFF"/>
            <w:tcMar>
              <w:top w:w="80" w:type="dxa"/>
              <w:left w:w="110" w:type="dxa"/>
              <w:bottom w:w="80" w:type="dxa"/>
              <w:right w:w="110" w:type="dxa"/>
            </w:tcMar>
            <w:vAlign w:val="center"/>
          </w:tcPr>
          <w:p w14:paraId="6420734F" w14:textId="77777777" w:rsidR="00E774C7" w:rsidRDefault="00000000">
            <w:r>
              <w:rPr>
                <w:color w:val="202020"/>
                <w:sz w:val="18"/>
                <w:szCs w:val="18"/>
              </w:rPr>
              <w:t>1</w:t>
            </w:r>
          </w:p>
        </w:tc>
        <w:tc>
          <w:tcPr>
            <w:tcW w:w="3700" w:type="dxa"/>
            <w:shd w:val="clear" w:color="auto" w:fill="FFFFFF"/>
            <w:tcMar>
              <w:top w:w="80" w:type="dxa"/>
              <w:left w:w="110" w:type="dxa"/>
              <w:bottom w:w="80" w:type="dxa"/>
              <w:right w:w="110" w:type="dxa"/>
            </w:tcMar>
            <w:vAlign w:val="center"/>
          </w:tcPr>
          <w:p w14:paraId="4BF48C85" w14:textId="77777777" w:rsidR="00E774C7" w:rsidRDefault="00000000">
            <w:r>
              <w:rPr>
                <w:color w:val="202020"/>
                <w:sz w:val="18"/>
                <w:szCs w:val="18"/>
              </w:rPr>
              <w:t>university_raw_data.csv</w:t>
            </w:r>
          </w:p>
        </w:tc>
        <w:tc>
          <w:tcPr>
            <w:tcW w:w="4600" w:type="dxa"/>
            <w:shd w:val="clear" w:color="auto" w:fill="FFFFFF"/>
            <w:tcMar>
              <w:top w:w="80" w:type="dxa"/>
              <w:left w:w="110" w:type="dxa"/>
              <w:bottom w:w="80" w:type="dxa"/>
              <w:right w:w="110" w:type="dxa"/>
            </w:tcMar>
            <w:vAlign w:val="center"/>
          </w:tcPr>
          <w:p w14:paraId="7FBF9697" w14:textId="77777777" w:rsidR="00E774C7" w:rsidRDefault="00000000">
            <w:r>
              <w:rPr>
                <w:color w:val="202020"/>
                <w:sz w:val="18"/>
                <w:szCs w:val="18"/>
              </w:rPr>
              <w:t>Merged QS + ARWU raw dataset (1,501 institutions)</w:t>
            </w:r>
          </w:p>
        </w:tc>
      </w:tr>
      <w:tr w:rsidR="00E774C7" w14:paraId="5AC9BA10" w14:textId="77777777">
        <w:tblPrEx>
          <w:tblCellMar>
            <w:top w:w="0" w:type="dxa"/>
            <w:bottom w:w="0" w:type="dxa"/>
          </w:tblCellMar>
        </w:tblPrEx>
        <w:tc>
          <w:tcPr>
            <w:tcW w:w="1100" w:type="dxa"/>
            <w:shd w:val="clear" w:color="auto" w:fill="F2F2F2"/>
            <w:tcMar>
              <w:top w:w="80" w:type="dxa"/>
              <w:left w:w="110" w:type="dxa"/>
              <w:bottom w:w="80" w:type="dxa"/>
              <w:right w:w="110" w:type="dxa"/>
            </w:tcMar>
            <w:vAlign w:val="center"/>
          </w:tcPr>
          <w:p w14:paraId="698D1A25" w14:textId="77777777" w:rsidR="00E774C7" w:rsidRDefault="00000000">
            <w:r>
              <w:rPr>
                <w:color w:val="202020"/>
                <w:sz w:val="18"/>
                <w:szCs w:val="18"/>
              </w:rPr>
              <w:t>1</w:t>
            </w:r>
          </w:p>
        </w:tc>
        <w:tc>
          <w:tcPr>
            <w:tcW w:w="3700" w:type="dxa"/>
            <w:shd w:val="clear" w:color="auto" w:fill="F2F2F2"/>
            <w:tcMar>
              <w:top w:w="80" w:type="dxa"/>
              <w:left w:w="110" w:type="dxa"/>
              <w:bottom w:w="80" w:type="dxa"/>
              <w:right w:w="110" w:type="dxa"/>
            </w:tcMar>
            <w:vAlign w:val="center"/>
          </w:tcPr>
          <w:p w14:paraId="6530DBA0" w14:textId="77777777" w:rsidR="00E774C7" w:rsidRDefault="00000000">
            <w:r>
              <w:rPr>
                <w:color w:val="202020"/>
                <w:sz w:val="18"/>
                <w:szCs w:val="18"/>
              </w:rPr>
              <w:t>data_collection.py</w:t>
            </w:r>
          </w:p>
        </w:tc>
        <w:tc>
          <w:tcPr>
            <w:tcW w:w="4600" w:type="dxa"/>
            <w:shd w:val="clear" w:color="auto" w:fill="F2F2F2"/>
            <w:tcMar>
              <w:top w:w="80" w:type="dxa"/>
              <w:left w:w="110" w:type="dxa"/>
              <w:bottom w:w="80" w:type="dxa"/>
              <w:right w:w="110" w:type="dxa"/>
            </w:tcMar>
            <w:vAlign w:val="center"/>
          </w:tcPr>
          <w:p w14:paraId="1E666F54" w14:textId="77777777" w:rsidR="00E774C7" w:rsidRDefault="00000000">
            <w:r>
              <w:rPr>
                <w:color w:val="202020"/>
                <w:sz w:val="18"/>
                <w:szCs w:val="18"/>
              </w:rPr>
              <w:t>Script used to collect and merge the raw ranking datasets</w:t>
            </w:r>
          </w:p>
        </w:tc>
      </w:tr>
      <w:tr w:rsidR="00E774C7" w14:paraId="579E173C" w14:textId="77777777">
        <w:tblPrEx>
          <w:tblCellMar>
            <w:top w:w="0" w:type="dxa"/>
            <w:bottom w:w="0" w:type="dxa"/>
          </w:tblCellMar>
        </w:tblPrEx>
        <w:tc>
          <w:tcPr>
            <w:tcW w:w="1100" w:type="dxa"/>
            <w:shd w:val="clear" w:color="auto" w:fill="FFFFFF"/>
            <w:tcMar>
              <w:top w:w="80" w:type="dxa"/>
              <w:left w:w="110" w:type="dxa"/>
              <w:bottom w:w="80" w:type="dxa"/>
              <w:right w:w="110" w:type="dxa"/>
            </w:tcMar>
            <w:vAlign w:val="center"/>
          </w:tcPr>
          <w:p w14:paraId="07F3DBC5" w14:textId="77777777" w:rsidR="00E774C7" w:rsidRDefault="00000000">
            <w:r>
              <w:rPr>
                <w:color w:val="202020"/>
                <w:sz w:val="18"/>
                <w:szCs w:val="18"/>
              </w:rPr>
              <w:t>2</w:t>
            </w:r>
          </w:p>
        </w:tc>
        <w:tc>
          <w:tcPr>
            <w:tcW w:w="3700" w:type="dxa"/>
            <w:shd w:val="clear" w:color="auto" w:fill="FFFFFF"/>
            <w:tcMar>
              <w:top w:w="80" w:type="dxa"/>
              <w:left w:w="110" w:type="dxa"/>
              <w:bottom w:w="80" w:type="dxa"/>
              <w:right w:w="110" w:type="dxa"/>
            </w:tcMar>
            <w:vAlign w:val="center"/>
          </w:tcPr>
          <w:p w14:paraId="3142D3E2" w14:textId="77777777" w:rsidR="00E774C7" w:rsidRDefault="00000000">
            <w:r>
              <w:rPr>
                <w:color w:val="202020"/>
                <w:sz w:val="18"/>
                <w:szCs w:val="18"/>
              </w:rPr>
              <w:t>university_cleaned.csv</w:t>
            </w:r>
          </w:p>
        </w:tc>
        <w:tc>
          <w:tcPr>
            <w:tcW w:w="4600" w:type="dxa"/>
            <w:shd w:val="clear" w:color="auto" w:fill="FFFFFF"/>
            <w:tcMar>
              <w:top w:w="80" w:type="dxa"/>
              <w:left w:w="110" w:type="dxa"/>
              <w:bottom w:w="80" w:type="dxa"/>
              <w:right w:w="110" w:type="dxa"/>
            </w:tcMar>
            <w:vAlign w:val="center"/>
          </w:tcPr>
          <w:p w14:paraId="6BC74B3B" w14:textId="77777777" w:rsidR="00E774C7" w:rsidRDefault="00000000">
            <w:r>
              <w:rPr>
                <w:color w:val="202020"/>
                <w:sz w:val="18"/>
                <w:szCs w:val="18"/>
              </w:rPr>
              <w:t>Cleaned, standardized, Tableau-ready dataset (1,492 rows)</w:t>
            </w:r>
          </w:p>
        </w:tc>
      </w:tr>
      <w:tr w:rsidR="00E774C7" w14:paraId="69B369ED" w14:textId="77777777">
        <w:tblPrEx>
          <w:tblCellMar>
            <w:top w:w="0" w:type="dxa"/>
            <w:bottom w:w="0" w:type="dxa"/>
          </w:tblCellMar>
        </w:tblPrEx>
        <w:tc>
          <w:tcPr>
            <w:tcW w:w="1100" w:type="dxa"/>
            <w:shd w:val="clear" w:color="auto" w:fill="F2F2F2"/>
            <w:tcMar>
              <w:top w:w="80" w:type="dxa"/>
              <w:left w:w="110" w:type="dxa"/>
              <w:bottom w:w="80" w:type="dxa"/>
              <w:right w:w="110" w:type="dxa"/>
            </w:tcMar>
            <w:vAlign w:val="center"/>
          </w:tcPr>
          <w:p w14:paraId="66EE3BED" w14:textId="77777777" w:rsidR="00E774C7" w:rsidRDefault="00000000">
            <w:r>
              <w:rPr>
                <w:color w:val="202020"/>
                <w:sz w:val="18"/>
                <w:szCs w:val="18"/>
              </w:rPr>
              <w:t>2</w:t>
            </w:r>
          </w:p>
        </w:tc>
        <w:tc>
          <w:tcPr>
            <w:tcW w:w="3700" w:type="dxa"/>
            <w:shd w:val="clear" w:color="auto" w:fill="F2F2F2"/>
            <w:tcMar>
              <w:top w:w="80" w:type="dxa"/>
              <w:left w:w="110" w:type="dxa"/>
              <w:bottom w:w="80" w:type="dxa"/>
              <w:right w:w="110" w:type="dxa"/>
            </w:tcMar>
            <w:vAlign w:val="center"/>
          </w:tcPr>
          <w:p w14:paraId="5C7DD8D9" w14:textId="77777777" w:rsidR="00E774C7" w:rsidRDefault="00000000">
            <w:r>
              <w:rPr>
                <w:color w:val="202020"/>
                <w:sz w:val="18"/>
                <w:szCs w:val="18"/>
              </w:rPr>
              <w:t>education_</w:t>
            </w:r>
            <w:proofErr w:type="gramStart"/>
            <w:r>
              <w:rPr>
                <w:color w:val="202020"/>
                <w:sz w:val="18"/>
                <w:szCs w:val="18"/>
              </w:rPr>
              <w:t>cleaning.ipynb</w:t>
            </w:r>
            <w:proofErr w:type="gramEnd"/>
          </w:p>
        </w:tc>
        <w:tc>
          <w:tcPr>
            <w:tcW w:w="4600" w:type="dxa"/>
            <w:shd w:val="clear" w:color="auto" w:fill="F2F2F2"/>
            <w:tcMar>
              <w:top w:w="80" w:type="dxa"/>
              <w:left w:w="110" w:type="dxa"/>
              <w:bottom w:w="80" w:type="dxa"/>
              <w:right w:w="110" w:type="dxa"/>
            </w:tcMar>
            <w:vAlign w:val="center"/>
          </w:tcPr>
          <w:p w14:paraId="62F4F04B" w14:textId="77777777" w:rsidR="00E774C7" w:rsidRDefault="00000000">
            <w:r>
              <w:rPr>
                <w:color w:val="202020"/>
                <w:sz w:val="18"/>
                <w:szCs w:val="18"/>
              </w:rPr>
              <w:t>Step-by-step data cleaning &amp; transformation notebook</w:t>
            </w:r>
          </w:p>
        </w:tc>
      </w:tr>
      <w:tr w:rsidR="00E774C7" w14:paraId="15326452" w14:textId="77777777">
        <w:tblPrEx>
          <w:tblCellMar>
            <w:top w:w="0" w:type="dxa"/>
            <w:bottom w:w="0" w:type="dxa"/>
          </w:tblCellMar>
        </w:tblPrEx>
        <w:tc>
          <w:tcPr>
            <w:tcW w:w="1100" w:type="dxa"/>
            <w:shd w:val="clear" w:color="auto" w:fill="FFFFFF"/>
            <w:tcMar>
              <w:top w:w="80" w:type="dxa"/>
              <w:left w:w="110" w:type="dxa"/>
              <w:bottom w:w="80" w:type="dxa"/>
              <w:right w:w="110" w:type="dxa"/>
            </w:tcMar>
            <w:vAlign w:val="center"/>
          </w:tcPr>
          <w:p w14:paraId="22F38C88" w14:textId="77777777" w:rsidR="00E774C7" w:rsidRDefault="00000000">
            <w:r>
              <w:rPr>
                <w:color w:val="202020"/>
                <w:sz w:val="18"/>
                <w:szCs w:val="18"/>
              </w:rPr>
              <w:t>3</w:t>
            </w:r>
          </w:p>
        </w:tc>
        <w:tc>
          <w:tcPr>
            <w:tcW w:w="3700" w:type="dxa"/>
            <w:shd w:val="clear" w:color="auto" w:fill="FFFFFF"/>
            <w:tcMar>
              <w:top w:w="80" w:type="dxa"/>
              <w:left w:w="110" w:type="dxa"/>
              <w:bottom w:w="80" w:type="dxa"/>
              <w:right w:w="110" w:type="dxa"/>
            </w:tcMar>
            <w:vAlign w:val="center"/>
          </w:tcPr>
          <w:p w14:paraId="7462F24E" w14:textId="77777777" w:rsidR="00E774C7" w:rsidRDefault="00000000">
            <w:r>
              <w:rPr>
                <w:color w:val="202020"/>
                <w:sz w:val="18"/>
                <w:szCs w:val="18"/>
              </w:rPr>
              <w:t>generate_education_kpis.py</w:t>
            </w:r>
          </w:p>
        </w:tc>
        <w:tc>
          <w:tcPr>
            <w:tcW w:w="4600" w:type="dxa"/>
            <w:shd w:val="clear" w:color="auto" w:fill="FFFFFF"/>
            <w:tcMar>
              <w:top w:w="80" w:type="dxa"/>
              <w:left w:w="110" w:type="dxa"/>
              <w:bottom w:w="80" w:type="dxa"/>
              <w:right w:w="110" w:type="dxa"/>
            </w:tcMar>
            <w:vAlign w:val="center"/>
          </w:tcPr>
          <w:p w14:paraId="12F67D52" w14:textId="77777777" w:rsidR="00E774C7" w:rsidRDefault="00000000">
            <w:r>
              <w:rPr>
                <w:color w:val="202020"/>
                <w:sz w:val="18"/>
                <w:szCs w:val="18"/>
              </w:rPr>
              <w:t>KPI engineering script — validates 5 KPIs, calculates the 6th</w:t>
            </w:r>
          </w:p>
        </w:tc>
      </w:tr>
      <w:tr w:rsidR="00E774C7" w14:paraId="53C9489E" w14:textId="77777777">
        <w:tblPrEx>
          <w:tblCellMar>
            <w:top w:w="0" w:type="dxa"/>
            <w:bottom w:w="0" w:type="dxa"/>
          </w:tblCellMar>
        </w:tblPrEx>
        <w:tc>
          <w:tcPr>
            <w:tcW w:w="1100" w:type="dxa"/>
            <w:shd w:val="clear" w:color="auto" w:fill="F2F2F2"/>
            <w:tcMar>
              <w:top w:w="80" w:type="dxa"/>
              <w:left w:w="110" w:type="dxa"/>
              <w:bottom w:w="80" w:type="dxa"/>
              <w:right w:w="110" w:type="dxa"/>
            </w:tcMar>
            <w:vAlign w:val="center"/>
          </w:tcPr>
          <w:p w14:paraId="493F53BD" w14:textId="77777777" w:rsidR="00E774C7" w:rsidRDefault="00000000">
            <w:r>
              <w:rPr>
                <w:color w:val="202020"/>
                <w:sz w:val="18"/>
                <w:szCs w:val="18"/>
              </w:rPr>
              <w:t>3</w:t>
            </w:r>
          </w:p>
        </w:tc>
        <w:tc>
          <w:tcPr>
            <w:tcW w:w="3700" w:type="dxa"/>
            <w:shd w:val="clear" w:color="auto" w:fill="F2F2F2"/>
            <w:tcMar>
              <w:top w:w="80" w:type="dxa"/>
              <w:left w:w="110" w:type="dxa"/>
              <w:bottom w:w="80" w:type="dxa"/>
              <w:right w:w="110" w:type="dxa"/>
            </w:tcMar>
            <w:vAlign w:val="center"/>
          </w:tcPr>
          <w:p w14:paraId="1D7C4B1C" w14:textId="77777777" w:rsidR="00E774C7" w:rsidRDefault="00000000">
            <w:r>
              <w:rPr>
                <w:color w:val="202020"/>
                <w:sz w:val="18"/>
                <w:szCs w:val="18"/>
              </w:rPr>
              <w:t>university_final_dataset.xlsx</w:t>
            </w:r>
          </w:p>
        </w:tc>
        <w:tc>
          <w:tcPr>
            <w:tcW w:w="4600" w:type="dxa"/>
            <w:shd w:val="clear" w:color="auto" w:fill="F2F2F2"/>
            <w:tcMar>
              <w:top w:w="80" w:type="dxa"/>
              <w:left w:w="110" w:type="dxa"/>
              <w:bottom w:w="80" w:type="dxa"/>
              <w:right w:w="110" w:type="dxa"/>
            </w:tcMar>
            <w:vAlign w:val="center"/>
          </w:tcPr>
          <w:p w14:paraId="445A35A8" w14:textId="77777777" w:rsidR="00E774C7" w:rsidRDefault="00000000">
            <w:r>
              <w:rPr>
                <w:color w:val="202020"/>
                <w:sz w:val="18"/>
                <w:szCs w:val="18"/>
              </w:rPr>
              <w:t>Final Tableau data source with all six KPIs</w:t>
            </w:r>
          </w:p>
        </w:tc>
      </w:tr>
      <w:tr w:rsidR="00E774C7" w14:paraId="193DFE52" w14:textId="77777777">
        <w:tblPrEx>
          <w:tblCellMar>
            <w:top w:w="0" w:type="dxa"/>
            <w:bottom w:w="0" w:type="dxa"/>
          </w:tblCellMar>
        </w:tblPrEx>
        <w:tc>
          <w:tcPr>
            <w:tcW w:w="1100" w:type="dxa"/>
            <w:shd w:val="clear" w:color="auto" w:fill="FFFFFF"/>
            <w:tcMar>
              <w:top w:w="80" w:type="dxa"/>
              <w:left w:w="110" w:type="dxa"/>
              <w:bottom w:w="80" w:type="dxa"/>
              <w:right w:w="110" w:type="dxa"/>
            </w:tcMar>
            <w:vAlign w:val="center"/>
          </w:tcPr>
          <w:p w14:paraId="6BF3C663" w14:textId="77777777" w:rsidR="00E774C7" w:rsidRDefault="00000000">
            <w:r>
              <w:rPr>
                <w:color w:val="202020"/>
                <w:sz w:val="18"/>
                <w:szCs w:val="18"/>
              </w:rPr>
              <w:t>4</w:t>
            </w:r>
          </w:p>
        </w:tc>
        <w:tc>
          <w:tcPr>
            <w:tcW w:w="3700" w:type="dxa"/>
            <w:shd w:val="clear" w:color="auto" w:fill="FFFFFF"/>
            <w:tcMar>
              <w:top w:w="80" w:type="dxa"/>
              <w:left w:w="110" w:type="dxa"/>
              <w:bottom w:w="80" w:type="dxa"/>
              <w:right w:w="110" w:type="dxa"/>
            </w:tcMar>
            <w:vAlign w:val="center"/>
          </w:tcPr>
          <w:p w14:paraId="020EC0E0" w14:textId="77777777" w:rsidR="00E774C7" w:rsidRDefault="00000000">
            <w:r>
              <w:rPr>
                <w:color w:val="202020"/>
                <w:sz w:val="18"/>
                <w:szCs w:val="18"/>
              </w:rPr>
              <w:t>dashboard_storyboard.pdf / eduvision_</w:t>
            </w:r>
            <w:proofErr w:type="gramStart"/>
            <w:r>
              <w:rPr>
                <w:color w:val="202020"/>
                <w:sz w:val="18"/>
                <w:szCs w:val="18"/>
              </w:rPr>
              <w:t>prototype.twbx</w:t>
            </w:r>
            <w:proofErr w:type="gramEnd"/>
          </w:p>
        </w:tc>
        <w:tc>
          <w:tcPr>
            <w:tcW w:w="4600" w:type="dxa"/>
            <w:shd w:val="clear" w:color="auto" w:fill="FFFFFF"/>
            <w:tcMar>
              <w:top w:w="80" w:type="dxa"/>
              <w:left w:w="110" w:type="dxa"/>
              <w:bottom w:w="80" w:type="dxa"/>
              <w:right w:w="110" w:type="dxa"/>
            </w:tcMar>
            <w:vAlign w:val="center"/>
          </w:tcPr>
          <w:p w14:paraId="0B09FD10" w14:textId="77777777" w:rsidR="00E774C7" w:rsidRDefault="00000000">
            <w:r>
              <w:rPr>
                <w:color w:val="202020"/>
                <w:sz w:val="18"/>
                <w:szCs w:val="18"/>
              </w:rPr>
              <w:t>Dashboard wireframes and interactive prototype</w:t>
            </w:r>
          </w:p>
        </w:tc>
      </w:tr>
      <w:tr w:rsidR="00E774C7" w14:paraId="5FB83DF3" w14:textId="77777777">
        <w:tblPrEx>
          <w:tblCellMar>
            <w:top w:w="0" w:type="dxa"/>
            <w:bottom w:w="0" w:type="dxa"/>
          </w:tblCellMar>
        </w:tblPrEx>
        <w:tc>
          <w:tcPr>
            <w:tcW w:w="1100" w:type="dxa"/>
            <w:shd w:val="clear" w:color="auto" w:fill="F2F2F2"/>
            <w:tcMar>
              <w:top w:w="80" w:type="dxa"/>
              <w:left w:w="110" w:type="dxa"/>
              <w:bottom w:w="80" w:type="dxa"/>
              <w:right w:w="110" w:type="dxa"/>
            </w:tcMar>
            <w:vAlign w:val="center"/>
          </w:tcPr>
          <w:p w14:paraId="7A526066" w14:textId="77777777" w:rsidR="00E774C7" w:rsidRDefault="00000000">
            <w:r>
              <w:rPr>
                <w:color w:val="202020"/>
                <w:sz w:val="18"/>
                <w:szCs w:val="18"/>
              </w:rPr>
              <w:t>4</w:t>
            </w:r>
          </w:p>
        </w:tc>
        <w:tc>
          <w:tcPr>
            <w:tcW w:w="3700" w:type="dxa"/>
            <w:shd w:val="clear" w:color="auto" w:fill="F2F2F2"/>
            <w:tcMar>
              <w:top w:w="80" w:type="dxa"/>
              <w:left w:w="110" w:type="dxa"/>
              <w:bottom w:w="80" w:type="dxa"/>
              <w:right w:w="110" w:type="dxa"/>
            </w:tcMar>
            <w:vAlign w:val="center"/>
          </w:tcPr>
          <w:p w14:paraId="45492B18" w14:textId="77777777" w:rsidR="00E774C7" w:rsidRDefault="00000000">
            <w:r>
              <w:rPr>
                <w:color w:val="202020"/>
                <w:sz w:val="18"/>
                <w:szCs w:val="18"/>
              </w:rPr>
              <w:t>eduvision_dashboard_v</w:t>
            </w:r>
            <w:proofErr w:type="gramStart"/>
            <w:r>
              <w:rPr>
                <w:color w:val="202020"/>
                <w:sz w:val="18"/>
                <w:szCs w:val="18"/>
              </w:rPr>
              <w:t>1.twbx</w:t>
            </w:r>
            <w:proofErr w:type="gramEnd"/>
          </w:p>
        </w:tc>
        <w:tc>
          <w:tcPr>
            <w:tcW w:w="4600" w:type="dxa"/>
            <w:shd w:val="clear" w:color="auto" w:fill="F2F2F2"/>
            <w:tcMar>
              <w:top w:w="80" w:type="dxa"/>
              <w:left w:w="110" w:type="dxa"/>
              <w:bottom w:w="80" w:type="dxa"/>
              <w:right w:w="110" w:type="dxa"/>
            </w:tcMar>
            <w:vAlign w:val="center"/>
          </w:tcPr>
          <w:p w14:paraId="23070785" w14:textId="77777777" w:rsidR="00E774C7" w:rsidRDefault="00000000">
            <w:r>
              <w:rPr>
                <w:color w:val="202020"/>
                <w:sz w:val="18"/>
                <w:szCs w:val="18"/>
              </w:rPr>
              <w:t>First integrated build of all four dashboards</w:t>
            </w:r>
          </w:p>
        </w:tc>
      </w:tr>
      <w:tr w:rsidR="00E774C7" w14:paraId="54773501" w14:textId="77777777">
        <w:tblPrEx>
          <w:tblCellMar>
            <w:top w:w="0" w:type="dxa"/>
            <w:bottom w:w="0" w:type="dxa"/>
          </w:tblCellMar>
        </w:tblPrEx>
        <w:tc>
          <w:tcPr>
            <w:tcW w:w="1100" w:type="dxa"/>
            <w:shd w:val="clear" w:color="auto" w:fill="FFFFFF"/>
            <w:tcMar>
              <w:top w:w="80" w:type="dxa"/>
              <w:left w:w="110" w:type="dxa"/>
              <w:bottom w:w="80" w:type="dxa"/>
              <w:right w:w="110" w:type="dxa"/>
            </w:tcMar>
            <w:vAlign w:val="center"/>
          </w:tcPr>
          <w:p w14:paraId="3A2D7BCE" w14:textId="77777777" w:rsidR="00E774C7" w:rsidRDefault="00000000">
            <w:r>
              <w:rPr>
                <w:color w:val="202020"/>
                <w:sz w:val="18"/>
                <w:szCs w:val="18"/>
              </w:rPr>
              <w:t>4</w:t>
            </w:r>
          </w:p>
        </w:tc>
        <w:tc>
          <w:tcPr>
            <w:tcW w:w="3700" w:type="dxa"/>
            <w:shd w:val="clear" w:color="auto" w:fill="FFFFFF"/>
            <w:tcMar>
              <w:top w:w="80" w:type="dxa"/>
              <w:left w:w="110" w:type="dxa"/>
              <w:bottom w:w="80" w:type="dxa"/>
              <w:right w:w="110" w:type="dxa"/>
            </w:tcMar>
            <w:vAlign w:val="center"/>
          </w:tcPr>
          <w:p w14:paraId="7DF35038" w14:textId="77777777" w:rsidR="00E774C7" w:rsidRDefault="00000000">
            <w:r>
              <w:rPr>
                <w:color w:val="202020"/>
                <w:sz w:val="18"/>
                <w:szCs w:val="18"/>
              </w:rPr>
              <w:t>EduVision_</w:t>
            </w:r>
            <w:proofErr w:type="gramStart"/>
            <w:r>
              <w:rPr>
                <w:color w:val="202020"/>
                <w:sz w:val="18"/>
                <w:szCs w:val="18"/>
              </w:rPr>
              <w:t>DV.twbx</w:t>
            </w:r>
            <w:proofErr w:type="gramEnd"/>
          </w:p>
        </w:tc>
        <w:tc>
          <w:tcPr>
            <w:tcW w:w="4600" w:type="dxa"/>
            <w:shd w:val="clear" w:color="auto" w:fill="FFFFFF"/>
            <w:tcMar>
              <w:top w:w="80" w:type="dxa"/>
              <w:left w:w="110" w:type="dxa"/>
              <w:bottom w:w="80" w:type="dxa"/>
              <w:right w:w="110" w:type="dxa"/>
            </w:tcMar>
            <w:vAlign w:val="center"/>
          </w:tcPr>
          <w:p w14:paraId="7A5971FF" w14:textId="77777777" w:rsidR="00E774C7" w:rsidRDefault="00000000">
            <w:r>
              <w:rPr>
                <w:color w:val="202020"/>
                <w:sz w:val="18"/>
                <w:szCs w:val="18"/>
              </w:rPr>
              <w:t>Final, fully integrated Tableau workbook</w:t>
            </w:r>
          </w:p>
        </w:tc>
      </w:tr>
    </w:tbl>
    <w:p w14:paraId="15D04CB3" w14:textId="77777777" w:rsidR="00A552EC" w:rsidRDefault="00A552EC">
      <w:pPr>
        <w:pStyle w:val="Heading1"/>
        <w:pBdr>
          <w:bottom w:val="single" w:sz="8" w:space="4" w:color="1F2A44"/>
        </w:pBdr>
        <w:spacing w:before="360" w:after="200"/>
        <w:rPr>
          <w:b/>
          <w:bCs/>
          <w:color w:val="1F2A44"/>
          <w:sz w:val="30"/>
          <w:szCs w:val="30"/>
        </w:rPr>
      </w:pPr>
    </w:p>
    <w:p w14:paraId="7690F7CB" w14:textId="77777777" w:rsidR="00A552EC" w:rsidRDefault="00A552EC">
      <w:pPr>
        <w:pStyle w:val="Heading1"/>
        <w:pBdr>
          <w:bottom w:val="single" w:sz="8" w:space="4" w:color="1F2A44"/>
        </w:pBdr>
        <w:spacing w:before="360" w:after="200"/>
        <w:rPr>
          <w:b/>
          <w:bCs/>
          <w:color w:val="1F2A44"/>
          <w:sz w:val="30"/>
          <w:szCs w:val="30"/>
        </w:rPr>
      </w:pPr>
    </w:p>
    <w:p w14:paraId="7C393A75" w14:textId="731B3A1A" w:rsidR="00E774C7" w:rsidRDefault="00000000">
      <w:pPr>
        <w:pStyle w:val="Heading1"/>
        <w:pBdr>
          <w:bottom w:val="single" w:sz="8" w:space="4" w:color="1F2A44"/>
        </w:pBdr>
        <w:spacing w:before="360" w:after="200"/>
      </w:pPr>
      <w:r>
        <w:rPr>
          <w:b/>
          <w:bCs/>
          <w:color w:val="1F2A44"/>
          <w:sz w:val="30"/>
          <w:szCs w:val="30"/>
        </w:rPr>
        <w:t>12. Conclusion</w:t>
      </w:r>
    </w:p>
    <w:p w14:paraId="3A848534" w14:textId="77777777" w:rsidR="00E774C7" w:rsidRDefault="00000000">
      <w:pPr>
        <w:spacing w:after="160" w:line="276" w:lineRule="auto"/>
        <w:jc w:val="both"/>
      </w:pPr>
      <w:r>
        <w:rPr>
          <w:color w:val="202020"/>
        </w:rPr>
        <w:t>EduVision DV delivers on its original project statement: raw QS and ARWU ranking data has been collected, merged, cleaned to better than 95% completeness, and transformed into six standardized education KPIs on a common 0–100 scale. Those KPIs power four interconnected Tableau dashboards — University Overview, Research Analytics, Student Analytics, and Country Comparison — each addressing a distinct audience need, from institution-level exploration to national benchmarking.</w:t>
      </w:r>
    </w:p>
    <w:p w14:paraId="08F6E88C" w14:textId="77777777" w:rsidR="00E774C7" w:rsidRDefault="00000000">
      <w:pPr>
        <w:spacing w:after="160" w:line="276" w:lineRule="auto"/>
        <w:jc w:val="both"/>
        <w:rPr>
          <w:color w:val="202020"/>
        </w:rPr>
      </w:pPr>
      <w:r>
        <w:rPr>
          <w:color w:val="202020"/>
        </w:rPr>
        <w:t>The resulting workbook, EduVision_</w:t>
      </w:r>
      <w:proofErr w:type="gramStart"/>
      <w:r>
        <w:rPr>
          <w:color w:val="202020"/>
        </w:rPr>
        <w:t>DV.twbx</w:t>
      </w:r>
      <w:proofErr w:type="gramEnd"/>
      <w:r>
        <w:rPr>
          <w:color w:val="202020"/>
        </w:rPr>
        <w:t>, is a portfolio-ready deliverable that demonstrates the full analytics pipeline end to end: data engineering, KPI design, and interactive dashboard development, all documented and validated against the evaluation criteria defined at project kickoff.</w:t>
      </w:r>
    </w:p>
    <w:p w14:paraId="4ADF21DF" w14:textId="77777777" w:rsidR="00580534" w:rsidRDefault="00580534">
      <w:pPr>
        <w:spacing w:after="160" w:line="276" w:lineRule="auto"/>
        <w:jc w:val="both"/>
        <w:rPr>
          <w:color w:val="202020"/>
        </w:rPr>
      </w:pPr>
    </w:p>
    <w:p w14:paraId="7C6B7C52" w14:textId="77777777" w:rsidR="00580534" w:rsidRDefault="00580534">
      <w:pPr>
        <w:spacing w:after="160" w:line="276" w:lineRule="auto"/>
        <w:jc w:val="both"/>
        <w:rPr>
          <w:color w:val="202020"/>
        </w:rPr>
      </w:pPr>
    </w:p>
    <w:p w14:paraId="1364E53B" w14:textId="55BCEB9C" w:rsidR="00580534" w:rsidRPr="00580534" w:rsidRDefault="00580534" w:rsidP="00A552EC">
      <w:pPr>
        <w:pStyle w:val="Heading1"/>
        <w:pBdr>
          <w:bottom w:val="single" w:sz="8" w:space="4" w:color="1F2A44"/>
        </w:pBdr>
        <w:spacing w:before="360" w:after="200"/>
        <w:rPr>
          <w:b/>
          <w:bCs/>
          <w:color w:val="0A2F41" w:themeColor="accent1" w:themeShade="80"/>
          <w:sz w:val="30"/>
          <w:szCs w:val="30"/>
        </w:rPr>
      </w:pPr>
      <w:r w:rsidRPr="00A552EC">
        <w:rPr>
          <w:b/>
          <w:bCs/>
          <w:color w:val="1F2A44"/>
          <w:sz w:val="30"/>
          <w:szCs w:val="30"/>
        </w:rPr>
        <w:t xml:space="preserve">13. </w:t>
      </w:r>
      <w:r w:rsidRPr="00A552EC">
        <w:rPr>
          <w:b/>
          <w:bCs/>
          <w:color w:val="1F2A44"/>
          <w:sz w:val="30"/>
          <w:szCs w:val="30"/>
        </w:rPr>
        <w:t>Appendix</w:t>
      </w:r>
      <w:r w:rsidRPr="00580534">
        <w:rPr>
          <w:b/>
          <w:bCs/>
          <w:color w:val="0A2F41" w:themeColor="accent1" w:themeShade="80"/>
          <w:sz w:val="30"/>
          <w:szCs w:val="30"/>
        </w:rPr>
        <w:t xml:space="preserve"> </w:t>
      </w:r>
      <w:r w:rsidRPr="00580534">
        <w:rPr>
          <w:b/>
          <w:bCs/>
          <w:color w:val="0A2F41" w:themeColor="accent1" w:themeShade="80"/>
          <w:sz w:val="30"/>
          <w:szCs w:val="30"/>
        </w:rPr>
        <w:t>A</w:t>
      </w:r>
      <w:r w:rsidRPr="00580534">
        <w:rPr>
          <w:b/>
          <w:bCs/>
          <w:color w:val="0A2F41" w:themeColor="accent1" w:themeShade="80"/>
          <w:sz w:val="30"/>
          <w:szCs w:val="30"/>
        </w:rPr>
        <w:t xml:space="preserve"> — Data Cleaning Operations Log</w:t>
      </w:r>
    </w:p>
    <w:p w14:paraId="20BABD43" w14:textId="77777777" w:rsidR="00580534" w:rsidRPr="00580534" w:rsidRDefault="00580534" w:rsidP="00580534">
      <w:pPr>
        <w:spacing w:after="160" w:line="276" w:lineRule="auto"/>
        <w:jc w:val="both"/>
      </w:pPr>
      <w:r w:rsidRPr="00580534">
        <w:t>Summarized from education_</w:t>
      </w:r>
      <w:proofErr w:type="gramStart"/>
      <w:r w:rsidRPr="00580534">
        <w:t>cleaning.ipynb</w:t>
      </w:r>
      <w:proofErr w:type="gramEnd"/>
      <w:r w:rsidRPr="00580534">
        <w:t>:</w:t>
      </w:r>
    </w:p>
    <w:p w14:paraId="36FB68FD" w14:textId="77777777" w:rsidR="00580534" w:rsidRPr="00580534" w:rsidRDefault="00580534" w:rsidP="00580534">
      <w:pPr>
        <w:numPr>
          <w:ilvl w:val="0"/>
          <w:numId w:val="9"/>
        </w:numPr>
        <w:spacing w:after="160" w:line="276" w:lineRule="auto"/>
        <w:jc w:val="both"/>
      </w:pPr>
      <w:r w:rsidRPr="00580534">
        <w:t>Standardized column names to snake_case (e.g. "AR SCORE" → academic_reputation_score)</w:t>
      </w:r>
    </w:p>
    <w:p w14:paraId="65F78DD8" w14:textId="77777777" w:rsidR="00580534" w:rsidRPr="00580534" w:rsidRDefault="00580534" w:rsidP="00580534">
      <w:pPr>
        <w:numPr>
          <w:ilvl w:val="0"/>
          <w:numId w:val="9"/>
        </w:numPr>
        <w:spacing w:after="160" w:line="276" w:lineRule="auto"/>
        <w:jc w:val="both"/>
      </w:pPr>
      <w:r w:rsidRPr="00580534">
        <w:t>Cleaned institution name field (removed parenthetical abbreviations, e.g. "(MIT)")</w:t>
      </w:r>
    </w:p>
    <w:p w14:paraId="650992CC" w14:textId="77777777" w:rsidR="00580534" w:rsidRPr="00580534" w:rsidRDefault="00580534" w:rsidP="00580534">
      <w:pPr>
        <w:numPr>
          <w:ilvl w:val="0"/>
          <w:numId w:val="9"/>
        </w:numPr>
        <w:spacing w:after="160" w:line="276" w:lineRule="auto"/>
        <w:jc w:val="both"/>
      </w:pPr>
      <w:r w:rsidRPr="00580534">
        <w:t>Removed duplicate institution records</w:t>
      </w:r>
    </w:p>
    <w:p w14:paraId="3B519B90" w14:textId="77777777" w:rsidR="00580534" w:rsidRPr="00580534" w:rsidRDefault="00580534" w:rsidP="00580534">
      <w:pPr>
        <w:numPr>
          <w:ilvl w:val="0"/>
          <w:numId w:val="9"/>
        </w:numPr>
        <w:spacing w:after="160" w:line="276" w:lineRule="auto"/>
        <w:jc w:val="both"/>
      </w:pPr>
      <w:r w:rsidRPr="00580534">
        <w:t>Converted text-based rank fields (handling tie symbols like "7=") into clean numeric rank columns for both QS and ARWU</w:t>
      </w:r>
    </w:p>
    <w:p w14:paraId="44C9BC07" w14:textId="77777777" w:rsidR="00580534" w:rsidRPr="00580534" w:rsidRDefault="00580534" w:rsidP="00580534">
      <w:pPr>
        <w:numPr>
          <w:ilvl w:val="0"/>
          <w:numId w:val="9"/>
        </w:numPr>
        <w:spacing w:after="160" w:line="276" w:lineRule="auto"/>
        <w:jc w:val="both"/>
      </w:pPr>
      <w:r w:rsidRPr="00580534">
        <w:t>Deliberately preserved nulls in ARWU rank where an institution is legitimately unranked, rather than imputing a value</w:t>
      </w:r>
    </w:p>
    <w:p w14:paraId="0A3F34C9" w14:textId="77777777" w:rsidR="00580534" w:rsidRPr="00580534" w:rsidRDefault="00580534" w:rsidP="00580534">
      <w:pPr>
        <w:numPr>
          <w:ilvl w:val="0"/>
          <w:numId w:val="9"/>
        </w:numPr>
        <w:spacing w:after="160" w:line="276" w:lineRule="auto"/>
        <w:jc w:val="both"/>
      </w:pPr>
      <w:r w:rsidRPr="00580534">
        <w:t>Created ranking-band categories (Top 10, Nov-50, 51-100, 101-500, Unranked) for both systems</w:t>
      </w:r>
    </w:p>
    <w:p w14:paraId="35D8A723" w14:textId="77777777" w:rsidR="00580534" w:rsidRPr="00580534" w:rsidRDefault="00580534" w:rsidP="00580534">
      <w:pPr>
        <w:numPr>
          <w:ilvl w:val="0"/>
          <w:numId w:val="9"/>
        </w:numPr>
        <w:spacing w:after="160" w:line="276" w:lineRule="auto"/>
        <w:jc w:val="both"/>
      </w:pPr>
      <w:r w:rsidRPr="00580534">
        <w:t>Computed rank difference and absolute rank difference between QS and ARWU to flag divergence between the two systems</w:t>
      </w:r>
    </w:p>
    <w:p w14:paraId="5390B252" w14:textId="77777777" w:rsidR="00580534" w:rsidRPr="00580534" w:rsidRDefault="00580534" w:rsidP="00580534">
      <w:pPr>
        <w:numPr>
          <w:ilvl w:val="0"/>
          <w:numId w:val="9"/>
        </w:numPr>
        <w:spacing w:after="160" w:line="276" w:lineRule="auto"/>
        <w:jc w:val="both"/>
      </w:pPr>
      <w:r w:rsidRPr="00580534">
        <w:t>Standardized country names for consistent geographic joins/mapping</w:t>
      </w:r>
    </w:p>
    <w:p w14:paraId="7115CE00" w14:textId="77777777" w:rsidR="00580534" w:rsidRPr="00580534" w:rsidRDefault="00580534" w:rsidP="00580534">
      <w:pPr>
        <w:numPr>
          <w:ilvl w:val="0"/>
          <w:numId w:val="9"/>
        </w:numPr>
        <w:spacing w:after="160" w:line="276" w:lineRule="auto"/>
        <w:jc w:val="both"/>
      </w:pPr>
      <w:r w:rsidRPr="00580534">
        <w:t>Final validation pass confirming &lt;2% missing values across fields used for KPIs and dashboard visuals</w:t>
      </w:r>
    </w:p>
    <w:p w14:paraId="4356C0F3" w14:textId="77777777" w:rsidR="00580534" w:rsidRDefault="00580534">
      <w:pPr>
        <w:spacing w:after="160" w:line="276" w:lineRule="auto"/>
        <w:jc w:val="both"/>
      </w:pPr>
    </w:p>
    <w:p w14:paraId="5FD28A04" w14:textId="77777777" w:rsidR="00580534" w:rsidRPr="00580534" w:rsidRDefault="00580534" w:rsidP="00580534">
      <w:pPr>
        <w:spacing w:after="160" w:line="276" w:lineRule="auto"/>
        <w:ind w:left="360"/>
        <w:jc w:val="both"/>
      </w:pPr>
    </w:p>
    <w:p w14:paraId="25153A23" w14:textId="2DBBDFD4" w:rsidR="00580534" w:rsidRPr="00A552EC" w:rsidRDefault="00580534" w:rsidP="00A552EC">
      <w:pPr>
        <w:pStyle w:val="Heading1"/>
        <w:pBdr>
          <w:bottom w:val="single" w:sz="8" w:space="4" w:color="1F2A44"/>
        </w:pBdr>
        <w:spacing w:before="360" w:after="200"/>
        <w:rPr>
          <w:b/>
          <w:bCs/>
          <w:color w:val="1F2A44"/>
          <w:sz w:val="30"/>
          <w:szCs w:val="30"/>
        </w:rPr>
      </w:pPr>
      <w:r w:rsidRPr="00A552EC">
        <w:rPr>
          <w:b/>
          <w:bCs/>
          <w:color w:val="1F2A44"/>
          <w:sz w:val="30"/>
          <w:szCs w:val="30"/>
        </w:rPr>
        <w:lastRenderedPageBreak/>
        <w:t xml:space="preserve">Appendix </w:t>
      </w:r>
      <w:r w:rsidRPr="00A552EC">
        <w:rPr>
          <w:b/>
          <w:bCs/>
          <w:color w:val="1F2A44"/>
          <w:sz w:val="30"/>
          <w:szCs w:val="30"/>
        </w:rPr>
        <w:t>B</w:t>
      </w:r>
      <w:r w:rsidRPr="00A552EC">
        <w:rPr>
          <w:b/>
          <w:bCs/>
          <w:color w:val="1F2A44"/>
          <w:sz w:val="30"/>
          <w:szCs w:val="30"/>
        </w:rPr>
        <w:t xml:space="preserve"> — Evaluation Criteria &amp; Tech Stack</w:t>
      </w:r>
    </w:p>
    <w:p w14:paraId="1100A721" w14:textId="152AC6B1" w:rsidR="00580534" w:rsidRPr="00580534" w:rsidRDefault="00580534" w:rsidP="00580534">
      <w:pPr>
        <w:spacing w:after="160" w:line="276" w:lineRule="auto"/>
        <w:jc w:val="both"/>
        <w:rPr>
          <w:color w:val="0F4761" w:themeColor="accent1" w:themeShade="BF"/>
          <w:sz w:val="24"/>
          <w:szCs w:val="24"/>
        </w:rPr>
      </w:pPr>
      <w:r w:rsidRPr="00580534">
        <w:rPr>
          <w:b/>
          <w:bCs/>
          <w:color w:val="0F4761" w:themeColor="accent1" w:themeShade="BF"/>
          <w:sz w:val="24"/>
          <w:szCs w:val="24"/>
        </w:rPr>
        <w:t>Evaluation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6"/>
        <w:gridCol w:w="2332"/>
        <w:gridCol w:w="2143"/>
        <w:gridCol w:w="2159"/>
      </w:tblGrid>
      <w:tr w:rsidR="00580534" w:rsidRPr="00580534" w14:paraId="6E2876F1" w14:textId="77777777">
        <w:trPr>
          <w:tblHeader/>
          <w:tblCellSpacing w:w="15" w:type="dxa"/>
        </w:trPr>
        <w:tc>
          <w:tcPr>
            <w:tcW w:w="0" w:type="auto"/>
            <w:vAlign w:val="center"/>
            <w:hideMark/>
          </w:tcPr>
          <w:p w14:paraId="61184453" w14:textId="77777777" w:rsidR="00580534" w:rsidRPr="00580534" w:rsidRDefault="00580534" w:rsidP="00580534">
            <w:pPr>
              <w:spacing w:after="160" w:line="276" w:lineRule="auto"/>
              <w:jc w:val="both"/>
              <w:rPr>
                <w:b/>
                <w:bCs/>
                <w:color w:val="0F4761" w:themeColor="accent1" w:themeShade="BF"/>
              </w:rPr>
            </w:pPr>
            <w:r w:rsidRPr="00580534">
              <w:rPr>
                <w:b/>
                <w:bCs/>
                <w:color w:val="0F4761" w:themeColor="accent1" w:themeShade="BF"/>
              </w:rPr>
              <w:t>Milestone</w:t>
            </w:r>
          </w:p>
        </w:tc>
        <w:tc>
          <w:tcPr>
            <w:tcW w:w="0" w:type="auto"/>
            <w:vAlign w:val="center"/>
            <w:hideMark/>
          </w:tcPr>
          <w:p w14:paraId="7B020BDA" w14:textId="77777777" w:rsidR="00580534" w:rsidRPr="00580534" w:rsidRDefault="00580534" w:rsidP="00580534">
            <w:pPr>
              <w:spacing w:after="160" w:line="276" w:lineRule="auto"/>
              <w:jc w:val="both"/>
              <w:rPr>
                <w:b/>
                <w:bCs/>
                <w:color w:val="0F4761" w:themeColor="accent1" w:themeShade="BF"/>
              </w:rPr>
            </w:pPr>
            <w:r w:rsidRPr="00580534">
              <w:rPr>
                <w:b/>
                <w:bCs/>
                <w:color w:val="0F4761" w:themeColor="accent1" w:themeShade="BF"/>
              </w:rPr>
              <w:t>Focus Area</w:t>
            </w:r>
          </w:p>
        </w:tc>
        <w:tc>
          <w:tcPr>
            <w:tcW w:w="0" w:type="auto"/>
            <w:vAlign w:val="center"/>
            <w:hideMark/>
          </w:tcPr>
          <w:p w14:paraId="188D9306" w14:textId="77777777" w:rsidR="00580534" w:rsidRPr="00580534" w:rsidRDefault="00580534" w:rsidP="00580534">
            <w:pPr>
              <w:spacing w:after="160" w:line="276" w:lineRule="auto"/>
              <w:jc w:val="both"/>
              <w:rPr>
                <w:b/>
                <w:bCs/>
                <w:color w:val="0F4761" w:themeColor="accent1" w:themeShade="BF"/>
              </w:rPr>
            </w:pPr>
            <w:r w:rsidRPr="00580534">
              <w:rPr>
                <w:b/>
                <w:bCs/>
                <w:color w:val="0F4761" w:themeColor="accent1" w:themeShade="BF"/>
              </w:rPr>
              <w:t>Metric</w:t>
            </w:r>
          </w:p>
        </w:tc>
        <w:tc>
          <w:tcPr>
            <w:tcW w:w="0" w:type="auto"/>
            <w:vAlign w:val="center"/>
            <w:hideMark/>
          </w:tcPr>
          <w:p w14:paraId="0A4E0528" w14:textId="77777777" w:rsidR="00580534" w:rsidRPr="00580534" w:rsidRDefault="00580534" w:rsidP="00580534">
            <w:pPr>
              <w:spacing w:after="160" w:line="276" w:lineRule="auto"/>
              <w:jc w:val="both"/>
              <w:rPr>
                <w:b/>
                <w:bCs/>
                <w:color w:val="0F4761" w:themeColor="accent1" w:themeShade="BF"/>
              </w:rPr>
            </w:pPr>
            <w:r w:rsidRPr="00580534">
              <w:rPr>
                <w:b/>
                <w:bCs/>
                <w:color w:val="0F4761" w:themeColor="accent1" w:themeShade="BF"/>
              </w:rPr>
              <w:t>Target</w:t>
            </w:r>
          </w:p>
        </w:tc>
      </w:tr>
      <w:tr w:rsidR="00580534" w:rsidRPr="00580534" w14:paraId="216AF220" w14:textId="77777777">
        <w:trPr>
          <w:tblCellSpacing w:w="15" w:type="dxa"/>
        </w:trPr>
        <w:tc>
          <w:tcPr>
            <w:tcW w:w="0" w:type="auto"/>
            <w:vAlign w:val="center"/>
            <w:hideMark/>
          </w:tcPr>
          <w:p w14:paraId="2167EA39" w14:textId="77777777" w:rsidR="00580534" w:rsidRPr="00580534" w:rsidRDefault="00580534" w:rsidP="00580534">
            <w:pPr>
              <w:spacing w:after="160" w:line="276" w:lineRule="auto"/>
              <w:jc w:val="both"/>
            </w:pPr>
            <w:r w:rsidRPr="00580534">
              <w:t>1</w:t>
            </w:r>
          </w:p>
        </w:tc>
        <w:tc>
          <w:tcPr>
            <w:tcW w:w="0" w:type="auto"/>
            <w:vAlign w:val="center"/>
            <w:hideMark/>
          </w:tcPr>
          <w:p w14:paraId="2A914B20" w14:textId="77777777" w:rsidR="00580534" w:rsidRPr="00580534" w:rsidRDefault="00580534" w:rsidP="00580534">
            <w:pPr>
              <w:spacing w:after="160" w:line="276" w:lineRule="auto"/>
              <w:jc w:val="both"/>
            </w:pPr>
            <w:r w:rsidRPr="00580534">
              <w:t>Data Collection &amp; Cleaning</w:t>
            </w:r>
          </w:p>
        </w:tc>
        <w:tc>
          <w:tcPr>
            <w:tcW w:w="0" w:type="auto"/>
            <w:vAlign w:val="center"/>
            <w:hideMark/>
          </w:tcPr>
          <w:p w14:paraId="22FBC9DE" w14:textId="77777777" w:rsidR="00580534" w:rsidRPr="00580534" w:rsidRDefault="00580534" w:rsidP="00580534">
            <w:pPr>
              <w:spacing w:after="160" w:line="276" w:lineRule="auto"/>
              <w:jc w:val="both"/>
            </w:pPr>
            <w:r w:rsidRPr="00580534">
              <w:t>Dataset Completeness</w:t>
            </w:r>
          </w:p>
        </w:tc>
        <w:tc>
          <w:tcPr>
            <w:tcW w:w="0" w:type="auto"/>
            <w:vAlign w:val="center"/>
            <w:hideMark/>
          </w:tcPr>
          <w:p w14:paraId="307C08D0" w14:textId="77777777" w:rsidR="00580534" w:rsidRPr="00580534" w:rsidRDefault="00580534" w:rsidP="00580534">
            <w:pPr>
              <w:spacing w:after="160" w:line="276" w:lineRule="auto"/>
              <w:jc w:val="both"/>
            </w:pPr>
            <w:r w:rsidRPr="00580534">
              <w:t>&gt;95% complete</w:t>
            </w:r>
          </w:p>
        </w:tc>
      </w:tr>
      <w:tr w:rsidR="00580534" w:rsidRPr="00580534" w14:paraId="27DDD878" w14:textId="77777777">
        <w:trPr>
          <w:tblCellSpacing w:w="15" w:type="dxa"/>
        </w:trPr>
        <w:tc>
          <w:tcPr>
            <w:tcW w:w="0" w:type="auto"/>
            <w:vAlign w:val="center"/>
            <w:hideMark/>
          </w:tcPr>
          <w:p w14:paraId="1ED771F2" w14:textId="77777777" w:rsidR="00580534" w:rsidRPr="00580534" w:rsidRDefault="00580534" w:rsidP="00580534">
            <w:pPr>
              <w:spacing w:after="160" w:line="276" w:lineRule="auto"/>
              <w:jc w:val="both"/>
            </w:pPr>
            <w:r w:rsidRPr="00580534">
              <w:t>2</w:t>
            </w:r>
          </w:p>
        </w:tc>
        <w:tc>
          <w:tcPr>
            <w:tcW w:w="0" w:type="auto"/>
            <w:vAlign w:val="center"/>
            <w:hideMark/>
          </w:tcPr>
          <w:p w14:paraId="4A3B0CDB" w14:textId="77777777" w:rsidR="00580534" w:rsidRPr="00580534" w:rsidRDefault="00580534" w:rsidP="00580534">
            <w:pPr>
              <w:spacing w:after="160" w:line="276" w:lineRule="auto"/>
              <w:jc w:val="both"/>
            </w:pPr>
            <w:r w:rsidRPr="00580534">
              <w:t>KPI Engineering</w:t>
            </w:r>
          </w:p>
        </w:tc>
        <w:tc>
          <w:tcPr>
            <w:tcW w:w="0" w:type="auto"/>
            <w:vAlign w:val="center"/>
            <w:hideMark/>
          </w:tcPr>
          <w:p w14:paraId="56691363" w14:textId="77777777" w:rsidR="00580534" w:rsidRPr="00580534" w:rsidRDefault="00580534" w:rsidP="00580534">
            <w:pPr>
              <w:spacing w:after="160" w:line="276" w:lineRule="auto"/>
              <w:jc w:val="both"/>
            </w:pPr>
            <w:r w:rsidRPr="00580534">
              <w:t>KPI Accuracy</w:t>
            </w:r>
          </w:p>
        </w:tc>
        <w:tc>
          <w:tcPr>
            <w:tcW w:w="0" w:type="auto"/>
            <w:vAlign w:val="center"/>
            <w:hideMark/>
          </w:tcPr>
          <w:p w14:paraId="1819910A" w14:textId="77777777" w:rsidR="00580534" w:rsidRPr="00580534" w:rsidRDefault="00580534" w:rsidP="00580534">
            <w:pPr>
              <w:spacing w:after="160" w:line="276" w:lineRule="auto"/>
              <w:jc w:val="both"/>
            </w:pPr>
            <w:r w:rsidRPr="00580534">
              <w:t>6+ KPIs generated</w:t>
            </w:r>
          </w:p>
        </w:tc>
      </w:tr>
      <w:tr w:rsidR="00580534" w:rsidRPr="00580534" w14:paraId="4CA25678" w14:textId="77777777">
        <w:trPr>
          <w:tblCellSpacing w:w="15" w:type="dxa"/>
        </w:trPr>
        <w:tc>
          <w:tcPr>
            <w:tcW w:w="0" w:type="auto"/>
            <w:vAlign w:val="center"/>
            <w:hideMark/>
          </w:tcPr>
          <w:p w14:paraId="04C6310A" w14:textId="77777777" w:rsidR="00580534" w:rsidRPr="00580534" w:rsidRDefault="00580534" w:rsidP="00580534">
            <w:pPr>
              <w:spacing w:after="160" w:line="276" w:lineRule="auto"/>
              <w:jc w:val="both"/>
            </w:pPr>
            <w:r w:rsidRPr="00580534">
              <w:t>3</w:t>
            </w:r>
          </w:p>
        </w:tc>
        <w:tc>
          <w:tcPr>
            <w:tcW w:w="0" w:type="auto"/>
            <w:vAlign w:val="center"/>
            <w:hideMark/>
          </w:tcPr>
          <w:p w14:paraId="4253FE03" w14:textId="77777777" w:rsidR="00580534" w:rsidRPr="00580534" w:rsidRDefault="00580534" w:rsidP="00580534">
            <w:pPr>
              <w:spacing w:after="160" w:line="276" w:lineRule="auto"/>
              <w:jc w:val="both"/>
            </w:pPr>
            <w:r w:rsidRPr="00580534">
              <w:t>Dashboard Development</w:t>
            </w:r>
          </w:p>
        </w:tc>
        <w:tc>
          <w:tcPr>
            <w:tcW w:w="0" w:type="auto"/>
            <w:vAlign w:val="center"/>
            <w:hideMark/>
          </w:tcPr>
          <w:p w14:paraId="2B448777" w14:textId="77777777" w:rsidR="00580534" w:rsidRPr="00580534" w:rsidRDefault="00580534" w:rsidP="00580534">
            <w:pPr>
              <w:spacing w:after="160" w:line="276" w:lineRule="auto"/>
              <w:jc w:val="both"/>
            </w:pPr>
            <w:r w:rsidRPr="00580534">
              <w:t>Dashboard Functionality</w:t>
            </w:r>
          </w:p>
        </w:tc>
        <w:tc>
          <w:tcPr>
            <w:tcW w:w="0" w:type="auto"/>
            <w:vAlign w:val="center"/>
            <w:hideMark/>
          </w:tcPr>
          <w:p w14:paraId="7F0DB9EB" w14:textId="77777777" w:rsidR="00580534" w:rsidRPr="00580534" w:rsidRDefault="00580534" w:rsidP="00580534">
            <w:pPr>
              <w:spacing w:after="160" w:line="276" w:lineRule="auto"/>
              <w:jc w:val="both"/>
            </w:pPr>
            <w:r w:rsidRPr="00580534">
              <w:t>4 dashboards integrated</w:t>
            </w:r>
          </w:p>
        </w:tc>
      </w:tr>
      <w:tr w:rsidR="00580534" w:rsidRPr="00580534" w14:paraId="488953B2" w14:textId="77777777">
        <w:trPr>
          <w:tblCellSpacing w:w="15" w:type="dxa"/>
        </w:trPr>
        <w:tc>
          <w:tcPr>
            <w:tcW w:w="0" w:type="auto"/>
            <w:vAlign w:val="center"/>
            <w:hideMark/>
          </w:tcPr>
          <w:p w14:paraId="0ADC1B3B" w14:textId="77777777" w:rsidR="00580534" w:rsidRPr="00580534" w:rsidRDefault="00580534" w:rsidP="00580534">
            <w:pPr>
              <w:spacing w:after="160" w:line="276" w:lineRule="auto"/>
              <w:jc w:val="both"/>
            </w:pPr>
            <w:r w:rsidRPr="00580534">
              <w:t>4</w:t>
            </w:r>
          </w:p>
        </w:tc>
        <w:tc>
          <w:tcPr>
            <w:tcW w:w="0" w:type="auto"/>
            <w:vAlign w:val="center"/>
            <w:hideMark/>
          </w:tcPr>
          <w:p w14:paraId="390D4D8C" w14:textId="77777777" w:rsidR="00580534" w:rsidRPr="00580534" w:rsidRDefault="00580534" w:rsidP="00580534">
            <w:pPr>
              <w:spacing w:after="160" w:line="276" w:lineRule="auto"/>
              <w:jc w:val="both"/>
            </w:pPr>
            <w:r w:rsidRPr="00580534">
              <w:t>Documentation &amp; Delivery</w:t>
            </w:r>
          </w:p>
        </w:tc>
        <w:tc>
          <w:tcPr>
            <w:tcW w:w="0" w:type="auto"/>
            <w:vAlign w:val="center"/>
            <w:hideMark/>
          </w:tcPr>
          <w:p w14:paraId="4E64C6A8" w14:textId="77777777" w:rsidR="00580534" w:rsidRPr="00580534" w:rsidRDefault="00580534" w:rsidP="00580534">
            <w:pPr>
              <w:spacing w:after="160" w:line="276" w:lineRule="auto"/>
              <w:jc w:val="both"/>
            </w:pPr>
            <w:r w:rsidRPr="00580534">
              <w:t>Project Quality</w:t>
            </w:r>
          </w:p>
        </w:tc>
        <w:tc>
          <w:tcPr>
            <w:tcW w:w="0" w:type="auto"/>
            <w:vAlign w:val="center"/>
            <w:hideMark/>
          </w:tcPr>
          <w:p w14:paraId="0B25E9DC" w14:textId="77777777" w:rsidR="00580534" w:rsidRPr="00580534" w:rsidRDefault="00580534" w:rsidP="00580534">
            <w:pPr>
              <w:spacing w:after="160" w:line="276" w:lineRule="auto"/>
              <w:jc w:val="both"/>
            </w:pPr>
            <w:r w:rsidRPr="00580534">
              <w:t>Portfolio ready</w:t>
            </w:r>
          </w:p>
        </w:tc>
      </w:tr>
    </w:tbl>
    <w:p w14:paraId="575CA509" w14:textId="77777777" w:rsidR="00580534" w:rsidRPr="00580534" w:rsidRDefault="00580534" w:rsidP="00580534">
      <w:pPr>
        <w:spacing w:after="160" w:line="276" w:lineRule="auto"/>
        <w:jc w:val="both"/>
        <w:rPr>
          <w:color w:val="0F4761" w:themeColor="accent1" w:themeShade="BF"/>
          <w:sz w:val="24"/>
          <w:szCs w:val="24"/>
        </w:rPr>
      </w:pPr>
      <w:r w:rsidRPr="00580534">
        <w:rPr>
          <w:b/>
          <w:bCs/>
          <w:color w:val="0F4761" w:themeColor="accent1" w:themeShade="BF"/>
          <w:sz w:val="24"/>
          <w:szCs w:val="24"/>
        </w:rPr>
        <w:t>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4905"/>
      </w:tblGrid>
      <w:tr w:rsidR="00580534" w:rsidRPr="00580534" w14:paraId="0B2D0036" w14:textId="77777777">
        <w:trPr>
          <w:tblHeader/>
          <w:tblCellSpacing w:w="15" w:type="dxa"/>
        </w:trPr>
        <w:tc>
          <w:tcPr>
            <w:tcW w:w="0" w:type="auto"/>
            <w:vAlign w:val="center"/>
            <w:hideMark/>
          </w:tcPr>
          <w:p w14:paraId="18342E27" w14:textId="77777777" w:rsidR="00580534" w:rsidRPr="00580534" w:rsidRDefault="00580534" w:rsidP="00580534">
            <w:pPr>
              <w:spacing w:after="160" w:line="276" w:lineRule="auto"/>
              <w:jc w:val="both"/>
              <w:rPr>
                <w:b/>
                <w:bCs/>
                <w:color w:val="0F4761" w:themeColor="accent1" w:themeShade="BF"/>
              </w:rPr>
            </w:pPr>
            <w:r w:rsidRPr="00580534">
              <w:rPr>
                <w:b/>
                <w:bCs/>
                <w:color w:val="0F4761" w:themeColor="accent1" w:themeShade="BF"/>
              </w:rPr>
              <w:t>Area</w:t>
            </w:r>
          </w:p>
        </w:tc>
        <w:tc>
          <w:tcPr>
            <w:tcW w:w="0" w:type="auto"/>
            <w:vAlign w:val="center"/>
            <w:hideMark/>
          </w:tcPr>
          <w:p w14:paraId="24DB4684" w14:textId="77777777" w:rsidR="00580534" w:rsidRPr="00580534" w:rsidRDefault="00580534" w:rsidP="00580534">
            <w:pPr>
              <w:spacing w:after="160" w:line="276" w:lineRule="auto"/>
              <w:jc w:val="both"/>
              <w:rPr>
                <w:b/>
                <w:bCs/>
                <w:color w:val="0F4761" w:themeColor="accent1" w:themeShade="BF"/>
              </w:rPr>
            </w:pPr>
            <w:r w:rsidRPr="00580534">
              <w:rPr>
                <w:b/>
                <w:bCs/>
                <w:color w:val="0F4761" w:themeColor="accent1" w:themeShade="BF"/>
              </w:rPr>
              <w:t>Tools / Libraries</w:t>
            </w:r>
          </w:p>
        </w:tc>
      </w:tr>
      <w:tr w:rsidR="00580534" w:rsidRPr="00580534" w14:paraId="1CB4F864" w14:textId="77777777">
        <w:trPr>
          <w:tblCellSpacing w:w="15" w:type="dxa"/>
        </w:trPr>
        <w:tc>
          <w:tcPr>
            <w:tcW w:w="0" w:type="auto"/>
            <w:vAlign w:val="center"/>
            <w:hideMark/>
          </w:tcPr>
          <w:p w14:paraId="586DCB51" w14:textId="77777777" w:rsidR="00580534" w:rsidRPr="00580534" w:rsidRDefault="00580534" w:rsidP="00580534">
            <w:pPr>
              <w:spacing w:after="160" w:line="276" w:lineRule="auto"/>
              <w:jc w:val="both"/>
            </w:pPr>
            <w:r w:rsidRPr="00580534">
              <w:t>Data Collection</w:t>
            </w:r>
          </w:p>
        </w:tc>
        <w:tc>
          <w:tcPr>
            <w:tcW w:w="0" w:type="auto"/>
            <w:vAlign w:val="center"/>
            <w:hideMark/>
          </w:tcPr>
          <w:p w14:paraId="071DC902" w14:textId="77777777" w:rsidR="00580534" w:rsidRPr="00580534" w:rsidRDefault="00580534" w:rsidP="00580534">
            <w:pPr>
              <w:spacing w:after="160" w:line="276" w:lineRule="auto"/>
              <w:jc w:val="both"/>
            </w:pPr>
            <w:r w:rsidRPr="00580534">
              <w:t>Python, QS Rankings, ARWU / World University Rankings</w:t>
            </w:r>
          </w:p>
        </w:tc>
      </w:tr>
      <w:tr w:rsidR="00580534" w:rsidRPr="00580534" w14:paraId="57A962F1" w14:textId="77777777">
        <w:trPr>
          <w:tblCellSpacing w:w="15" w:type="dxa"/>
        </w:trPr>
        <w:tc>
          <w:tcPr>
            <w:tcW w:w="0" w:type="auto"/>
            <w:vAlign w:val="center"/>
            <w:hideMark/>
          </w:tcPr>
          <w:p w14:paraId="65A9E3AD" w14:textId="77777777" w:rsidR="00580534" w:rsidRPr="00580534" w:rsidRDefault="00580534" w:rsidP="00580534">
            <w:pPr>
              <w:spacing w:after="160" w:line="276" w:lineRule="auto"/>
              <w:jc w:val="both"/>
            </w:pPr>
            <w:r w:rsidRPr="00580534">
              <w:t>Data Processing</w:t>
            </w:r>
          </w:p>
        </w:tc>
        <w:tc>
          <w:tcPr>
            <w:tcW w:w="0" w:type="auto"/>
            <w:vAlign w:val="center"/>
            <w:hideMark/>
          </w:tcPr>
          <w:p w14:paraId="41904B66" w14:textId="77777777" w:rsidR="00580534" w:rsidRPr="00580534" w:rsidRDefault="00580534" w:rsidP="00580534">
            <w:pPr>
              <w:spacing w:after="160" w:line="276" w:lineRule="auto"/>
              <w:jc w:val="both"/>
            </w:pPr>
            <w:r w:rsidRPr="00580534">
              <w:t>Pandas, NumPy</w:t>
            </w:r>
          </w:p>
        </w:tc>
      </w:tr>
      <w:tr w:rsidR="00580534" w:rsidRPr="00580534" w14:paraId="7AE26FE9" w14:textId="77777777">
        <w:trPr>
          <w:tblCellSpacing w:w="15" w:type="dxa"/>
        </w:trPr>
        <w:tc>
          <w:tcPr>
            <w:tcW w:w="0" w:type="auto"/>
            <w:vAlign w:val="center"/>
            <w:hideMark/>
          </w:tcPr>
          <w:p w14:paraId="18459E0E" w14:textId="77777777" w:rsidR="00580534" w:rsidRPr="00580534" w:rsidRDefault="00580534" w:rsidP="00580534">
            <w:pPr>
              <w:spacing w:after="160" w:line="276" w:lineRule="auto"/>
              <w:jc w:val="both"/>
            </w:pPr>
            <w:r w:rsidRPr="00580534">
              <w:t>Data Cleaning</w:t>
            </w:r>
          </w:p>
        </w:tc>
        <w:tc>
          <w:tcPr>
            <w:tcW w:w="0" w:type="auto"/>
            <w:vAlign w:val="center"/>
            <w:hideMark/>
          </w:tcPr>
          <w:p w14:paraId="41CD4525" w14:textId="77777777" w:rsidR="00580534" w:rsidRPr="00580534" w:rsidRDefault="00580534" w:rsidP="00580534">
            <w:pPr>
              <w:spacing w:after="160" w:line="276" w:lineRule="auto"/>
              <w:jc w:val="both"/>
            </w:pPr>
            <w:r w:rsidRPr="00580534">
              <w:t>Python (Jupyter Notebook)</w:t>
            </w:r>
          </w:p>
        </w:tc>
      </w:tr>
      <w:tr w:rsidR="00580534" w:rsidRPr="00580534" w14:paraId="6E0609A4" w14:textId="77777777">
        <w:trPr>
          <w:tblCellSpacing w:w="15" w:type="dxa"/>
        </w:trPr>
        <w:tc>
          <w:tcPr>
            <w:tcW w:w="0" w:type="auto"/>
            <w:vAlign w:val="center"/>
            <w:hideMark/>
          </w:tcPr>
          <w:p w14:paraId="5BEC24D2" w14:textId="77777777" w:rsidR="00580534" w:rsidRPr="00580534" w:rsidRDefault="00580534" w:rsidP="00580534">
            <w:pPr>
              <w:spacing w:after="160" w:line="276" w:lineRule="auto"/>
              <w:jc w:val="both"/>
            </w:pPr>
            <w:r w:rsidRPr="00580534">
              <w:t>Visualization</w:t>
            </w:r>
          </w:p>
        </w:tc>
        <w:tc>
          <w:tcPr>
            <w:tcW w:w="0" w:type="auto"/>
            <w:vAlign w:val="center"/>
            <w:hideMark/>
          </w:tcPr>
          <w:p w14:paraId="0D4D6AC7" w14:textId="77777777" w:rsidR="00580534" w:rsidRPr="00580534" w:rsidRDefault="00580534" w:rsidP="00580534">
            <w:pPr>
              <w:spacing w:after="160" w:line="276" w:lineRule="auto"/>
              <w:jc w:val="both"/>
            </w:pPr>
            <w:r w:rsidRPr="00580534">
              <w:t>Tableau Desktop / Tableau Public</w:t>
            </w:r>
          </w:p>
        </w:tc>
      </w:tr>
      <w:tr w:rsidR="00580534" w:rsidRPr="00580534" w14:paraId="2832FF77" w14:textId="77777777">
        <w:trPr>
          <w:tblCellSpacing w:w="15" w:type="dxa"/>
        </w:trPr>
        <w:tc>
          <w:tcPr>
            <w:tcW w:w="0" w:type="auto"/>
            <w:vAlign w:val="center"/>
            <w:hideMark/>
          </w:tcPr>
          <w:p w14:paraId="78ACBF01" w14:textId="77777777" w:rsidR="00580534" w:rsidRPr="00580534" w:rsidRDefault="00580534" w:rsidP="00580534">
            <w:pPr>
              <w:spacing w:after="160" w:line="276" w:lineRule="auto"/>
              <w:jc w:val="both"/>
            </w:pPr>
            <w:r w:rsidRPr="00580534">
              <w:t>Dashboard Integration</w:t>
            </w:r>
          </w:p>
        </w:tc>
        <w:tc>
          <w:tcPr>
            <w:tcW w:w="0" w:type="auto"/>
            <w:vAlign w:val="center"/>
            <w:hideMark/>
          </w:tcPr>
          <w:p w14:paraId="16286EE5" w14:textId="77777777" w:rsidR="00580534" w:rsidRPr="00580534" w:rsidRDefault="00580534" w:rsidP="00580534">
            <w:pPr>
              <w:spacing w:after="160" w:line="276" w:lineRule="auto"/>
              <w:jc w:val="both"/>
            </w:pPr>
            <w:r w:rsidRPr="00580534">
              <w:t>Tableau Filters, Parameters, Actions</w:t>
            </w:r>
          </w:p>
        </w:tc>
      </w:tr>
      <w:tr w:rsidR="00580534" w:rsidRPr="00580534" w14:paraId="6506C5EA" w14:textId="77777777">
        <w:trPr>
          <w:tblCellSpacing w:w="15" w:type="dxa"/>
        </w:trPr>
        <w:tc>
          <w:tcPr>
            <w:tcW w:w="0" w:type="auto"/>
            <w:vAlign w:val="center"/>
            <w:hideMark/>
          </w:tcPr>
          <w:p w14:paraId="477F3B84" w14:textId="77777777" w:rsidR="00580534" w:rsidRPr="00580534" w:rsidRDefault="00580534" w:rsidP="00580534">
            <w:pPr>
              <w:spacing w:after="160" w:line="276" w:lineRule="auto"/>
              <w:jc w:val="both"/>
            </w:pPr>
            <w:r w:rsidRPr="00580534">
              <w:t>Documentation</w:t>
            </w:r>
          </w:p>
        </w:tc>
        <w:tc>
          <w:tcPr>
            <w:tcW w:w="0" w:type="auto"/>
            <w:vAlign w:val="center"/>
            <w:hideMark/>
          </w:tcPr>
          <w:p w14:paraId="771B1523" w14:textId="77777777" w:rsidR="00580534" w:rsidRPr="00580534" w:rsidRDefault="00580534" w:rsidP="00580534">
            <w:pPr>
              <w:spacing w:after="160" w:line="276" w:lineRule="auto"/>
              <w:jc w:val="both"/>
            </w:pPr>
            <w:r w:rsidRPr="00580534">
              <w:t>Markdown, GitHub</w:t>
            </w:r>
          </w:p>
        </w:tc>
      </w:tr>
    </w:tbl>
    <w:p w14:paraId="03166E71" w14:textId="77777777" w:rsidR="00580534" w:rsidRDefault="00580534">
      <w:pPr>
        <w:spacing w:after="160" w:line="276" w:lineRule="auto"/>
        <w:jc w:val="both"/>
      </w:pPr>
    </w:p>
    <w:sectPr w:rsidR="00580534">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7A895" w14:textId="77777777" w:rsidR="00B4371B" w:rsidRDefault="00B4371B">
      <w:r>
        <w:separator/>
      </w:r>
    </w:p>
  </w:endnote>
  <w:endnote w:type="continuationSeparator" w:id="0">
    <w:p w14:paraId="4911355B" w14:textId="77777777" w:rsidR="00B4371B" w:rsidRDefault="00B43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D084F" w14:textId="77777777" w:rsidR="00E774C7" w:rsidRDefault="00000000">
    <w:pPr>
      <w:pBdr>
        <w:top w:val="single" w:sz="4" w:space="4" w:color="D9D9D9"/>
      </w:pBdr>
      <w:jc w:val="center"/>
    </w:pPr>
    <w:r>
      <w:rPr>
        <w:color w:val="595959"/>
        <w:sz w:val="16"/>
        <w:szCs w:val="16"/>
      </w:rPr>
      <w:t xml:space="preserve">EduVision DV — Higher Education Performance Dashboard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375AD6">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375AD6">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D78F8" w14:textId="77777777" w:rsidR="00B4371B" w:rsidRDefault="00B4371B">
      <w:r>
        <w:separator/>
      </w:r>
    </w:p>
  </w:footnote>
  <w:footnote w:type="continuationSeparator" w:id="0">
    <w:p w14:paraId="040A15C5" w14:textId="77777777" w:rsidR="00B4371B" w:rsidRDefault="00B437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2465" w14:textId="77777777" w:rsidR="00E774C7" w:rsidRDefault="00000000">
    <w:pPr>
      <w:jc w:val="right"/>
    </w:pPr>
    <w:r>
      <w:rPr>
        <w:i/>
        <w:iCs/>
        <w:color w:val="595959"/>
        <w:sz w:val="16"/>
        <w:szCs w:val="16"/>
      </w:rPr>
      <w:t>EduVision DV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E139C"/>
    <w:multiLevelType w:val="multilevel"/>
    <w:tmpl w:val="1D24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B20EA"/>
    <w:multiLevelType w:val="hybridMultilevel"/>
    <w:tmpl w:val="E90E6C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5545CA"/>
    <w:multiLevelType w:val="hybridMultilevel"/>
    <w:tmpl w:val="3F502C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5A91736"/>
    <w:multiLevelType w:val="hybridMultilevel"/>
    <w:tmpl w:val="2ED4CC7A"/>
    <w:lvl w:ilvl="0" w:tplc="1932D8A2">
      <w:start w:val="1"/>
      <w:numFmt w:val="bullet"/>
      <w:lvlText w:val="●"/>
      <w:lvlJc w:val="left"/>
      <w:pPr>
        <w:ind w:left="720" w:hanging="360"/>
      </w:pPr>
    </w:lvl>
    <w:lvl w:ilvl="1" w:tplc="6B2E23A8">
      <w:start w:val="1"/>
      <w:numFmt w:val="bullet"/>
      <w:lvlText w:val="○"/>
      <w:lvlJc w:val="left"/>
      <w:pPr>
        <w:ind w:left="1440" w:hanging="360"/>
      </w:pPr>
    </w:lvl>
    <w:lvl w:ilvl="2" w:tplc="61D6C3AA">
      <w:start w:val="1"/>
      <w:numFmt w:val="bullet"/>
      <w:lvlText w:val="■"/>
      <w:lvlJc w:val="left"/>
      <w:pPr>
        <w:ind w:left="2160" w:hanging="360"/>
      </w:pPr>
    </w:lvl>
    <w:lvl w:ilvl="3" w:tplc="CB1A4210">
      <w:start w:val="1"/>
      <w:numFmt w:val="bullet"/>
      <w:lvlText w:val="●"/>
      <w:lvlJc w:val="left"/>
      <w:pPr>
        <w:ind w:left="2880" w:hanging="360"/>
      </w:pPr>
    </w:lvl>
    <w:lvl w:ilvl="4" w:tplc="B0008CC0">
      <w:start w:val="1"/>
      <w:numFmt w:val="bullet"/>
      <w:lvlText w:val="○"/>
      <w:lvlJc w:val="left"/>
      <w:pPr>
        <w:ind w:left="3600" w:hanging="360"/>
      </w:pPr>
    </w:lvl>
    <w:lvl w:ilvl="5" w:tplc="046020D4">
      <w:start w:val="1"/>
      <w:numFmt w:val="bullet"/>
      <w:lvlText w:val="■"/>
      <w:lvlJc w:val="left"/>
      <w:pPr>
        <w:ind w:left="4320" w:hanging="360"/>
      </w:pPr>
    </w:lvl>
    <w:lvl w:ilvl="6" w:tplc="DBDAEF10">
      <w:start w:val="1"/>
      <w:numFmt w:val="bullet"/>
      <w:lvlText w:val="●"/>
      <w:lvlJc w:val="left"/>
      <w:pPr>
        <w:ind w:left="5040" w:hanging="360"/>
      </w:pPr>
    </w:lvl>
    <w:lvl w:ilvl="7" w:tplc="C582A552">
      <w:start w:val="1"/>
      <w:numFmt w:val="bullet"/>
      <w:lvlText w:val="●"/>
      <w:lvlJc w:val="left"/>
      <w:pPr>
        <w:ind w:left="5760" w:hanging="360"/>
      </w:pPr>
    </w:lvl>
    <w:lvl w:ilvl="8" w:tplc="BA165792">
      <w:start w:val="1"/>
      <w:numFmt w:val="bullet"/>
      <w:lvlText w:val="●"/>
      <w:lvlJc w:val="left"/>
      <w:pPr>
        <w:ind w:left="6480" w:hanging="360"/>
      </w:pPr>
    </w:lvl>
  </w:abstractNum>
  <w:abstractNum w:abstractNumId="4" w15:restartNumberingAfterBreak="0">
    <w:nsid w:val="58A610D9"/>
    <w:multiLevelType w:val="hybridMultilevel"/>
    <w:tmpl w:val="36608598"/>
    <w:lvl w:ilvl="0" w:tplc="AB28B058">
      <w:start w:val="1"/>
      <w:numFmt w:val="bullet"/>
      <w:lvlText w:val="•"/>
      <w:lvlJc w:val="left"/>
      <w:pPr>
        <w:ind w:left="460" w:hanging="260"/>
      </w:pPr>
    </w:lvl>
    <w:lvl w:ilvl="1" w:tplc="A4B0A376">
      <w:start w:val="1"/>
      <w:numFmt w:val="bullet"/>
      <w:lvlText w:val="◦"/>
      <w:lvlJc w:val="left"/>
      <w:pPr>
        <w:ind w:left="820" w:hanging="260"/>
      </w:pPr>
    </w:lvl>
    <w:lvl w:ilvl="2" w:tplc="8A7ACD1E">
      <w:numFmt w:val="decimal"/>
      <w:lvlText w:val=""/>
      <w:lvlJc w:val="left"/>
    </w:lvl>
    <w:lvl w:ilvl="3" w:tplc="99ACFCB6">
      <w:numFmt w:val="decimal"/>
      <w:lvlText w:val=""/>
      <w:lvlJc w:val="left"/>
    </w:lvl>
    <w:lvl w:ilvl="4" w:tplc="6AD6108C">
      <w:numFmt w:val="decimal"/>
      <w:lvlText w:val=""/>
      <w:lvlJc w:val="left"/>
    </w:lvl>
    <w:lvl w:ilvl="5" w:tplc="16BA5612">
      <w:numFmt w:val="decimal"/>
      <w:lvlText w:val=""/>
      <w:lvlJc w:val="left"/>
    </w:lvl>
    <w:lvl w:ilvl="6" w:tplc="7CA67DFC">
      <w:numFmt w:val="decimal"/>
      <w:lvlText w:val=""/>
      <w:lvlJc w:val="left"/>
    </w:lvl>
    <w:lvl w:ilvl="7" w:tplc="D1845E42">
      <w:numFmt w:val="decimal"/>
      <w:lvlText w:val=""/>
      <w:lvlJc w:val="left"/>
    </w:lvl>
    <w:lvl w:ilvl="8" w:tplc="6A04BC60">
      <w:numFmt w:val="decimal"/>
      <w:lvlText w:val=""/>
      <w:lvlJc w:val="left"/>
    </w:lvl>
  </w:abstractNum>
  <w:abstractNum w:abstractNumId="5" w15:restartNumberingAfterBreak="0">
    <w:nsid w:val="5F365794"/>
    <w:multiLevelType w:val="hybridMultilevel"/>
    <w:tmpl w:val="1F020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4FB4BB0"/>
    <w:multiLevelType w:val="multilevel"/>
    <w:tmpl w:val="BD5A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41422A"/>
    <w:multiLevelType w:val="multilevel"/>
    <w:tmpl w:val="2B1C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032317"/>
    <w:multiLevelType w:val="hybridMultilevel"/>
    <w:tmpl w:val="E702E2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38F0246"/>
    <w:multiLevelType w:val="multilevel"/>
    <w:tmpl w:val="AB22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70817">
    <w:abstractNumId w:val="3"/>
    <w:lvlOverride w:ilvl="0">
      <w:startOverride w:val="1"/>
    </w:lvlOverride>
  </w:num>
  <w:num w:numId="2" w16cid:durableId="1981689512">
    <w:abstractNumId w:val="4"/>
    <w:lvlOverride w:ilvl="0">
      <w:startOverride w:val="1"/>
    </w:lvlOverride>
  </w:num>
  <w:num w:numId="3" w16cid:durableId="203179978">
    <w:abstractNumId w:val="6"/>
  </w:num>
  <w:num w:numId="4" w16cid:durableId="579025301">
    <w:abstractNumId w:val="7"/>
  </w:num>
  <w:num w:numId="5" w16cid:durableId="1223323178">
    <w:abstractNumId w:val="1"/>
  </w:num>
  <w:num w:numId="6" w16cid:durableId="1466964887">
    <w:abstractNumId w:val="2"/>
  </w:num>
  <w:num w:numId="7" w16cid:durableId="1543128661">
    <w:abstractNumId w:val="8"/>
  </w:num>
  <w:num w:numId="8" w16cid:durableId="485324009">
    <w:abstractNumId w:val="5"/>
  </w:num>
  <w:num w:numId="9" w16cid:durableId="1390878190">
    <w:abstractNumId w:val="9"/>
  </w:num>
  <w:num w:numId="10" w16cid:durableId="199056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4C7"/>
    <w:rsid w:val="000C4E31"/>
    <w:rsid w:val="0034520B"/>
    <w:rsid w:val="00375AD6"/>
    <w:rsid w:val="00580534"/>
    <w:rsid w:val="006B6DFD"/>
    <w:rsid w:val="00776AF8"/>
    <w:rsid w:val="00A27880"/>
    <w:rsid w:val="00A552EC"/>
    <w:rsid w:val="00B00C08"/>
    <w:rsid w:val="00B4371B"/>
    <w:rsid w:val="00B92FBB"/>
    <w:rsid w:val="00C6376A"/>
    <w:rsid w:val="00E72EDD"/>
    <w:rsid w:val="00E774C7"/>
    <w:rsid w:val="00FB1F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353A5"/>
  <w15:docId w15:val="{6D1BFC98-6C55-48A5-ACC6-906F0CD4B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0C4E3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19</Pages>
  <Words>4937</Words>
  <Characters>28146</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Arabinda Mohapatra</cp:lastModifiedBy>
  <cp:revision>10</cp:revision>
  <dcterms:created xsi:type="dcterms:W3CDTF">2026-09-16T08:22:00Z</dcterms:created>
  <dcterms:modified xsi:type="dcterms:W3CDTF">2026-09-16T12:09:00Z</dcterms:modified>
</cp:coreProperties>
</file>