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440"/>
        <w:jc w:val="left"/>
      </w:pPr>
      <w:r>
        <w:drawing>
          <wp:inline xmlns:a="http://schemas.openxmlformats.org/drawingml/2006/main" xmlns:pic="http://schemas.openxmlformats.org/drawingml/2006/picture">
            <wp:extent cx="868680" cy="868680"/>
            <wp:docPr id="1" name="Picture 1" descr="Casparel brand mark" title="Casparel"/>
            <wp:cNvGraphicFramePr>
              <a:graphicFrameLocks noChangeAspect="1"/>
            </wp:cNvGraphicFramePr>
            <a:graphic>
              <a:graphicData uri="http://schemas.openxmlformats.org/drawingml/2006/picture">
                <pic:pic>
                  <pic:nvPicPr>
                    <pic:cNvPr id="0" name="apple-touch-icon.png"/>
                    <pic:cNvPicPr/>
                  </pic:nvPicPr>
                  <pic:blipFill>
                    <a:blip r:embed="rId13"/>
                    <a:stretch>
                      <a:fillRect/>
                    </a:stretch>
                  </pic:blipFill>
                  <pic:spPr>
                    <a:xfrm>
                      <a:off x="0" y="0"/>
                      <a:ext cx="868680" cy="868680"/>
                    </a:xfrm>
                    <a:prstGeom prst="rect"/>
                  </pic:spPr>
                </pic:pic>
              </a:graphicData>
            </a:graphic>
          </wp:inline>
        </w:drawing>
      </w:r>
    </w:p>
    <w:p>
      <w:pPr>
        <w:spacing w:after="120"/>
      </w:pPr>
      <w:r>
        <w:rPr>
          <w:rFonts w:ascii="Calibri" w:hAnsi="Calibri" w:eastAsia="Calibri"/>
          <w:b/>
          <w:color w:val="35B7EC"/>
          <w:sz w:val="19"/>
        </w:rPr>
        <w:t>EXECUTIVE COMPETITION REVIEW</w:t>
      </w:r>
    </w:p>
    <w:p>
      <w:pPr>
        <w:pStyle w:val="Title"/>
        <w:spacing w:after="100"/>
      </w:pPr>
      <w:r>
        <w:rPr>
          <w:rFonts w:ascii="Calibri" w:hAnsi="Calibri" w:eastAsia="Calibri"/>
          <w:b/>
          <w:color w:val="13254A"/>
          <w:sz w:val="68"/>
        </w:rPr>
        <w:t>Shipaton 2026</w:t>
      </w:r>
    </w:p>
    <w:p>
      <w:pPr>
        <w:pStyle w:val="Subtitle"/>
        <w:spacing w:after="360"/>
      </w:pPr>
      <w:r>
        <w:rPr>
          <w:rFonts w:ascii="Calibri" w:hAnsi="Calibri" w:eastAsia="Calibri"/>
          <w:color w:val="5B667A"/>
          <w:sz w:val="28"/>
        </w:rPr>
        <w:t>Readiness, winning strategy, submission plan, and future roadmap</w:t>
      </w:r>
    </w:p>
    <w:tbl>
      <w:tblPr>
        <w:tblW w:type="dxa" w:w="9360"/>
        <w:jc w:val="left"/>
        <w:tblLayout w:type="fixed"/>
        <w:tblLook w:firstColumn="1" w:firstRow="1" w:lastColumn="0" w:lastRow="0" w:noHBand="0" w:noVBand="1" w:val="04A0"/>
        <w:tblInd w:type="dxa" w:w="0"/>
        <w:tblCellMar>
          <w:top w:w="100" w:type="dxa"/>
          <w:bottom w:w="100" w:type="dxa"/>
          <w:start w:w="120" w:type="dxa"/>
          <w:end w:w="120" w:type="dxa"/>
        </w:tblCellMar>
      </w:tblPr>
      <w:tblGrid>
        <w:gridCol w:w="2880"/>
        <w:gridCol w:w="6480"/>
      </w:tblGrid>
      <w:tr>
        <w:trPr>
          <w:cantSplit/>
          <w:trHeight w:hRule="atLeast"/>
        </w:trPr>
        <w:tc>
          <w:tcPr>
            <w:tcW w:type="dxa" w:w="2880"/>
            <w:vAlign w:val="center"/>
            <w:shd w:fill="13254A" w:val="clear"/>
            <w:tcBorders>
              <w:top w:val="single" w:sz="6" w:color="13254A"/>
              <w:left w:val="single" w:sz="6" w:color="13254A"/>
              <w:bottom w:val="single" w:sz="6" w:color="13254A"/>
              <w:right w:val="single" w:sz="6" w:color="13254A"/>
              <w:insideH w:val="single" w:sz="6" w:color="13254A"/>
              <w:insideV w:val="single" w:sz="6" w:color="13254A"/>
            </w:tcBorders>
          </w:tcPr>
          <w:p>
            <w:pPr>
              <w:spacing w:before="280" w:after="280"/>
              <w:jc w:val="center"/>
            </w:pPr>
            <w:r>
              <w:rPr>
                <w:rFonts w:ascii="Calibri" w:hAnsi="Calibri" w:eastAsia="Calibri"/>
                <w:b/>
                <w:color w:val="FFFFFF"/>
                <w:sz w:val="56"/>
              </w:rPr>
              <w:t>54/100</w:t>
              <w:br/>
            </w:r>
            <w:r>
              <w:rPr>
                <w:rFonts w:ascii="Calibri" w:hAnsi="Calibri" w:eastAsia="Calibri"/>
                <w:b/>
                <w:color w:val="35B7EC"/>
                <w:sz w:val="16"/>
              </w:rPr>
              <w:t>CURRENT READINESS</w:t>
            </w:r>
          </w:p>
        </w:tc>
        <w:tc>
          <w:tcPr>
            <w:tcW w:type="dxa" w:w="6480"/>
            <w:vAlign w:val="center"/>
            <w:shd w:fill="EAF1FF" w:val="clear"/>
            <w:tcBorders>
              <w:top w:val="single" w:sz="6" w:color="275DCE"/>
              <w:left w:val="single" w:sz="6" w:color="275DCE"/>
              <w:bottom w:val="single" w:sz="6" w:color="275DCE"/>
              <w:right w:val="single" w:sz="6" w:color="275DCE"/>
              <w:insideH w:val="single" w:sz="6" w:color="275DCE"/>
              <w:insideV w:val="single" w:sz="6" w:color="275DCE"/>
            </w:tcBorders>
          </w:tcPr>
          <w:p>
            <w:pPr>
              <w:spacing w:before="180" w:after="180"/>
            </w:pPr>
            <w:r>
              <w:rPr>
                <w:rFonts w:ascii="Calibri" w:hAnsi="Calibri" w:eastAsia="Calibri"/>
                <w:b/>
                <w:color w:val="13254A"/>
                <w:sz w:val="24"/>
              </w:rPr>
              <w:t>Decision: enter only if store publication and transaction proof are completed by early September.</w:t>
            </w:r>
          </w:p>
        </w:tc>
      </w:tr>
    </w:tbl>
    <w:p>
      <w:pPr>
        <w:spacing w:before="440" w:after="60"/>
      </w:pPr>
      <w:r>
        <w:rPr>
          <w:rFonts w:ascii="Calibri" w:hAnsi="Calibri" w:eastAsia="Calibri"/>
          <w:b/>
          <w:color w:val="5B667A"/>
          <w:sz w:val="17"/>
        </w:rPr>
        <w:t>Assessment date</w:t>
        <w:br/>
      </w:r>
      <w:r>
        <w:rPr>
          <w:rFonts w:ascii="Calibri" w:hAnsi="Calibri" w:eastAsia="Calibri"/>
          <w:color w:val="17223B"/>
          <w:sz w:val="22"/>
        </w:rPr>
        <w:t>15 August 2026</w:t>
      </w:r>
    </w:p>
    <w:p>
      <w:pPr>
        <w:spacing w:after="60"/>
      </w:pPr>
      <w:r>
        <w:rPr>
          <w:rFonts w:ascii="Calibri" w:hAnsi="Calibri" w:eastAsia="Calibri"/>
          <w:b/>
          <w:color w:val="5B667A"/>
          <w:sz w:val="17"/>
        </w:rPr>
        <w:t>Official deadline</w:t>
        <w:br/>
      </w:r>
      <w:r>
        <w:rPr>
          <w:rFonts w:ascii="Calibri" w:hAnsi="Calibri" w:eastAsia="Calibri"/>
          <w:color w:val="17223B"/>
          <w:sz w:val="22"/>
        </w:rPr>
        <w:t>30 September 2026, 11:45 PM PDT  |  1 October, 09:45 Istanbul</w:t>
      </w:r>
    </w:p>
    <w:p>
      <w:r>
        <w:br w:type="page"/>
      </w:r>
    </w:p>
    <w:p>
      <w:pPr>
        <w:pStyle w:val="Heading1"/>
        <w:keepNext/>
        <w:ind w:left="0" w:right="0" w:firstLine="0"/>
      </w:pPr>
      <w:r>
        <w:t>Executive decision</w:t>
      </w:r>
    </w:p>
    <w:tbl>
      <w:tblPr>
        <w:tblW w:type="dxa" w:w="9360"/>
        <w:jc w:val="left"/>
        <w:tblLayout w:type="fixed"/>
        <w:tblLook w:firstColumn="1" w:firstRow="1" w:lastColumn="0" w:lastRow="0" w:noHBand="0" w:noVBand="1" w:val="04A0"/>
        <w:tblInd w:type="dxa" w:w="120"/>
        <w:tblCellMar>
          <w:top w:w="100" w:type="dxa"/>
          <w:bottom w:w="100" w:type="dxa"/>
          <w:start w:w="120" w:type="dxa"/>
          <w:end w:w="120" w:type="dxa"/>
        </w:tblCellMar>
      </w:tblPr>
      <w:tblGrid>
        <w:gridCol w:w="9360"/>
      </w:tblGrid>
      <w:tr>
        <w:trPr>
          <w:cantSplit/>
          <w:trHeight w:hRule="atLeast"/>
        </w:trPr>
        <w:tc>
          <w:tcPr>
            <w:tcW w:type="dxa" w:w="9360"/>
            <w:vAlign w:val="center"/>
            <w:shd w:fill="FBECEC" w:val="clear"/>
            <w:tcBorders>
              <w:top w:val="single" w:sz="8" w:color="A43B3B"/>
              <w:left w:val="single" w:sz="8" w:color="A43B3B"/>
              <w:bottom w:val="single" w:sz="8" w:color="A43B3B"/>
              <w:right w:val="single" w:sz="8" w:color="A43B3B"/>
              <w:insideH w:val="single" w:sz="8" w:color="A43B3B"/>
              <w:insideV w:val="single" w:sz="8" w:color="A43B3B"/>
            </w:tcBorders>
          </w:tcPr>
          <w:p>
            <w:pPr>
              <w:spacing w:before="60" w:after="60"/>
            </w:pPr>
            <w:r>
              <w:rPr>
                <w:rFonts w:ascii="Calibri" w:hAnsi="Calibri" w:eastAsia="Calibri"/>
                <w:b/>
                <w:color w:val="A43B3B"/>
                <w:sz w:val="19"/>
              </w:rPr>
              <w:t xml:space="preserve">VERDICT  </w:t>
            </w:r>
            <w:r>
              <w:rPr>
                <w:rFonts w:ascii="Calibri" w:hAnsi="Calibri" w:eastAsia="Calibri"/>
                <w:color w:val="17223B"/>
                <w:sz w:val="20"/>
              </w:rPr>
              <w:t>Casparel is a credible product, but it is not submission-ready today. Enter only if public store availability and RevenueCat transaction proof can be completed by early September.</w:t>
            </w:r>
          </w:p>
        </w:tc>
      </w:tr>
    </w:tbl>
    <w:p>
      <w:pPr>
        <w:spacing w:after="20"/>
      </w:pPr>
    </w:p>
    <w:p>
      <w:pPr>
        <w:spacing w:after="120"/>
      </w:pPr>
      <w:r>
        <w:rPr>
          <w:rFonts w:ascii="Calibri" w:hAnsi="Calibri" w:eastAsia="Calibri"/>
          <w:i w:val="0"/>
          <w:color w:val="17223B"/>
          <w:sz w:val="21"/>
        </w:rPr>
        <w:t>The strongest assets are a working public product, an unusually complete education workflow, a real mobile codebase, RevenueCat integration code, and a memorable trust-before-study story. The largest blockers are evidence: no verified store-published binary, no demonstrated purchase lifecycle, no revenue or retention data, no two-minute demo, and no final submission asset pack.</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1900"/>
        <w:gridCol w:w="2320"/>
        <w:gridCol w:w="5140"/>
      </w:tblGrid>
      <w:tr>
        <w:trPr>
          <w:cantSplit/>
          <w:trHeight w:hRule="atLeast"/>
          <w:tblHeader w:val="true"/>
        </w:trPr>
        <w:tc>
          <w:tcPr>
            <w:tcW w:type="dxa" w:w="190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Decision lens</w:t>
            </w:r>
          </w:p>
        </w:tc>
        <w:tc>
          <w:tcPr>
            <w:tcW w:type="dxa" w:w="232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Today</w:t>
            </w:r>
          </w:p>
        </w:tc>
        <w:tc>
          <w:tcPr>
            <w:tcW w:type="dxa" w:w="514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left"/>
            </w:pPr>
            <w:r>
              <w:rPr>
                <w:rFonts w:ascii="Calibri" w:hAnsi="Calibri" w:eastAsia="Calibri"/>
                <w:b/>
                <w:color w:val="13254A"/>
                <w:sz w:val="17"/>
              </w:rPr>
              <w:t>Winning-state requirement</w:t>
            </w:r>
          </w:p>
        </w:tc>
      </w:tr>
      <w:tr>
        <w:trPr>
          <w:cantSplit/>
          <w:trHeight w:hRule="atLeast"/>
        </w:trPr>
        <w:tc>
          <w:tcPr>
            <w:tcW w:type="dxa" w:w="19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Eligibility</w:t>
            </w:r>
          </w:p>
        </w:tc>
        <w:tc>
          <w:tcPr>
            <w:tcW w:type="dxa" w:w="2320"/>
            <w:tcBorders>
              <w:top w:val="single" w:sz="6" w:color="D8DFEA"/>
              <w:left w:val="single" w:sz="6" w:color="D8DFEA"/>
              <w:bottom w:val="single" w:sz="6" w:color="D8DFEA"/>
              <w:right w:val="single" w:sz="6" w:color="D8DFEA"/>
              <w:insideH w:val="single" w:sz="6" w:color="D8DFEA"/>
              <w:insideV w:val="single" w:sz="6" w:color="D8DFEA"/>
            </w:tcBorders>
            <w:shd w:fill="FBECEC" w:val="clear"/>
            <w:vAlign w:val="center"/>
          </w:tcPr>
          <w:p>
            <w:pPr>
              <w:spacing w:after="0" w:line="252" w:lineRule="auto"/>
              <w:ind w:left="0" w:right="0" w:firstLine="0"/>
              <w:jc w:val="center"/>
            </w:pPr>
            <w:r>
              <w:rPr>
                <w:rFonts w:ascii="Calibri" w:hAnsi="Calibri" w:eastAsia="Calibri"/>
                <w:b w:val="0"/>
                <w:color w:val="17223B"/>
                <w:sz w:val="16"/>
              </w:rPr>
              <w:t>Blocked / unverified</w:t>
            </w:r>
          </w:p>
        </w:tc>
        <w:tc>
          <w:tcPr>
            <w:tcW w:type="dxa" w:w="514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Signed public iOS/Android app accessible in the US.</w:t>
            </w:r>
          </w:p>
        </w:tc>
      </w:tr>
      <w:tr>
        <w:trPr>
          <w:cantSplit/>
          <w:trHeight w:hRule="atLeast"/>
        </w:trPr>
        <w:tc>
          <w:tcPr>
            <w:tcW w:type="dxa" w:w="19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Monetization</w:t>
            </w:r>
          </w:p>
        </w:tc>
        <w:tc>
          <w:tcPr>
            <w:tcW w:type="dxa" w:w="2320"/>
            <w:tcBorders>
              <w:top w:val="single" w:sz="6" w:color="D8DFEA"/>
              <w:left w:val="single" w:sz="6" w:color="D8DFEA"/>
              <w:bottom w:val="single" w:sz="6" w:color="D8DFEA"/>
              <w:right w:val="single" w:sz="6" w:color="D8DFEA"/>
              <w:insideH w:val="single" w:sz="6" w:color="D8DFEA"/>
              <w:insideV w:val="single" w:sz="6" w:color="D8DFEA"/>
            </w:tcBorders>
            <w:shd w:fill="FFF4DB" w:val="clear"/>
            <w:vAlign w:val="center"/>
          </w:tcPr>
          <w:p>
            <w:pPr>
              <w:spacing w:after="0" w:line="252" w:lineRule="auto"/>
              <w:ind w:left="0" w:right="0" w:firstLine="0"/>
              <w:jc w:val="center"/>
            </w:pPr>
            <w:r>
              <w:rPr>
                <w:rFonts w:ascii="Calibri" w:hAnsi="Calibri" w:eastAsia="Calibri"/>
                <w:b w:val="0"/>
                <w:color w:val="17223B"/>
                <w:sz w:val="16"/>
              </w:rPr>
              <w:t>Partial</w:t>
            </w:r>
          </w:p>
        </w:tc>
        <w:tc>
          <w:tcPr>
            <w:tcW w:type="dxa" w:w="514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Verified products, offering, purchase, restore, renewal, expiry, and transfer.</w:t>
            </w:r>
          </w:p>
        </w:tc>
      </w:tr>
      <w:tr>
        <w:trPr>
          <w:cantSplit/>
          <w:trHeight w:hRule="atLeast"/>
        </w:trPr>
        <w:tc>
          <w:tcPr>
            <w:tcW w:type="dxa" w:w="19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Category</w:t>
            </w:r>
          </w:p>
        </w:tc>
        <w:tc>
          <w:tcPr>
            <w:tcW w:type="dxa" w:w="232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Design is best fit</w:t>
            </w:r>
          </w:p>
        </w:tc>
        <w:tc>
          <w:tcPr>
            <w:tcW w:type="dxa" w:w="514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One sharp credibility-to-action experience with native polish.</w:t>
            </w:r>
          </w:p>
        </w:tc>
      </w:tr>
      <w:tr>
        <w:trPr>
          <w:cantSplit/>
          <w:trHeight w:hRule="atLeast"/>
        </w:trPr>
        <w:tc>
          <w:tcPr>
            <w:tcW w:type="dxa" w:w="19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Evidence</w:t>
            </w:r>
          </w:p>
        </w:tc>
        <w:tc>
          <w:tcPr>
            <w:tcW w:type="dxa" w:w="232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Insufficient</w:t>
            </w:r>
          </w:p>
        </w:tc>
        <w:tc>
          <w:tcPr>
            <w:tcW w:type="dxa" w:w="514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Real user outcomes, activation/retention/conversion, and first revenue.</w:t>
            </w:r>
          </w:p>
        </w:tc>
      </w:tr>
      <w:tr>
        <w:trPr>
          <w:cantSplit/>
          <w:trHeight w:hRule="atLeast"/>
        </w:trPr>
        <w:tc>
          <w:tcPr>
            <w:tcW w:type="dxa" w:w="19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Story</w:t>
            </w:r>
          </w:p>
        </w:tc>
        <w:tc>
          <w:tcPr>
            <w:tcW w:type="dxa" w:w="232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Promising</w:t>
            </w:r>
          </w:p>
        </w:tc>
        <w:tc>
          <w:tcPr>
            <w:tcW w:type="dxa" w:w="514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A sub-two-minute on-device narrative supported by proof.</w:t>
            </w:r>
          </w:p>
        </w:tc>
      </w:tr>
    </w:tbl>
    <w:p>
      <w:pPr>
        <w:spacing w:after="20"/>
      </w:pPr>
    </w:p>
    <w:p>
      <w:pPr>
        <w:pStyle w:val="Heading1"/>
        <w:keepNext/>
        <w:ind w:left="0" w:right="0" w:firstLine="0"/>
      </w:pPr>
      <w:r>
        <w:t>Contents</w:t>
      </w:r>
    </w:p>
    <w:p>
      <w:pPr>
        <w:spacing w:after="120"/>
      </w:pPr>
      <w:r>
        <w:rPr>
          <w:rFonts w:ascii="Calibri" w:hAnsi="Calibri" w:eastAsia="Calibri"/>
          <w:i w:val="0"/>
          <w:color w:val="5B667A"/>
          <w:sz w:val="21"/>
        </w:rPr>
        <w:t>A navigational overview of this report. Section headings are preserved as real Word headings for the document outline and accessibility tools.</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1150"/>
        <w:gridCol w:w="8210"/>
      </w:tblGrid>
      <w:tr>
        <w:trPr>
          <w:cantSplit/>
          <w:trHeight w:hRule="atLeast"/>
          <w:tblHeader w:val="true"/>
        </w:trPr>
        <w:tc>
          <w:tcPr>
            <w:tcW w:type="dxa" w:w="1150"/>
            <w:vAlign w:val="center"/>
            <w:shd w:fill="EAF9FE"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Section</w:t>
            </w:r>
          </w:p>
        </w:tc>
        <w:tc>
          <w:tcPr>
            <w:tcW w:type="dxa" w:w="8210"/>
            <w:vAlign w:val="center"/>
            <w:shd w:fill="EAF9FE"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left"/>
            </w:pPr>
            <w:r>
              <w:rPr>
                <w:rFonts w:ascii="Calibri" w:hAnsi="Calibri" w:eastAsia="Calibri"/>
                <w:b/>
                <w:color w:val="13254A"/>
                <w:sz w:val="17"/>
              </w:rPr>
              <w:t>What it covers</w:t>
            </w:r>
          </w:p>
        </w:tc>
      </w:tr>
      <w:tr>
        <w:trPr>
          <w:cantSplit/>
          <w:trHeight w:hRule="atLeast"/>
        </w:trPr>
        <w:tc>
          <w:tcPr>
            <w:tcW w:type="dxa" w:w="11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01</w:t>
            </w:r>
          </w:p>
        </w:tc>
        <w:tc>
          <w:tcPr>
            <w:tcW w:type="dxa" w:w="82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Official rule baseline and eligibility gates</w:t>
            </w:r>
          </w:p>
        </w:tc>
      </w:tr>
      <w:tr>
        <w:trPr>
          <w:cantSplit/>
          <w:trHeight w:hRule="atLeast"/>
        </w:trPr>
        <w:tc>
          <w:tcPr>
            <w:tcW w:type="dxa" w:w="11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02</w:t>
            </w:r>
          </w:p>
        </w:tc>
        <w:tc>
          <w:tcPr>
            <w:tcW w:type="dxa" w:w="82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Readiness score and probability bands</w:t>
            </w:r>
          </w:p>
        </w:tc>
      </w:tr>
      <w:tr>
        <w:trPr>
          <w:cantSplit/>
          <w:trHeight w:hRule="atLeast"/>
        </w:trPr>
        <w:tc>
          <w:tcPr>
            <w:tcW w:type="dxa" w:w="11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03</w:t>
            </w:r>
          </w:p>
        </w:tc>
        <w:tc>
          <w:tcPr>
            <w:tcW w:type="dxa" w:w="82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Category strategy and winning narrative</w:t>
            </w:r>
          </w:p>
        </w:tc>
      </w:tr>
      <w:tr>
        <w:trPr>
          <w:cantSplit/>
          <w:trHeight w:hRule="atLeast"/>
        </w:trPr>
        <w:tc>
          <w:tcPr>
            <w:tcW w:type="dxa" w:w="11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04</w:t>
            </w:r>
          </w:p>
        </w:tc>
        <w:tc>
          <w:tcPr>
            <w:tcW w:type="dxa" w:w="82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Two-minute demo plan</w:t>
            </w:r>
          </w:p>
        </w:tc>
      </w:tr>
      <w:tr>
        <w:trPr>
          <w:cantSplit/>
          <w:trHeight w:hRule="atLeast"/>
        </w:trPr>
        <w:tc>
          <w:tcPr>
            <w:tcW w:type="dxa" w:w="11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05</w:t>
            </w:r>
          </w:p>
        </w:tc>
        <w:tc>
          <w:tcPr>
            <w:tcW w:type="dxa" w:w="82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46-day execution roadmap</w:t>
            </w:r>
          </w:p>
        </w:tc>
      </w:tr>
      <w:tr>
        <w:trPr>
          <w:cantSplit/>
          <w:trHeight w:hRule="atLeast"/>
        </w:trPr>
        <w:tc>
          <w:tcPr>
            <w:tcW w:type="dxa" w:w="11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06</w:t>
            </w:r>
          </w:p>
        </w:tc>
        <w:tc>
          <w:tcPr>
            <w:tcW w:type="dxa" w:w="82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Evidence dashboard and submission kit</w:t>
            </w:r>
          </w:p>
        </w:tc>
      </w:tr>
      <w:tr>
        <w:trPr>
          <w:cantSplit/>
          <w:trHeight w:hRule="atLeast"/>
        </w:trPr>
        <w:tc>
          <w:tcPr>
            <w:tcW w:type="dxa" w:w="11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07</w:t>
            </w:r>
          </w:p>
        </w:tc>
        <w:tc>
          <w:tcPr>
            <w:tcW w:type="dxa" w:w="82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Post-Shipaton product roadmap</w:t>
            </w:r>
          </w:p>
        </w:tc>
      </w:tr>
      <w:tr>
        <w:trPr>
          <w:cantSplit/>
          <w:trHeight w:hRule="atLeast"/>
        </w:trPr>
        <w:tc>
          <w:tcPr>
            <w:tcW w:type="dxa" w:w="11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A</w:t>
            </w:r>
          </w:p>
        </w:tc>
        <w:tc>
          <w:tcPr>
            <w:tcW w:type="dxa" w:w="82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App-store/Devpost copy, assets, and final checklist</w:t>
            </w:r>
          </w:p>
        </w:tc>
      </w:tr>
    </w:tbl>
    <w:p>
      <w:pPr>
        <w:spacing w:after="20"/>
      </w:pPr>
    </w:p>
    <w:p>
      <w:r>
        <w:br w:type="page"/>
      </w:r>
    </w:p>
    <w:p>
      <w:pPr>
        <w:pStyle w:val="Heading1"/>
        <w:keepNext/>
        <w:ind w:left="0" w:right="0" w:firstLine="0"/>
      </w:pPr>
      <w:r>
        <w:t>01 · Official rule baseline and eligibility gates</w:t>
      </w:r>
    </w:p>
    <w:p>
      <w:pPr>
        <w:spacing w:after="120"/>
      </w:pPr>
      <w:r>
        <w:rPr>
          <w:rFonts w:ascii="Calibri" w:hAnsi="Calibri" w:eastAsia="Calibri"/>
          <w:i w:val="0"/>
          <w:color w:val="17223B"/>
          <w:sz w:val="21"/>
        </w:rPr>
        <w:t>The official rules require a qualifying native iOS, iPadOS, macOS, or Android app that integrates RevenueCat and is fully published by the deadline. The app must be accessible in the United States. Judges require free trial or promotional access when the experience is paid or gated.</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2520"/>
        <w:gridCol w:w="6840"/>
      </w:tblGrid>
      <w:tr>
        <w:trPr>
          <w:cantSplit/>
          <w:trHeight w:hRule="atLeast"/>
          <w:tblHeader w:val="true"/>
        </w:trPr>
        <w:tc>
          <w:tcPr>
            <w:tcW w:type="dxa" w:w="252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Official item</w:t>
            </w:r>
          </w:p>
        </w:tc>
        <w:tc>
          <w:tcPr>
            <w:tcW w:type="dxa" w:w="684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left"/>
            </w:pPr>
            <w:r>
              <w:rPr>
                <w:rFonts w:ascii="Calibri" w:hAnsi="Calibri" w:eastAsia="Calibri"/>
                <w:b/>
                <w:color w:val="13254A"/>
                <w:sz w:val="17"/>
              </w:rPr>
              <w:t>Requirement used for this plan</w:t>
            </w:r>
          </w:p>
        </w:tc>
      </w:tr>
      <w:tr>
        <w:trPr>
          <w:cantSplit/>
          <w:trHeight w:hRule="atLeast"/>
        </w:trPr>
        <w:tc>
          <w:tcPr>
            <w:tcW w:type="dxa" w:w="252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Deadline</w:t>
            </w:r>
          </w:p>
        </w:tc>
        <w:tc>
          <w:tcPr>
            <w:tcW w:type="dxa" w:w="684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30 September 2026, 11:45 PM PDT (1 October, 09:45 Istanbul).</w:t>
            </w:r>
          </w:p>
        </w:tc>
      </w:tr>
      <w:tr>
        <w:trPr>
          <w:cantSplit/>
          <w:trHeight w:hRule="atLeast"/>
        </w:trPr>
        <w:tc>
          <w:tcPr>
            <w:tcW w:type="dxa" w:w="252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Native availability</w:t>
            </w:r>
          </w:p>
        </w:tc>
        <w:tc>
          <w:tcPr>
            <w:tcW w:type="dxa" w:w="684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Fully published qualifying native app, accessible in the United States.</w:t>
            </w:r>
          </w:p>
        </w:tc>
      </w:tr>
      <w:tr>
        <w:trPr>
          <w:cantSplit/>
          <w:trHeight w:hRule="atLeast"/>
        </w:trPr>
        <w:tc>
          <w:tcPr>
            <w:tcW w:type="dxa" w:w="252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RevenueCat</w:t>
            </w:r>
          </w:p>
        </w:tc>
        <w:tc>
          <w:tcPr>
            <w:tcW w:type="dxa" w:w="684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Integrated and demonstrably tied to the submitted paid/gated experience.</w:t>
            </w:r>
          </w:p>
        </w:tc>
      </w:tr>
      <w:tr>
        <w:trPr>
          <w:cantSplit/>
          <w:trHeight w:hRule="atLeast"/>
        </w:trPr>
        <w:tc>
          <w:tcPr>
            <w:tcW w:type="dxa" w:w="252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Demo</w:t>
            </w:r>
          </w:p>
        </w:tc>
        <w:tc>
          <w:tcPr>
            <w:tcW w:type="dxa" w:w="684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Public YouTube or Vimeo video under two minutes.</w:t>
            </w:r>
          </w:p>
        </w:tc>
      </w:tr>
      <w:tr>
        <w:trPr>
          <w:cantSplit/>
          <w:trHeight w:hRule="atLeast"/>
        </w:trPr>
        <w:tc>
          <w:tcPr>
            <w:tcW w:type="dxa" w:w="252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Competition screenshot</w:t>
            </w:r>
          </w:p>
        </w:tc>
        <w:tc>
          <w:tcPr>
            <w:tcW w:type="dxa" w:w="684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1179 × 2556 pixels, without a device frame.</w:t>
            </w:r>
          </w:p>
        </w:tc>
      </w:tr>
      <w:tr>
        <w:trPr>
          <w:cantSplit/>
          <w:trHeight w:hRule="atLeast"/>
        </w:trPr>
        <w:tc>
          <w:tcPr>
            <w:tcW w:type="dxa" w:w="252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Icon</w:t>
            </w:r>
          </w:p>
        </w:tc>
        <w:tc>
          <w:tcPr>
            <w:tcW w:type="dxa" w:w="684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1024 × 1024 pixels.</w:t>
            </w:r>
          </w:p>
        </w:tc>
      </w:tr>
      <w:tr>
        <w:trPr>
          <w:cantSplit/>
          <w:trHeight w:hRule="atLeast"/>
        </w:trPr>
        <w:tc>
          <w:tcPr>
            <w:tcW w:type="dxa" w:w="252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Judge access</w:t>
            </w:r>
          </w:p>
        </w:tc>
        <w:tc>
          <w:tcPr>
            <w:tcW w:type="dxa" w:w="684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Free trial, promo code, or equivalent access for gated content.</w:t>
            </w:r>
          </w:p>
        </w:tc>
      </w:tr>
      <w:tr>
        <w:trPr>
          <w:cantSplit/>
          <w:trHeight w:hRule="atLeast"/>
        </w:trPr>
        <w:tc>
          <w:tcPr>
            <w:tcW w:type="dxa" w:w="252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Next Gen exception</w:t>
            </w:r>
          </w:p>
        </w:tc>
        <w:tc>
          <w:tcPr>
            <w:tcW w:type="dxa" w:w="684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Conditional; includes public open-source repository and other category-specific rules.</w:t>
            </w:r>
          </w:p>
        </w:tc>
      </w:tr>
    </w:tbl>
    <w:p>
      <w:pPr>
        <w:spacing w:after="20"/>
      </w:pPr>
    </w:p>
    <w:tbl>
      <w:tblPr>
        <w:tblW w:type="dxa" w:w="9360"/>
        <w:jc w:val="left"/>
        <w:tblLayout w:type="fixed"/>
        <w:tblLook w:firstColumn="1" w:firstRow="1" w:lastColumn="0" w:lastRow="0" w:noHBand="0" w:noVBand="1" w:val="04A0"/>
        <w:tblInd w:type="dxa" w:w="120"/>
        <w:tblCellMar>
          <w:top w:w="100" w:type="dxa"/>
          <w:bottom w:w="100" w:type="dxa"/>
          <w:start w:w="120" w:type="dxa"/>
          <w:end w:w="120" w:type="dxa"/>
        </w:tblCellMar>
      </w:tblPr>
      <w:tblGrid>
        <w:gridCol w:w="9360"/>
      </w:tblGrid>
      <w:tr>
        <w:trPr>
          <w:cantSplit/>
          <w:trHeight w:hRule="atLeast"/>
        </w:trPr>
        <w:tc>
          <w:tcPr>
            <w:tcW w:type="dxa" w:w="9360"/>
            <w:vAlign w:val="center"/>
            <w:shd w:fill="FFF4DB" w:val="clear"/>
            <w:tcBorders>
              <w:top w:val="single" w:sz="8" w:color="A66A00"/>
              <w:left w:val="single" w:sz="8" w:color="A66A00"/>
              <w:bottom w:val="single" w:sz="8" w:color="A66A00"/>
              <w:right w:val="single" w:sz="8" w:color="A66A00"/>
              <w:insideH w:val="single" w:sz="8" w:color="A66A00"/>
              <w:insideV w:val="single" w:sz="8" w:color="A66A00"/>
            </w:tcBorders>
          </w:tcPr>
          <w:p>
            <w:pPr>
              <w:spacing w:before="60" w:after="60"/>
            </w:pPr>
            <w:r>
              <w:rPr>
                <w:rFonts w:ascii="Calibri" w:hAnsi="Calibri" w:eastAsia="Calibri"/>
                <w:b/>
                <w:color w:val="A66A00"/>
                <w:sz w:val="19"/>
              </w:rPr>
              <w:t xml:space="preserve">RULE CAUTION  </w:t>
            </w:r>
            <w:r>
              <w:rPr>
                <w:rFonts w:ascii="Calibri" w:hAnsi="Calibri" w:eastAsia="Calibri"/>
                <w:color w:val="17223B"/>
                <w:sz w:val="20"/>
              </w:rPr>
              <w:t>Next Gen is not a shortcut for the current private repository. Use it only if the entrant independently qualifies, intentionally makes the project public under an appropriate license, and satisfies every category-specific condition.</w:t>
            </w:r>
          </w:p>
        </w:tc>
      </w:tr>
    </w:tbl>
    <w:p>
      <w:pPr>
        <w:spacing w:after="20"/>
      </w:pPr>
    </w:p>
    <w:p>
      <w:pPr>
        <w:pStyle w:val="Heading2"/>
        <w:keepNext/>
        <w:ind w:left="0" w:right="0" w:firstLine="0"/>
      </w:pPr>
      <w:r>
        <w:t>Gate checklist</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3000"/>
        <w:gridCol w:w="1800"/>
        <w:gridCol w:w="4560"/>
      </w:tblGrid>
      <w:tr>
        <w:trPr>
          <w:cantSplit/>
          <w:trHeight w:hRule="atLeast"/>
          <w:tblHeader w:val="true"/>
        </w:trPr>
        <w:tc>
          <w:tcPr>
            <w:tcW w:type="dxa" w:w="300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Gate</w:t>
            </w:r>
          </w:p>
        </w:tc>
        <w:tc>
          <w:tcPr>
            <w:tcW w:type="dxa" w:w="180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Status</w:t>
            </w:r>
          </w:p>
        </w:tc>
        <w:tc>
          <w:tcPr>
            <w:tcW w:type="dxa" w:w="456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left"/>
            </w:pPr>
            <w:r>
              <w:rPr>
                <w:rFonts w:ascii="Calibri" w:hAnsi="Calibri" w:eastAsia="Calibri"/>
                <w:b/>
                <w:color w:val="13254A"/>
                <w:sz w:val="17"/>
              </w:rPr>
              <w:t>Required proof</w:t>
            </w:r>
          </w:p>
        </w:tc>
      </w:tr>
      <w:tr>
        <w:trPr>
          <w:cantSplit/>
          <w:trHeight w:hRule="atLeast"/>
        </w:trPr>
        <w:tc>
          <w:tcPr>
            <w:tcW w:type="dxa" w:w="30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color w:val="17223B"/>
                <w:sz w:val="16"/>
              </w:rPr>
              <w:t>Qualifying native platform</w:t>
            </w:r>
          </w:p>
        </w:tc>
        <w:tc>
          <w:tcPr>
            <w:tcW w:type="dxa" w:w="1800"/>
            <w:tcBorders>
              <w:top w:val="single" w:sz="6" w:color="D8DFEA"/>
              <w:left w:val="single" w:sz="6" w:color="D8DFEA"/>
              <w:bottom w:val="single" w:sz="6" w:color="D8DFEA"/>
              <w:right w:val="single" w:sz="6" w:color="D8DFEA"/>
              <w:insideH w:val="single" w:sz="6" w:color="D8DFEA"/>
              <w:insideV w:val="single" w:sz="6" w:color="D8DFEA"/>
            </w:tcBorders>
            <w:shd w:fill="FFF4DB" w:val="clear"/>
            <w:vAlign w:val="center"/>
          </w:tcPr>
          <w:p>
            <w:pPr>
              <w:spacing w:after="0" w:line="252" w:lineRule="auto"/>
              <w:ind w:left="0" w:right="0" w:firstLine="0"/>
              <w:jc w:val="center"/>
            </w:pPr>
            <w:r>
              <w:rPr>
                <w:rFonts w:ascii="Calibri" w:hAnsi="Calibri" w:eastAsia="Calibri"/>
                <w:b w:val="0"/>
                <w:color w:val="17223B"/>
                <w:sz w:val="16"/>
              </w:rPr>
              <w:t>PARTIAL</w:t>
            </w:r>
          </w:p>
        </w:tc>
        <w:tc>
          <w:tcPr>
            <w:tcW w:type="dxa" w:w="45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Installable signed iOS/Android release candidate.</w:t>
            </w:r>
          </w:p>
        </w:tc>
      </w:tr>
      <w:tr>
        <w:trPr>
          <w:cantSplit/>
          <w:trHeight w:hRule="atLeast"/>
        </w:trPr>
        <w:tc>
          <w:tcPr>
            <w:tcW w:type="dxa" w:w="30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RevenueCat integration</w:t>
            </w:r>
          </w:p>
        </w:tc>
        <w:tc>
          <w:tcPr>
            <w:tcW w:type="dxa" w:w="1800"/>
            <w:tcBorders>
              <w:top w:val="single" w:sz="6" w:color="D8DFEA"/>
              <w:left w:val="single" w:sz="6" w:color="D8DFEA"/>
              <w:bottom w:val="single" w:sz="6" w:color="D8DFEA"/>
              <w:right w:val="single" w:sz="6" w:color="D8DFEA"/>
              <w:insideH w:val="single" w:sz="6" w:color="D8DFEA"/>
              <w:insideV w:val="single" w:sz="6" w:color="D8DFEA"/>
            </w:tcBorders>
            <w:shd w:fill="FFF4DB" w:val="clear"/>
            <w:vAlign w:val="center"/>
          </w:tcPr>
          <w:p>
            <w:pPr>
              <w:spacing w:after="0" w:line="252" w:lineRule="auto"/>
              <w:ind w:left="0" w:right="0" w:firstLine="0"/>
              <w:jc w:val="center"/>
            </w:pPr>
            <w:r>
              <w:rPr>
                <w:rFonts w:ascii="Calibri" w:hAnsi="Calibri" w:eastAsia="Calibri"/>
                <w:b w:val="0"/>
                <w:color w:val="17223B"/>
                <w:sz w:val="16"/>
              </w:rPr>
              <w:t>PARTIAL</w:t>
            </w:r>
          </w:p>
        </w:tc>
        <w:tc>
          <w:tcPr>
            <w:tcW w:type="dxa" w:w="45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Dashboard offering, sandbox transaction, and entitlement evidence.</w:t>
            </w:r>
          </w:p>
        </w:tc>
      </w:tr>
      <w:tr>
        <w:trPr>
          <w:cantSplit/>
          <w:trHeight w:hRule="atLeast"/>
        </w:trPr>
        <w:tc>
          <w:tcPr>
            <w:tcW w:type="dxa" w:w="30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Fully published</w:t>
            </w:r>
          </w:p>
        </w:tc>
        <w:tc>
          <w:tcPr>
            <w:tcW w:type="dxa" w:w="1800"/>
            <w:tcBorders>
              <w:top w:val="single" w:sz="6" w:color="D8DFEA"/>
              <w:left w:val="single" w:sz="6" w:color="D8DFEA"/>
              <w:bottom w:val="single" w:sz="6" w:color="D8DFEA"/>
              <w:right w:val="single" w:sz="6" w:color="D8DFEA"/>
              <w:insideH w:val="single" w:sz="6" w:color="D8DFEA"/>
              <w:insideV w:val="single" w:sz="6" w:color="D8DFEA"/>
            </w:tcBorders>
            <w:shd w:fill="FBECEC" w:val="clear"/>
            <w:vAlign w:val="center"/>
          </w:tcPr>
          <w:p>
            <w:pPr>
              <w:spacing w:after="0" w:line="252" w:lineRule="auto"/>
              <w:ind w:left="0" w:right="0" w:firstLine="0"/>
              <w:jc w:val="center"/>
            </w:pPr>
            <w:r>
              <w:rPr>
                <w:rFonts w:ascii="Calibri" w:hAnsi="Calibri" w:eastAsia="Calibri"/>
                <w:b w:val="0"/>
                <w:color w:val="17223B"/>
                <w:sz w:val="16"/>
              </w:rPr>
              <w:t>BLOCKED</w:t>
            </w:r>
          </w:p>
        </w:tc>
        <w:tc>
          <w:tcPr>
            <w:tcW w:type="dxa" w:w="45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Public US store listing and downloadable build.</w:t>
            </w:r>
          </w:p>
        </w:tc>
      </w:tr>
      <w:tr>
        <w:trPr>
          <w:cantSplit/>
          <w:trHeight w:hRule="atLeast"/>
        </w:trPr>
        <w:tc>
          <w:tcPr>
            <w:tcW w:type="dxa" w:w="30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Judge access</w:t>
            </w:r>
          </w:p>
        </w:tc>
        <w:tc>
          <w:tcPr>
            <w:tcW w:type="dxa" w:w="1800"/>
            <w:tcBorders>
              <w:top w:val="single" w:sz="6" w:color="D8DFEA"/>
              <w:left w:val="single" w:sz="6" w:color="D8DFEA"/>
              <w:bottom w:val="single" w:sz="6" w:color="D8DFEA"/>
              <w:right w:val="single" w:sz="6" w:color="D8DFEA"/>
              <w:insideH w:val="single" w:sz="6" w:color="D8DFEA"/>
              <w:insideV w:val="single" w:sz="6" w:color="D8DFEA"/>
            </w:tcBorders>
            <w:shd w:fill="FFF4DB" w:val="clear"/>
            <w:vAlign w:val="center"/>
          </w:tcPr>
          <w:p>
            <w:pPr>
              <w:spacing w:after="0" w:line="252" w:lineRule="auto"/>
              <w:ind w:left="0" w:right="0" w:firstLine="0"/>
              <w:jc w:val="center"/>
            </w:pPr>
            <w:r>
              <w:rPr>
                <w:rFonts w:ascii="Calibri" w:hAnsi="Calibri" w:eastAsia="Calibri"/>
                <w:b w:val="0"/>
                <w:color w:val="17223B"/>
                <w:sz w:val="16"/>
              </w:rPr>
              <w:t>PARTIAL</w:t>
            </w:r>
          </w:p>
        </w:tc>
        <w:tc>
          <w:tcPr>
            <w:tcW w:type="dxa" w:w="45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Clean reviewer account and trial/promo path.</w:t>
            </w:r>
          </w:p>
        </w:tc>
      </w:tr>
      <w:tr>
        <w:trPr>
          <w:cantSplit/>
          <w:trHeight w:hRule="atLeast"/>
        </w:trPr>
        <w:tc>
          <w:tcPr>
            <w:tcW w:type="dxa" w:w="30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Demo under two minutes</w:t>
            </w:r>
          </w:p>
        </w:tc>
        <w:tc>
          <w:tcPr>
            <w:tcW w:type="dxa" w:w="1800"/>
            <w:tcBorders>
              <w:top w:val="single" w:sz="6" w:color="D8DFEA"/>
              <w:left w:val="single" w:sz="6" w:color="D8DFEA"/>
              <w:bottom w:val="single" w:sz="6" w:color="D8DFEA"/>
              <w:right w:val="single" w:sz="6" w:color="D8DFEA"/>
              <w:insideH w:val="single" w:sz="6" w:color="D8DFEA"/>
              <w:insideV w:val="single" w:sz="6" w:color="D8DFEA"/>
            </w:tcBorders>
            <w:shd w:fill="FBECEC" w:val="clear"/>
            <w:vAlign w:val="center"/>
          </w:tcPr>
          <w:p>
            <w:pPr>
              <w:spacing w:after="0" w:line="252" w:lineRule="auto"/>
              <w:ind w:left="0" w:right="0" w:firstLine="0"/>
              <w:jc w:val="center"/>
            </w:pPr>
            <w:r>
              <w:rPr>
                <w:rFonts w:ascii="Calibri" w:hAnsi="Calibri" w:eastAsia="Calibri"/>
                <w:b w:val="0"/>
                <w:color w:val="17223B"/>
                <w:sz w:val="16"/>
              </w:rPr>
              <w:t>NOT STARTED</w:t>
            </w:r>
          </w:p>
        </w:tc>
        <w:tc>
          <w:tcPr>
            <w:tcW w:type="dxa" w:w="45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Public YouTube/Vimeo URL.</w:t>
            </w:r>
          </w:p>
        </w:tc>
      </w:tr>
      <w:tr>
        <w:trPr>
          <w:cantSplit/>
          <w:trHeight w:hRule="atLeast"/>
        </w:trPr>
        <w:tc>
          <w:tcPr>
            <w:tcW w:type="dxa" w:w="30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Screenshot and icon</w:t>
            </w:r>
          </w:p>
        </w:tc>
        <w:tc>
          <w:tcPr>
            <w:tcW w:type="dxa" w:w="1800"/>
            <w:tcBorders>
              <w:top w:val="single" w:sz="6" w:color="D8DFEA"/>
              <w:left w:val="single" w:sz="6" w:color="D8DFEA"/>
              <w:bottom w:val="single" w:sz="6" w:color="D8DFEA"/>
              <w:right w:val="single" w:sz="6" w:color="D8DFEA"/>
              <w:insideH w:val="single" w:sz="6" w:color="D8DFEA"/>
              <w:insideV w:val="single" w:sz="6" w:color="D8DFEA"/>
            </w:tcBorders>
            <w:shd w:fill="FBECEC" w:val="clear"/>
            <w:vAlign w:val="center"/>
          </w:tcPr>
          <w:p>
            <w:pPr>
              <w:spacing w:after="0" w:line="252" w:lineRule="auto"/>
              <w:ind w:left="0" w:right="0" w:firstLine="0"/>
              <w:jc w:val="center"/>
            </w:pPr>
            <w:r>
              <w:rPr>
                <w:rFonts w:ascii="Calibri" w:hAnsi="Calibri" w:eastAsia="Calibri"/>
                <w:b w:val="0"/>
                <w:color w:val="17223B"/>
                <w:sz w:val="16"/>
              </w:rPr>
              <w:t>NOT COMPLETE</w:t>
            </w:r>
          </w:p>
        </w:tc>
        <w:tc>
          <w:tcPr>
            <w:tcW w:type="dxa" w:w="45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Exact final exports with no device frame.</w:t>
            </w:r>
          </w:p>
        </w:tc>
      </w:tr>
      <w:tr>
        <w:trPr>
          <w:cantSplit/>
          <w:trHeight w:hRule="atLeast"/>
        </w:trPr>
        <w:tc>
          <w:tcPr>
            <w:tcW w:type="dxa" w:w="30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Submission evidence</w:t>
            </w:r>
          </w:p>
        </w:tc>
        <w:tc>
          <w:tcPr>
            <w:tcW w:type="dxa" w:w="1800"/>
            <w:tcBorders>
              <w:top w:val="single" w:sz="6" w:color="D8DFEA"/>
              <w:left w:val="single" w:sz="6" w:color="D8DFEA"/>
              <w:bottom w:val="single" w:sz="6" w:color="D8DFEA"/>
              <w:right w:val="single" w:sz="6" w:color="D8DFEA"/>
              <w:insideH w:val="single" w:sz="6" w:color="D8DFEA"/>
              <w:insideV w:val="single" w:sz="6" w:color="D8DFEA"/>
            </w:tcBorders>
            <w:shd w:fill="FFF4DB" w:val="clear"/>
            <w:vAlign w:val="center"/>
          </w:tcPr>
          <w:p>
            <w:pPr>
              <w:spacing w:after="0" w:line="252" w:lineRule="auto"/>
              <w:ind w:left="0" w:right="0" w:firstLine="0"/>
              <w:jc w:val="center"/>
            </w:pPr>
            <w:r>
              <w:rPr>
                <w:rFonts w:ascii="Calibri" w:hAnsi="Calibri" w:eastAsia="Calibri"/>
                <w:b w:val="0"/>
                <w:color w:val="17223B"/>
                <w:sz w:val="16"/>
              </w:rPr>
              <w:t>DRAFT</w:t>
            </w:r>
          </w:p>
        </w:tc>
        <w:tc>
          <w:tcPr>
            <w:tcW w:type="dxa" w:w="45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Final text, URLs, screenshots, metrics, and claims.</w:t>
            </w:r>
          </w:p>
        </w:tc>
      </w:tr>
    </w:tbl>
    <w:p>
      <w:pPr>
        <w:spacing w:after="20"/>
      </w:pPr>
    </w:p>
    <w:p>
      <w:pPr>
        <w:pStyle w:val="Heading1"/>
        <w:keepNext/>
        <w:ind w:left="0" w:right="0" w:firstLine="0"/>
      </w:pPr>
      <w:r>
        <w:rPr>
          <w:rFonts w:ascii="Calibri" w:hAnsi="Calibri" w:eastAsia="Calibri"/>
          <w:b/>
          <w:color w:val="275DCE"/>
          <w:sz w:val="27"/>
        </w:rPr>
        <w:t>02 · Readiness score and probability bands</w:t>
      </w:r>
    </w:p>
    <w:p>
      <w:pPr>
        <w:spacing w:before="120" w:after="80"/>
        <w:jc w:val="center"/>
      </w:pPr>
      <w:r>
        <w:drawing>
          <wp:inline xmlns:a="http://schemas.openxmlformats.org/drawingml/2006/main" xmlns:pic="http://schemas.openxmlformats.org/drawingml/2006/picture">
            <wp:extent cx="5623560" cy="2977179"/>
            <wp:docPr id="2" name="Picture 2" descr="Horizontal readiness chart showing product value 76, engineering 72, design and accessibility 66, RevenueCat 48, story and assets 35, mobile/store 30, and traction 18" title="Horizontal readiness chart showing product value 76, engineering 72, design and accessibility 66, RevenueCat 48, story and assets 35, mobile/store 30, and traction 18"/>
            <wp:cNvGraphicFramePr>
              <a:graphicFrameLocks noChangeAspect="1"/>
            </wp:cNvGraphicFramePr>
            <a:graphic>
              <a:graphicData uri="http://schemas.openxmlformats.org/drawingml/2006/picture">
                <pic:pic>
                  <pic:nvPicPr>
                    <pic:cNvPr id="0" name="readiness.png"/>
                    <pic:cNvPicPr/>
                  </pic:nvPicPr>
                  <pic:blipFill>
                    <a:blip r:embed="rId14"/>
                    <a:stretch>
                      <a:fillRect/>
                    </a:stretch>
                  </pic:blipFill>
                  <pic:spPr>
                    <a:xfrm>
                      <a:off x="0" y="0"/>
                      <a:ext cx="5623560" cy="2977179"/>
                    </a:xfrm>
                    <a:prstGeom prst="rect"/>
                  </pic:spPr>
                </pic:pic>
              </a:graphicData>
            </a:graphic>
          </wp:inline>
        </w:drawing>
      </w:r>
    </w:p>
    <w:p>
      <w:pPr>
        <w:spacing w:before="0" w:after="160"/>
        <w:jc w:val="center"/>
      </w:pPr>
      <w:r>
        <w:rPr>
          <w:rFonts w:ascii="Calibri" w:hAnsi="Calibri" w:eastAsia="Calibri"/>
          <w:i/>
          <w:color w:val="5B667A"/>
          <w:sz w:val="17"/>
        </w:rPr>
        <w:t>The 54/100 overall score is a prioritization model, not an official judging score.</w:t>
      </w:r>
    </w:p>
    <w:p>
      <w:pPr>
        <w:pStyle w:val="Heading2"/>
        <w:keepNext/>
        <w:ind w:left="0" w:right="0" w:firstLine="0"/>
      </w:pPr>
      <w:r>
        <w:t>Winning probability bands</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2450"/>
        <w:gridCol w:w="2200"/>
        <w:gridCol w:w="4710"/>
      </w:tblGrid>
      <w:tr>
        <w:trPr>
          <w:cantSplit/>
          <w:trHeight w:hRule="atLeast"/>
          <w:tblHeader w:val="true"/>
        </w:trPr>
        <w:tc>
          <w:tcPr>
            <w:tcW w:type="dxa" w:w="245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Scenario</w:t>
            </w:r>
          </w:p>
        </w:tc>
        <w:tc>
          <w:tcPr>
            <w:tcW w:type="dxa" w:w="220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left"/>
            </w:pPr>
            <w:r>
              <w:rPr>
                <w:rFonts w:ascii="Calibri" w:hAnsi="Calibri" w:eastAsia="Calibri"/>
                <w:b/>
                <w:color w:val="13254A"/>
                <w:sz w:val="17"/>
              </w:rPr>
              <w:t>Judgment range</w:t>
            </w:r>
          </w:p>
        </w:tc>
        <w:tc>
          <w:tcPr>
            <w:tcW w:type="dxa" w:w="471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Reason</w:t>
            </w:r>
          </w:p>
        </w:tc>
      </w:tr>
      <w:tr>
        <w:trPr>
          <w:cantSplit/>
          <w:trHeight w:hRule="atLeast"/>
        </w:trPr>
        <w:tc>
          <w:tcPr>
            <w:tcW w:type="dxa" w:w="24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Submit today</w:t>
            </w:r>
          </w:p>
        </w:tc>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&lt;1%</w:t>
            </w:r>
          </w:p>
        </w:tc>
        <w:tc>
          <w:tcPr>
            <w:tcW w:type="dxa" w:w="47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A missing publication gate can make the entry ineligible.</w:t>
            </w:r>
          </w:p>
        </w:tc>
      </w:tr>
      <w:tr>
        <w:trPr>
          <w:cantSplit/>
          <w:trHeight w:hRule="atLeast"/>
        </w:trPr>
        <w:tc>
          <w:tcPr>
            <w:tcW w:type="dxa" w:w="24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Complete minimum gates</w:t>
            </w:r>
          </w:p>
        </w:tc>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1–3%</w:t>
            </w:r>
          </w:p>
        </w:tc>
        <w:tc>
          <w:tcPr>
            <w:tcW w:type="dxa" w:w="47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Functional, but weak differentiated evidence and traction.</w:t>
            </w:r>
          </w:p>
        </w:tc>
      </w:tr>
      <w:tr>
        <w:trPr>
          <w:cantSplit/>
          <w:trHeight w:hRule="atLeast"/>
        </w:trPr>
        <w:tc>
          <w:tcPr>
            <w:tcW w:type="dxa" w:w="24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Execute recommended plan</w:t>
            </w:r>
          </w:p>
        </w:tc>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5–10% category</w:t>
            </w:r>
          </w:p>
        </w:tc>
        <w:tc>
          <w:tcPr>
            <w:tcW w:type="dxa" w:w="47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Polished native journey, transactions, demo, and real user evidence.</w:t>
            </w:r>
          </w:p>
        </w:tc>
      </w:tr>
      <w:tr>
        <w:trPr>
          <w:cantSplit/>
          <w:trHeight w:hRule="atLeast"/>
        </w:trPr>
        <w:tc>
          <w:tcPr>
            <w:tcW w:type="dxa" w:w="24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Grand Prize</w:t>
            </w:r>
          </w:p>
        </w:tc>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&lt;2% without revenue</w:t>
            </w:r>
          </w:p>
        </w:tc>
        <w:tc>
          <w:tcPr>
            <w:tcW w:type="dxa" w:w="47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The rules emphasize revenue shortlist and growth evidence.</w:t>
            </w:r>
          </w:p>
        </w:tc>
      </w:tr>
    </w:tbl>
    <w:p>
      <w:pPr>
        <w:spacing w:after="20"/>
      </w:pPr>
    </w:p>
    <w:tbl>
      <w:tblPr>
        <w:tblW w:type="dxa" w:w="9360"/>
        <w:jc w:val="left"/>
        <w:tblLayout w:type="fixed"/>
        <w:tblLook w:firstColumn="1" w:firstRow="1" w:lastColumn="0" w:lastRow="0" w:noHBand="0" w:noVBand="1" w:val="04A0"/>
        <w:tblInd w:type="dxa" w:w="120"/>
        <w:tblCellMar>
          <w:top w:w="100" w:type="dxa"/>
          <w:bottom w:w="100" w:type="dxa"/>
          <w:start w:w="120" w:type="dxa"/>
          <w:end w:w="120" w:type="dxa"/>
        </w:tblCellMar>
      </w:tblPr>
      <w:tblGrid>
        <w:gridCol w:w="9360"/>
      </w:tblGrid>
      <w:tr>
        <w:trPr>
          <w:cantSplit/>
          <w:trHeight w:hRule="atLeast"/>
        </w:trPr>
        <w:tc>
          <w:tcPr>
            <w:tcW w:type="dxa" w:w="9360"/>
            <w:vAlign w:val="center"/>
            <w:shd w:fill="EAF9FE" w:val="clear"/>
            <w:tcBorders>
              <w:top w:val="single" w:sz="8" w:color="35B7EC"/>
              <w:left w:val="single" w:sz="8" w:color="35B7EC"/>
              <w:bottom w:val="single" w:sz="8" w:color="35B7EC"/>
              <w:right w:val="single" w:sz="8" w:color="35B7EC"/>
              <w:insideH w:val="single" w:sz="8" w:color="35B7EC"/>
              <w:insideV w:val="single" w:sz="8" w:color="35B7EC"/>
            </w:tcBorders>
          </w:tcPr>
          <w:p>
            <w:pPr>
              <w:spacing w:before="60" w:after="60"/>
            </w:pPr>
            <w:r>
              <w:rPr>
                <w:rFonts w:ascii="Calibri" w:hAnsi="Calibri" w:eastAsia="Calibri"/>
                <w:b/>
                <w:color w:val="35B7EC"/>
                <w:sz w:val="19"/>
              </w:rPr>
              <w:t xml:space="preserve">INTERPRETATION  </w:t>
            </w:r>
            <w:r>
              <w:rPr>
                <w:rFonts w:ascii="Calibri" w:hAnsi="Calibri" w:eastAsia="Calibri"/>
                <w:color w:val="17223B"/>
                <w:sz w:val="20"/>
              </w:rPr>
              <w:t>These percentages are judgment bands, not statistical forecasts: no entrant count, judge distribution, or historical base rate is available. The goal is to become installable, provable, understandable, and memorable in two minutes.</w:t>
            </w:r>
          </w:p>
        </w:tc>
      </w:tr>
    </w:tbl>
    <w:p>
      <w:pPr>
        <w:spacing w:after="20"/>
      </w:pPr>
    </w:p>
    <w:p>
      <w:r>
        <w:br w:type="page"/>
      </w:r>
    </w:p>
    <w:p>
      <w:pPr>
        <w:pStyle w:val="Heading1"/>
        <w:keepNext/>
        <w:ind w:left="0" w:right="0" w:firstLine="0"/>
      </w:pPr>
      <w:r>
        <w:t>03 · Category strategy and winning narrative</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1800"/>
        <w:gridCol w:w="1500"/>
        <w:gridCol w:w="2300"/>
        <w:gridCol w:w="3760"/>
      </w:tblGrid>
      <w:tr>
        <w:trPr>
          <w:cantSplit/>
          <w:trHeight w:hRule="atLeast"/>
          <w:tblHeader w:val="true"/>
        </w:trPr>
        <w:tc>
          <w:tcPr>
            <w:tcW w:type="dxa" w:w="180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Category</w:t>
            </w:r>
          </w:p>
        </w:tc>
        <w:tc>
          <w:tcPr>
            <w:tcW w:type="dxa" w:w="150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Fit today</w:t>
            </w:r>
          </w:p>
        </w:tc>
        <w:tc>
          <w:tcPr>
            <w:tcW w:type="dxa" w:w="230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left"/>
            </w:pPr>
            <w:r>
              <w:rPr>
                <w:rFonts w:ascii="Calibri" w:hAnsi="Calibri" w:eastAsia="Calibri"/>
                <w:b/>
                <w:color w:val="13254A"/>
                <w:sz w:val="17"/>
              </w:rPr>
              <w:t>Recommendation</w:t>
            </w:r>
          </w:p>
        </w:tc>
        <w:tc>
          <w:tcPr>
            <w:tcW w:type="dxa" w:w="376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Proof needed</w:t>
            </w:r>
          </w:p>
        </w:tc>
      </w:tr>
      <w:tr>
        <w:trPr>
          <w:cantSplit/>
          <w:trHeight w:hRule="atLeast"/>
        </w:trPr>
        <w:tc>
          <w:tcPr>
            <w:tcW w:type="dxa" w:w="18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Design</w:t>
            </w:r>
          </w:p>
        </w:tc>
        <w:tc>
          <w:tcPr>
            <w:tcW w:type="dxa" w:w="1500"/>
            <w:tcBorders>
              <w:top w:val="single" w:sz="6" w:color="D8DFEA"/>
              <w:left w:val="single" w:sz="6" w:color="D8DFEA"/>
              <w:bottom w:val="single" w:sz="6" w:color="D8DFEA"/>
              <w:right w:val="single" w:sz="6" w:color="D8DFEA"/>
              <w:insideH w:val="single" w:sz="6" w:color="D8DFEA"/>
              <w:insideV w:val="single" w:sz="6" w:color="D8DFEA"/>
            </w:tcBorders>
            <w:shd w:fill="FFF4DB" w:val="clear"/>
            <w:vAlign w:val="center"/>
          </w:tcPr>
          <w:p>
            <w:pPr>
              <w:spacing w:after="0" w:line="252" w:lineRule="auto"/>
              <w:ind w:left="0" w:right="0" w:firstLine="0"/>
              <w:jc w:val="center"/>
            </w:pPr>
            <w:r>
              <w:rPr>
                <w:rFonts w:ascii="Calibri" w:hAnsi="Calibri" w:eastAsia="Calibri"/>
                <w:b w:val="0"/>
                <w:color w:val="17223B"/>
                <w:sz w:val="16"/>
              </w:rPr>
              <w:t>MEDIUM</w:t>
            </w:r>
          </w:p>
        </w:tc>
        <w:tc>
          <w:tcPr>
            <w:tcW w:type="dxa" w:w="23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PRIMARY</w:t>
            </w:r>
          </w:p>
        </w:tc>
        <w:tc>
          <w:tcPr>
            <w:tcW w:type="dxa" w:w="37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Native hierarchy, trust communication, accessibility, continuous screenshot story.</w:t>
            </w:r>
          </w:p>
        </w:tc>
      </w:tr>
      <w:tr>
        <w:trPr>
          <w:cantSplit/>
          <w:trHeight w:hRule="atLeast"/>
        </w:trPr>
        <w:tc>
          <w:tcPr>
            <w:tcW w:type="dxa" w:w="18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Replit Idea to Income</w:t>
            </w:r>
          </w:p>
        </w:tc>
        <w:tc>
          <w:tcPr>
            <w:tcW w:type="dxa" w:w="1500"/>
            <w:tcBorders>
              <w:top w:val="single" w:sz="6" w:color="D8DFEA"/>
              <w:left w:val="single" w:sz="6" w:color="D8DFEA"/>
              <w:bottom w:val="single" w:sz="6" w:color="D8DFEA"/>
              <w:right w:val="single" w:sz="6" w:color="D8DFEA"/>
              <w:insideH w:val="single" w:sz="6" w:color="D8DFEA"/>
              <w:insideV w:val="single" w:sz="6" w:color="D8DFEA"/>
            </w:tcBorders>
            <w:shd w:fill="FFF4DB" w:val="clear"/>
            <w:vAlign w:val="center"/>
          </w:tcPr>
          <w:p>
            <w:pPr>
              <w:spacing w:after="0" w:line="252" w:lineRule="auto"/>
              <w:ind w:left="0" w:right="0" w:firstLine="0"/>
              <w:jc w:val="center"/>
            </w:pPr>
            <w:r>
              <w:rPr>
                <w:rFonts w:ascii="Calibri" w:hAnsi="Calibri" w:eastAsia="Calibri"/>
                <w:b w:val="0"/>
                <w:color w:val="17223B"/>
                <w:sz w:val="16"/>
              </w:rPr>
              <w:t>CONDITIONAL</w:t>
            </w:r>
          </w:p>
        </w:tc>
        <w:tc>
          <w:tcPr>
            <w:tcW w:type="dxa" w:w="23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SECONDARY IF PROVEN</w:t>
            </w:r>
          </w:p>
        </w:tc>
        <w:tc>
          <w:tcPr>
            <w:tcW w:type="dxa" w:w="37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Required Replit workflow, three public posts, launch/growth/revenue evidence.</w:t>
            </w:r>
          </w:p>
        </w:tc>
      </w:tr>
      <w:tr>
        <w:trPr>
          <w:cantSplit/>
          <w:trHeight w:hRule="atLeast"/>
        </w:trPr>
        <w:tc>
          <w:tcPr>
            <w:tcW w:type="dxa" w:w="18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Peace</w:t>
            </w:r>
          </w:p>
        </w:tc>
        <w:tc>
          <w:tcPr>
            <w:tcW w:type="dxa" w:w="1500"/>
            <w:tcBorders>
              <w:top w:val="single" w:sz="6" w:color="D8DFEA"/>
              <w:left w:val="single" w:sz="6" w:color="D8DFEA"/>
              <w:bottom w:val="single" w:sz="6" w:color="D8DFEA"/>
              <w:right w:val="single" w:sz="6" w:color="D8DFEA"/>
              <w:insideH w:val="single" w:sz="6" w:color="D8DFEA"/>
              <w:insideV w:val="single" w:sz="6" w:color="D8DFEA"/>
            </w:tcBorders>
            <w:shd w:fill="FBECEC" w:val="clear"/>
            <w:vAlign w:val="center"/>
          </w:tcPr>
          <w:p>
            <w:pPr>
              <w:spacing w:after="0" w:line="252" w:lineRule="auto"/>
              <w:ind w:left="0" w:right="0" w:firstLine="0"/>
              <w:jc w:val="center"/>
            </w:pPr>
            <w:r>
              <w:rPr>
                <w:rFonts w:ascii="Calibri" w:hAnsi="Calibri" w:eastAsia="Calibri"/>
                <w:b w:val="0"/>
                <w:color w:val="17223B"/>
                <w:sz w:val="16"/>
              </w:rPr>
              <w:t>MEDIUM-LOW</w:t>
            </w:r>
          </w:p>
        </w:tc>
        <w:tc>
          <w:tcPr>
            <w:tcW w:type="dxa" w:w="23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EVIDENCE-DEPENDENT</w:t>
            </w:r>
          </w:p>
        </w:tc>
        <w:tc>
          <w:tcPr>
            <w:tcW w:type="dxa" w:w="37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Measured information-literacy outcome; avoid overstated impact.</w:t>
            </w:r>
          </w:p>
        </w:tc>
      </w:tr>
      <w:tr>
        <w:trPr>
          <w:cantSplit/>
          <w:trHeight w:hRule="atLeast"/>
        </w:trPr>
        <w:tc>
          <w:tcPr>
            <w:tcW w:type="dxa" w:w="18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HAMM</w:t>
            </w:r>
          </w:p>
        </w:tc>
        <w:tc>
          <w:tcPr>
            <w:tcW w:type="dxa" w:w="1500"/>
            <w:tcBorders>
              <w:top w:val="single" w:sz="6" w:color="D8DFEA"/>
              <w:left w:val="single" w:sz="6" w:color="D8DFEA"/>
              <w:bottom w:val="single" w:sz="6" w:color="D8DFEA"/>
              <w:right w:val="single" w:sz="6" w:color="D8DFEA"/>
              <w:insideH w:val="single" w:sz="6" w:color="D8DFEA"/>
              <w:insideV w:val="single" w:sz="6" w:color="D8DFEA"/>
            </w:tcBorders>
            <w:shd w:fill="FBECEC" w:val="clear"/>
            <w:vAlign w:val="center"/>
          </w:tcPr>
          <w:p>
            <w:pPr>
              <w:spacing w:after="0" w:line="252" w:lineRule="auto"/>
              <w:ind w:left="0" w:right="0" w:firstLine="0"/>
              <w:jc w:val="center"/>
            </w:pPr>
            <w:r>
              <w:rPr>
                <w:rFonts w:ascii="Calibri" w:hAnsi="Calibri" w:eastAsia="Calibri"/>
                <w:b w:val="0"/>
                <w:color w:val="17223B"/>
                <w:sz w:val="16"/>
              </w:rPr>
              <w:t>LOW</w:t>
            </w:r>
          </w:p>
        </w:tc>
        <w:tc>
          <w:tcPr>
            <w:tcW w:type="dxa" w:w="23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DO NOT PRIORITIZE</w:t>
            </w:r>
          </w:p>
        </w:tc>
        <w:tc>
          <w:tcPr>
            <w:tcW w:type="dxa" w:w="37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Conversion craft, pricing evidence, and diverse revenue streams.</w:t>
            </w:r>
          </w:p>
        </w:tc>
      </w:tr>
      <w:tr>
        <w:trPr>
          <w:cantSplit/>
          <w:trHeight w:hRule="atLeast"/>
        </w:trPr>
        <w:tc>
          <w:tcPr>
            <w:tcW w:type="dxa" w:w="18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Productivity Influencer</w:t>
            </w:r>
          </w:p>
        </w:tc>
        <w:tc>
          <w:tcPr>
            <w:tcW w:type="dxa" w:w="1500"/>
            <w:tcBorders>
              <w:top w:val="single" w:sz="6" w:color="D8DFEA"/>
              <w:left w:val="single" w:sz="6" w:color="D8DFEA"/>
              <w:bottom w:val="single" w:sz="6" w:color="D8DFEA"/>
              <w:right w:val="single" w:sz="6" w:color="D8DFEA"/>
              <w:insideH w:val="single" w:sz="6" w:color="D8DFEA"/>
              <w:insideV w:val="single" w:sz="6" w:color="D8DFEA"/>
            </w:tcBorders>
            <w:shd w:fill="FBECEC" w:val="clear"/>
            <w:vAlign w:val="center"/>
          </w:tcPr>
          <w:p>
            <w:pPr>
              <w:spacing w:after="0" w:line="252" w:lineRule="auto"/>
              <w:ind w:left="0" w:right="0" w:firstLine="0"/>
              <w:jc w:val="center"/>
            </w:pPr>
            <w:r>
              <w:rPr>
                <w:rFonts w:ascii="Calibri" w:hAnsi="Calibri" w:eastAsia="Calibri"/>
                <w:b w:val="0"/>
                <w:color w:val="17223B"/>
                <w:sz w:val="16"/>
              </w:rPr>
              <w:t>POOR</w:t>
            </w:r>
          </w:p>
        </w:tc>
        <w:tc>
          <w:tcPr>
            <w:tcW w:type="dxa" w:w="23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SKIP</w:t>
            </w:r>
          </w:p>
        </w:tc>
        <w:tc>
          <w:tcPr>
            <w:tcW w:type="dxa" w:w="37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Product is not an Apple power-user content utility.</w:t>
            </w:r>
          </w:p>
        </w:tc>
      </w:tr>
      <w:tr>
        <w:trPr>
          <w:cantSplit/>
          <w:trHeight w:hRule="atLeast"/>
        </w:trPr>
        <w:tc>
          <w:tcPr>
            <w:tcW w:type="dxa" w:w="18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Next Gen</w:t>
            </w:r>
          </w:p>
        </w:tc>
        <w:tc>
          <w:tcPr>
            <w:tcW w:type="dxa" w:w="1500"/>
            <w:tcBorders>
              <w:top w:val="single" w:sz="6" w:color="D8DFEA"/>
              <w:left w:val="single" w:sz="6" w:color="D8DFEA"/>
              <w:bottom w:val="single" w:sz="6" w:color="D8DFEA"/>
              <w:right w:val="single" w:sz="6" w:color="D8DFEA"/>
              <w:insideH w:val="single" w:sz="6" w:color="D8DFEA"/>
              <w:insideV w:val="single" w:sz="6" w:color="D8DFEA"/>
            </w:tcBorders>
            <w:shd w:fill="FFF4DB" w:val="clear"/>
            <w:vAlign w:val="center"/>
          </w:tcPr>
          <w:p>
            <w:pPr>
              <w:spacing w:after="0" w:line="252" w:lineRule="auto"/>
              <w:ind w:left="0" w:right="0" w:firstLine="0"/>
              <w:jc w:val="center"/>
            </w:pPr>
            <w:r>
              <w:rPr>
                <w:rFonts w:ascii="Calibri" w:hAnsi="Calibri" w:eastAsia="Calibri"/>
                <w:b w:val="0"/>
                <w:color w:val="17223B"/>
                <w:sz w:val="16"/>
              </w:rPr>
              <w:t>CONDITIONAL</w:t>
            </w:r>
          </w:p>
        </w:tc>
        <w:tc>
          <w:tcPr>
            <w:tcW w:type="dxa" w:w="23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ONLY IF ELIGIBLE</w:t>
            </w:r>
          </w:p>
        </w:tc>
        <w:tc>
          <w:tcPr>
            <w:tcW w:type="dxa" w:w="37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Entrant criteria plus public open-source repo and license.</w:t>
            </w:r>
          </w:p>
        </w:tc>
      </w:tr>
    </w:tbl>
    <w:p>
      <w:pPr>
        <w:spacing w:after="20"/>
      </w:pPr>
    </w:p>
    <w:p>
      <w:pPr>
        <w:pStyle w:val="Heading2"/>
        <w:keepNext/>
        <w:ind w:left="0" w:right="0" w:firstLine="0"/>
      </w:pPr>
      <w:r>
        <w:t>Recommended positioning</w:t>
      </w:r>
    </w:p>
    <w:tbl>
      <w:tblPr>
        <w:tblW w:type="dxa" w:w="9360"/>
        <w:jc w:val="left"/>
        <w:tblLayout w:type="fixed"/>
        <w:tblLook w:firstColumn="1" w:firstRow="1" w:lastColumn="0" w:lastRow="0" w:noHBand="0" w:noVBand="1" w:val="04A0"/>
        <w:tblInd w:type="dxa" w:w="120"/>
        <w:tblCellMar>
          <w:top w:w="100" w:type="dxa"/>
          <w:bottom w:w="100" w:type="dxa"/>
          <w:start w:w="120" w:type="dxa"/>
          <w:end w:w="120" w:type="dxa"/>
        </w:tblCellMar>
      </w:tblPr>
      <w:tblGrid>
        <w:gridCol w:w="9360"/>
      </w:tblGrid>
      <w:tr>
        <w:trPr>
          <w:cantSplit/>
          <w:trHeight w:hRule="atLeast"/>
        </w:trPr>
        <w:tc>
          <w:tcPr>
            <w:tcW w:type="dxa" w:w="9360"/>
            <w:vAlign w:val="center"/>
            <w:shd w:fill="EAF1FF" w:val="clear"/>
            <w:tcBorders>
              <w:top w:val="single" w:sz="8" w:color="275DCE"/>
              <w:left w:val="single" w:sz="8" w:color="275DCE"/>
              <w:bottom w:val="single" w:sz="8" w:color="275DCE"/>
              <w:right w:val="single" w:sz="8" w:color="275DCE"/>
              <w:insideH w:val="single" w:sz="8" w:color="275DCE"/>
              <w:insideV w:val="single" w:sz="8" w:color="275DCE"/>
            </w:tcBorders>
          </w:tcPr>
          <w:p>
            <w:pPr>
              <w:spacing w:before="60" w:after="60"/>
            </w:pPr>
            <w:r>
              <w:rPr>
                <w:rFonts w:ascii="Calibri" w:hAnsi="Calibri" w:eastAsia="Calibri"/>
                <w:b/>
                <w:color w:val="275DCE"/>
                <w:sz w:val="19"/>
              </w:rPr>
              <w:t xml:space="preserve">ONE-SENTENCE PITCH  </w:t>
            </w:r>
            <w:r>
              <w:rPr>
                <w:rFonts w:ascii="Calibri" w:hAnsi="Calibri" w:eastAsia="Calibri"/>
                <w:color w:val="17223B"/>
                <w:sz w:val="20"/>
              </w:rPr>
              <w:t>Casparel helps students move from ‘I found a resource’ to ‘I know why to trust it, what its limits are, and what to do next.’</w:t>
            </w:r>
          </w:p>
        </w:tc>
      </w:tr>
    </w:tbl>
    <w:p>
      <w:pPr>
        <w:spacing w:after="20"/>
      </w:pPr>
    </w:p>
    <w:p>
      <w:pPr>
        <w:spacing w:after="120"/>
      </w:pPr>
      <w:r>
        <w:rPr>
          <w:rFonts w:ascii="Calibri" w:hAnsi="Calibri" w:eastAsia="Calibri"/>
          <w:i w:val="0"/>
          <w:color w:val="17223B"/>
          <w:sz w:val="21"/>
        </w:rPr>
        <w:t>Design is the strongest primary target because Casparel can make a complex credibility report immediately understandable to a student. The opportunity is not decorative polish: it is evidence, limitations, confidence, and next action arranged with exceptional clarity.</w:t>
      </w:r>
    </w:p>
    <w:p>
      <w:pPr>
        <w:keepLines/>
        <w:numPr>
          <w:ilvl w:val="0"/>
          <w:numId w:val="10"/>
        </w:numPr>
        <w:spacing w:after="120" w:lineRule="atLeast" w:line="300"/>
      </w:pPr>
      <w:r>
        <w:rPr>
          <w:rFonts w:ascii="Calibri" w:hAnsi="Calibri" w:eastAsia="Calibri"/>
          <w:color w:val="17223B"/>
          <w:sz w:val="21"/>
        </w:rPr>
        <w:t>Make the source-review reveal the visual center of the submitted app.</w:t>
      </w:r>
    </w:p>
    <w:p>
      <w:pPr>
        <w:keepLines/>
        <w:numPr>
          <w:ilvl w:val="0"/>
          <w:numId w:val="10"/>
        </w:numPr>
        <w:spacing w:after="120" w:lineRule="atLeast" w:line="300"/>
      </w:pPr>
      <w:r>
        <w:rPr>
          <w:rFonts w:ascii="Calibri" w:hAnsi="Calibri" w:eastAsia="Calibri"/>
          <w:color w:val="17223B"/>
          <w:sz w:val="21"/>
        </w:rPr>
        <w:t>Show evidence and limitations without fear-based or falsely objective scoring.</w:t>
      </w:r>
    </w:p>
    <w:p>
      <w:pPr>
        <w:keepLines/>
        <w:numPr>
          <w:ilvl w:val="0"/>
          <w:numId w:val="10"/>
        </w:numPr>
        <w:spacing w:after="120" w:lineRule="atLeast" w:line="300"/>
      </w:pPr>
      <w:r>
        <w:rPr>
          <w:rFonts w:ascii="Calibri" w:hAnsi="Calibri" w:eastAsia="Calibri"/>
          <w:color w:val="17223B"/>
          <w:sz w:val="21"/>
        </w:rPr>
        <w:t>Finish native accessibility, motion, empty/loading/error states, and package selection.</w:t>
      </w:r>
    </w:p>
    <w:p>
      <w:pPr>
        <w:keepLines/>
        <w:numPr>
          <w:ilvl w:val="0"/>
          <w:numId w:val="10"/>
        </w:numPr>
        <w:spacing w:after="120" w:lineRule="atLeast" w:line="300"/>
      </w:pPr>
      <w:r>
        <w:rPr>
          <w:rFonts w:ascii="Calibri" w:hAnsi="Calibri" w:eastAsia="Calibri"/>
          <w:color w:val="17223B"/>
          <w:sz w:val="21"/>
        </w:rPr>
        <w:t>Use screenshots that tell one continuous learner journey.</w:t>
      </w:r>
    </w:p>
    <w:p>
      <w:pPr>
        <w:keepLines/>
        <w:numPr>
          <w:ilvl w:val="0"/>
          <w:numId w:val="10"/>
        </w:numPr>
        <w:spacing w:after="120" w:lineRule="atLeast" w:line="300"/>
      </w:pPr>
      <w:r>
        <w:rPr>
          <w:rFonts w:ascii="Calibri" w:hAnsi="Calibri" w:eastAsia="Calibri"/>
          <w:color w:val="17223B"/>
          <w:sz w:val="21"/>
        </w:rPr>
        <w:t>Remove every claim that cannot be observed in the submitted binary.</w:t>
      </w:r>
    </w:p>
    <w:p>
      <w:pPr>
        <w:pStyle w:val="Heading1"/>
        <w:keepNext/>
        <w:ind w:left="0" w:right="0" w:firstLine="0"/>
      </w:pPr>
      <w:r>
        <w:t>04 · Two-minute demo plan</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1500"/>
        <w:gridCol w:w="1700"/>
        <w:gridCol w:w="6160"/>
      </w:tblGrid>
      <w:tr>
        <w:trPr>
          <w:cantSplit/>
          <w:trHeight w:hRule="atLeast"/>
          <w:tblHeader w:val="true"/>
        </w:trPr>
        <w:tc>
          <w:tcPr>
            <w:tcW w:type="dxa" w:w="150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Time</w:t>
            </w:r>
          </w:p>
        </w:tc>
        <w:tc>
          <w:tcPr>
            <w:tcW w:type="dxa" w:w="170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Beat</w:t>
            </w:r>
          </w:p>
        </w:tc>
        <w:tc>
          <w:tcPr>
            <w:tcW w:type="dxa" w:w="616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left"/>
            </w:pPr>
            <w:r>
              <w:rPr>
                <w:rFonts w:ascii="Calibri" w:hAnsi="Calibri" w:eastAsia="Calibri"/>
                <w:b/>
                <w:color w:val="13254A"/>
                <w:sz w:val="17"/>
              </w:rPr>
              <w:t>What the judge sees and understands</w:t>
            </w:r>
          </w:p>
        </w:tc>
      </w:tr>
      <w:tr>
        <w:trPr>
          <w:cantSplit/>
          <w:trHeight w:hRule="atLeast"/>
        </w:trPr>
        <w:tc>
          <w:tcPr>
            <w:tcW w:type="dxa" w:w="1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0:00–0:12</w:t>
            </w:r>
          </w:p>
        </w:tc>
        <w:tc>
          <w:tcPr>
            <w:tcW w:type="dxa" w:w="17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Problem</w:t>
            </w:r>
          </w:p>
        </w:tc>
        <w:tc>
          <w:tcPr>
            <w:tcW w:type="dxa" w:w="61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Search results are abundant; confidence is not.</w:t>
            </w:r>
          </w:p>
        </w:tc>
      </w:tr>
      <w:tr>
        <w:trPr>
          <w:cantSplit/>
          <w:trHeight w:hRule="atLeast"/>
        </w:trPr>
        <w:tc>
          <w:tcPr>
            <w:tcW w:type="dxa" w:w="1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0:12–0:35</w:t>
            </w:r>
          </w:p>
        </w:tc>
        <w:tc>
          <w:tcPr>
            <w:tcW w:type="dxa" w:w="17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Discover</w:t>
            </w:r>
          </w:p>
        </w:tc>
        <w:tc>
          <w:tcPr>
            <w:tcW w:type="dxa" w:w="61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Find a learning resource and show provenance.</w:t>
            </w:r>
          </w:p>
        </w:tc>
      </w:tr>
      <w:tr>
        <w:trPr>
          <w:cantSplit/>
          <w:trHeight w:hRule="atLeast"/>
        </w:trPr>
        <w:tc>
          <w:tcPr>
            <w:tcW w:type="dxa" w:w="1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0:35–1:05</w:t>
            </w:r>
          </w:p>
        </w:tc>
        <w:tc>
          <w:tcPr>
            <w:tcW w:type="dxa" w:w="17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Evaluate</w:t>
            </w:r>
          </w:p>
        </w:tc>
        <w:tc>
          <w:tcPr>
            <w:tcW w:type="dxa" w:w="61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Run deep source research; surface citations, concerns, and limitations.</w:t>
            </w:r>
          </w:p>
        </w:tc>
      </w:tr>
      <w:tr>
        <w:trPr>
          <w:cantSplit/>
          <w:trHeight w:hRule="atLeast"/>
        </w:trPr>
        <w:tc>
          <w:tcPr>
            <w:tcW w:type="dxa" w:w="1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1:05–1:25</w:t>
            </w:r>
          </w:p>
        </w:tc>
        <w:tc>
          <w:tcPr>
            <w:tcW w:type="dxa" w:w="17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Act</w:t>
            </w:r>
          </w:p>
        </w:tc>
        <w:tc>
          <w:tcPr>
            <w:tcW w:type="dxa" w:w="61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Save the resource and schedule the next study step.</w:t>
            </w:r>
          </w:p>
        </w:tc>
      </w:tr>
      <w:tr>
        <w:trPr>
          <w:cantSplit/>
          <w:trHeight w:hRule="atLeast"/>
        </w:trPr>
        <w:tc>
          <w:tcPr>
            <w:tcW w:type="dxa" w:w="1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1:25–1:42</w:t>
            </w:r>
          </w:p>
        </w:tc>
        <w:tc>
          <w:tcPr>
            <w:tcW w:type="dxa" w:w="17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Teacher</w:t>
            </w:r>
          </w:p>
        </w:tc>
        <w:tc>
          <w:tcPr>
            <w:tcW w:type="dxa" w:w="61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Recommend or assign it and expose learning evidence.</w:t>
            </w:r>
          </w:p>
        </w:tc>
      </w:tr>
      <w:tr>
        <w:trPr>
          <w:cantSplit/>
          <w:trHeight w:hRule="atLeast"/>
        </w:trPr>
        <w:tc>
          <w:tcPr>
            <w:tcW w:type="dxa" w:w="1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1:42–1:52</w:t>
            </w:r>
          </w:p>
        </w:tc>
        <w:tc>
          <w:tcPr>
            <w:tcW w:type="dxa" w:w="17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Business</w:t>
            </w:r>
          </w:p>
        </w:tc>
        <w:tc>
          <w:tcPr>
            <w:tcW w:type="dxa" w:w="61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Show the truthful paywall and a successful entitlement.</w:t>
            </w:r>
          </w:p>
        </w:tc>
      </w:tr>
      <w:tr>
        <w:trPr>
          <w:cantSplit/>
          <w:trHeight w:hRule="atLeast"/>
        </w:trPr>
        <w:tc>
          <w:tcPr>
            <w:tcW w:type="dxa" w:w="1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1:52–2:00</w:t>
            </w:r>
          </w:p>
        </w:tc>
        <w:tc>
          <w:tcPr>
            <w:tcW w:type="dxa" w:w="17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Outcome</w:t>
            </w:r>
          </w:p>
        </w:tc>
        <w:tc>
          <w:tcPr>
            <w:tcW w:type="dxa" w:w="61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Informed learning, not another AI answer box.</w:t>
            </w:r>
          </w:p>
        </w:tc>
      </w:tr>
    </w:tbl>
    <w:p>
      <w:pPr>
        <w:spacing w:after="20"/>
      </w:pPr>
    </w:p>
    <w:tbl>
      <w:tblPr>
        <w:tblW w:type="dxa" w:w="9360"/>
        <w:jc w:val="left"/>
        <w:tblLayout w:type="fixed"/>
        <w:tblLook w:firstColumn="1" w:firstRow="1" w:lastColumn="0" w:lastRow="0" w:noHBand="0" w:noVBand="1" w:val="04A0"/>
        <w:tblInd w:type="dxa" w:w="120"/>
        <w:tblCellMar>
          <w:top w:w="100" w:type="dxa"/>
          <w:bottom w:w="100" w:type="dxa"/>
          <w:start w:w="120" w:type="dxa"/>
          <w:end w:w="120" w:type="dxa"/>
        </w:tblCellMar>
      </w:tblPr>
      <w:tblGrid>
        <w:gridCol w:w="9360"/>
      </w:tblGrid>
      <w:tr>
        <w:trPr>
          <w:cantSplit/>
          <w:trHeight w:hRule="atLeast"/>
        </w:trPr>
        <w:tc>
          <w:tcPr>
            <w:tcW w:type="dxa" w:w="9360"/>
            <w:vAlign w:val="center"/>
            <w:shd w:fill="FFF4DB" w:val="clear"/>
            <w:tcBorders>
              <w:top w:val="single" w:sz="8" w:color="A66A00"/>
              <w:left w:val="single" w:sz="8" w:color="A66A00"/>
              <w:bottom w:val="single" w:sz="8" w:color="A66A00"/>
              <w:right w:val="single" w:sz="8" w:color="A66A00"/>
              <w:insideH w:val="single" w:sz="8" w:color="A66A00"/>
              <w:insideV w:val="single" w:sz="8" w:color="A66A00"/>
            </w:tcBorders>
          </w:tcPr>
          <w:p>
            <w:pPr>
              <w:spacing w:before="60" w:after="60"/>
            </w:pPr>
            <w:r>
              <w:rPr>
                <w:rFonts w:ascii="Calibri" w:hAnsi="Calibri" w:eastAsia="Calibri"/>
                <w:b/>
                <w:color w:val="A66A00"/>
                <w:sz w:val="19"/>
              </w:rPr>
              <w:t xml:space="preserve">CREATIVE RULE  </w:t>
            </w:r>
            <w:r>
              <w:rPr>
                <w:rFonts w:ascii="Calibri" w:hAnsi="Calibri" w:eastAsia="Calibri"/>
                <w:color w:val="17223B"/>
                <w:sz w:val="20"/>
              </w:rPr>
              <w:t>Do not list every feature. The product breadth proves execution; the demo must make one credibility-to-action journey unforgettable.</w:t>
            </w:r>
          </w:p>
        </w:tc>
      </w:tr>
    </w:tbl>
    <w:p>
      <w:pPr>
        <w:spacing w:after="20"/>
      </w:pPr>
    </w:p>
    <w:p>
      <w:pPr>
        <w:pStyle w:val="Heading1"/>
        <w:keepNext/>
        <w:ind w:left="0" w:right="0" w:firstLine="0"/>
      </w:pPr>
      <w:r>
        <w:t>05 · 46-day execution roadmap</w:t>
      </w:r>
    </w:p>
    <w:p>
      <w:pPr>
        <w:spacing w:before="120" w:after="80"/>
        <w:jc w:val="center"/>
      </w:pPr>
      <w:r>
        <w:drawing>
          <wp:inline xmlns:a="http://schemas.openxmlformats.org/drawingml/2006/main" xmlns:pic="http://schemas.openxmlformats.org/drawingml/2006/picture">
            <wp:extent cx="5760720" cy="2432304"/>
            <wp:docPr id="3" name="Picture 3" descr="Timeline from 15 August to 1 October with six phases: release candidate, prove journeys, stores and evidence, category proof, submission candidate, and freeze" title="Timeline from 15 August to 1 October with six phases: release candidate, prove journeys, stores and evidence, category proof, submission candidate, and freeze"/>
            <wp:cNvGraphicFramePr>
              <a:graphicFrameLocks noChangeAspect="1"/>
            </wp:cNvGraphicFramePr>
            <a:graphic>
              <a:graphicData uri="http://schemas.openxmlformats.org/drawingml/2006/picture">
                <pic:pic>
                  <pic:nvPicPr>
                    <pic:cNvPr id="0" name="timeline.png"/>
                    <pic:cNvPicPr/>
                  </pic:nvPicPr>
                  <pic:blipFill>
                    <a:blip r:embed="rId15"/>
                    <a:stretch>
                      <a:fillRect/>
                    </a:stretch>
                  </pic:blipFill>
                  <pic:spPr>
                    <a:xfrm>
                      <a:off x="0" y="0"/>
                      <a:ext cx="5760720" cy="2432304"/>
                    </a:xfrm>
                    <a:prstGeom prst="rect"/>
                  </pic:spPr>
                </pic:pic>
              </a:graphicData>
            </a:graphic>
          </wp:inline>
        </w:drawing>
      </w:r>
    </w:p>
    <w:p>
      <w:pPr>
        <w:spacing w:before="0" w:after="160"/>
        <w:jc w:val="center"/>
      </w:pPr>
      <w:r>
        <w:rPr>
          <w:rFonts w:ascii="Calibri" w:hAnsi="Calibri" w:eastAsia="Calibri"/>
          <w:i/>
          <w:color w:val="5B667A"/>
          <w:sz w:val="17"/>
        </w:rPr>
        <w:t>Critical path from technical eligibility to a verifiable submission.</w:t>
      </w:r>
    </w:p>
    <w:p>
      <w:pPr>
        <w:pStyle w:val="Heading2"/>
        <w:keepNext/>
        <w:ind w:left="0" w:right="0" w:firstLine="0"/>
      </w:pPr>
      <w:r>
        <w:t>15–21 August · Release candidate</w:t>
      </w:r>
    </w:p>
    <w:p>
      <w:pPr>
        <w:keepLines/>
        <w:numPr>
          <w:ilvl w:val="0"/>
          <w:numId w:val="10"/>
        </w:numPr>
        <w:spacing w:after="120" w:lineRule="atLeast" w:line="300"/>
      </w:pPr>
      <w:r>
        <w:rPr>
          <w:rFonts w:ascii="Calibri" w:hAnsi="Calibri" w:eastAsia="Calibri"/>
          <w:color w:val="17223B"/>
          <w:sz w:val="21"/>
        </w:rPr>
        <w:t>Require green CI on the audited baseline.</w:t>
      </w:r>
    </w:p>
    <w:p>
      <w:pPr>
        <w:keepLines/>
        <w:numPr>
          <w:ilvl w:val="0"/>
          <w:numId w:val="10"/>
        </w:numPr>
        <w:spacing w:after="120" w:lineRule="atLeast" w:line="300"/>
      </w:pPr>
      <w:r>
        <w:rPr>
          <w:rFonts w:ascii="Calibri" w:hAnsi="Calibri" w:eastAsia="Calibri"/>
          <w:color w:val="17223B"/>
          <w:sz w:val="21"/>
        </w:rPr>
        <w:t>Create or verify EAS project, Apple/Google identifiers, signing, and store accounts.</w:t>
      </w:r>
    </w:p>
    <w:p>
      <w:pPr>
        <w:keepLines/>
        <w:numPr>
          <w:ilvl w:val="0"/>
          <w:numId w:val="10"/>
        </w:numPr>
        <w:spacing w:after="120" w:lineRule="atLeast" w:line="300"/>
      </w:pPr>
      <w:r>
        <w:rPr>
          <w:rFonts w:ascii="Calibri" w:hAnsi="Calibri" w:eastAsia="Calibri"/>
          <w:color w:val="17223B"/>
          <w:sz w:val="21"/>
        </w:rPr>
        <w:t>Configure RevenueCat products, entitlement, offering, packages, public SDK keys, and webhook secret.</w:t>
      </w:r>
    </w:p>
    <w:p>
      <w:pPr>
        <w:keepLines/>
        <w:numPr>
          <w:ilvl w:val="0"/>
          <w:numId w:val="10"/>
        </w:numPr>
        <w:spacing w:after="120" w:lineRule="atLeast" w:line="300"/>
      </w:pPr>
      <w:r>
        <w:rPr>
          <w:rFonts w:ascii="Calibri" w:hAnsi="Calibri" w:eastAsia="Calibri"/>
          <w:color w:val="17223B"/>
          <w:sz w:val="21"/>
        </w:rPr>
        <w:t>Add persistent webhook idempotency and authoritative transfer reconciliation.</w:t>
      </w:r>
    </w:p>
    <w:p>
      <w:pPr>
        <w:keepLines/>
        <w:numPr>
          <w:ilvl w:val="0"/>
          <w:numId w:val="10"/>
        </w:numPr>
        <w:spacing w:after="120" w:lineRule="atLeast" w:line="300"/>
      </w:pPr>
      <w:r>
        <w:rPr>
          <w:rFonts w:ascii="Calibri" w:hAnsi="Calibri" w:eastAsia="Calibri"/>
          <w:color w:val="17223B"/>
          <w:sz w:val="21"/>
        </w:rPr>
        <w:t>Install internal iOS and Android builds on physical phones; freeze product truth and plan limits.</w:t>
      </w:r>
    </w:p>
    <w:tbl>
      <w:tblPr>
        <w:tblW w:type="dxa" w:w="9360"/>
        <w:jc w:val="left"/>
        <w:tblLayout w:type="fixed"/>
        <w:tblLook w:firstColumn="1" w:firstRow="1" w:lastColumn="0" w:lastRow="0" w:noHBand="0" w:noVBand="1" w:val="04A0"/>
        <w:tblInd w:type="dxa" w:w="120"/>
        <w:tblCellMar>
          <w:top w:w="100" w:type="dxa"/>
          <w:bottom w:w="100" w:type="dxa"/>
          <w:start w:w="120" w:type="dxa"/>
          <w:end w:w="120" w:type="dxa"/>
        </w:tblCellMar>
      </w:tblPr>
      <w:tblGrid>
        <w:gridCol w:w="9360"/>
      </w:tblGrid>
      <w:tr>
        <w:trPr>
          <w:cantSplit/>
          <w:trHeight w:hRule="atLeast"/>
        </w:trPr>
        <w:tc>
          <w:tcPr>
            <w:tcW w:type="dxa" w:w="9360"/>
            <w:vAlign w:val="center"/>
            <w:shd w:fill="E8F6F0" w:val="clear"/>
            <w:tcBorders>
              <w:top w:val="single" w:sz="8" w:color="177A55"/>
              <w:left w:val="single" w:sz="8" w:color="177A55"/>
              <w:bottom w:val="single" w:sz="8" w:color="177A55"/>
              <w:right w:val="single" w:sz="8" w:color="177A55"/>
              <w:insideH w:val="single" w:sz="8" w:color="177A55"/>
              <w:insideV w:val="single" w:sz="8" w:color="177A55"/>
            </w:tcBorders>
          </w:tcPr>
          <w:p>
            <w:pPr>
              <w:spacing w:before="60" w:after="60"/>
            </w:pPr>
            <w:r>
              <w:rPr>
                <w:rFonts w:ascii="Calibri" w:hAnsi="Calibri" w:eastAsia="Calibri"/>
                <w:b/>
                <w:color w:val="177A55"/>
                <w:sz w:val="19"/>
              </w:rPr>
              <w:t xml:space="preserve">EXIT GATE  </w:t>
            </w:r>
            <w:r>
              <w:rPr>
                <w:rFonts w:ascii="Calibri" w:hAnsi="Calibri" w:eastAsia="Calibri"/>
                <w:color w:val="17223B"/>
                <w:sz w:val="20"/>
              </w:rPr>
              <w:t>A new reviewer can install, log in, restore, and see the same entitlement on client and server.</w:t>
            </w:r>
          </w:p>
        </w:tc>
      </w:tr>
    </w:tbl>
    <w:p>
      <w:pPr>
        <w:spacing w:after="20"/>
      </w:pPr>
    </w:p>
    <w:p>
      <w:pPr>
        <w:pStyle w:val="Heading2"/>
        <w:keepNext/>
        <w:ind w:left="0" w:right="0" w:firstLine="0"/>
      </w:pPr>
      <w:r>
        <w:t>22–31 August · Prove critical journeys</w:t>
      </w:r>
    </w:p>
    <w:p>
      <w:pPr>
        <w:keepLines/>
        <w:numPr>
          <w:ilvl w:val="0"/>
          <w:numId w:val="10"/>
        </w:numPr>
        <w:spacing w:after="120" w:lineRule="atLeast" w:line="300"/>
      </w:pPr>
      <w:r>
        <w:rPr>
          <w:rFonts w:ascii="Calibri" w:hAnsi="Calibri" w:eastAsia="Calibri"/>
          <w:color w:val="17223B"/>
          <w:sz w:val="21"/>
        </w:rPr>
        <w:t>Execute purchase, cancellation, renewal, billing issue, expiry, restore, and transfer tests.</w:t>
      </w:r>
    </w:p>
    <w:p>
      <w:pPr>
        <w:keepLines/>
        <w:numPr>
          <w:ilvl w:val="0"/>
          <w:numId w:val="10"/>
        </w:numPr>
        <w:spacing w:after="120" w:lineRule="atLeast" w:line="300"/>
      </w:pPr>
      <w:r>
        <w:rPr>
          <w:rFonts w:ascii="Calibri" w:hAnsi="Calibri" w:eastAsia="Calibri"/>
          <w:color w:val="17223B"/>
          <w:sz w:val="21"/>
        </w:rPr>
        <w:t>Run VoiceOver/TalkBack, Dynamic Type, reduced motion, keyboard, and poor-network checks.</w:t>
      </w:r>
    </w:p>
    <w:p>
      <w:pPr>
        <w:keepLines/>
        <w:numPr>
          <w:ilvl w:val="0"/>
          <w:numId w:val="10"/>
        </w:numPr>
        <w:spacing w:after="120" w:lineRule="atLeast" w:line="300"/>
      </w:pPr>
      <w:r>
        <w:rPr>
          <w:rFonts w:ascii="Calibri" w:hAnsi="Calibri" w:eastAsia="Calibri"/>
          <w:color w:val="17223B"/>
          <w:sz w:val="21"/>
        </w:rPr>
        <w:t>Recruit five students and five teachers for task-based sessions; fix the top breakdowns.</w:t>
      </w:r>
    </w:p>
    <w:p>
      <w:pPr>
        <w:keepLines/>
        <w:numPr>
          <w:ilvl w:val="0"/>
          <w:numId w:val="10"/>
        </w:numPr>
        <w:spacing w:after="120" w:lineRule="atLeast" w:line="300"/>
      </w:pPr>
      <w:r>
        <w:rPr>
          <w:rFonts w:ascii="Calibri" w:hAnsi="Calibri" w:eastAsia="Calibri"/>
          <w:color w:val="17223B"/>
          <w:sz w:val="21"/>
        </w:rPr>
        <w:t>Move the first newer API domain into OpenAPI; add privacy-conscious crash and funnel measurement.</w:t>
      </w:r>
    </w:p>
    <w:tbl>
      <w:tblPr>
        <w:tblW w:type="dxa" w:w="9360"/>
        <w:jc w:val="left"/>
        <w:tblLayout w:type="fixed"/>
        <w:tblLook w:firstColumn="1" w:firstRow="1" w:lastColumn="0" w:lastRow="0" w:noHBand="0" w:noVBand="1" w:val="04A0"/>
        <w:tblInd w:type="dxa" w:w="120"/>
        <w:tblCellMar>
          <w:top w:w="100" w:type="dxa"/>
          <w:bottom w:w="100" w:type="dxa"/>
          <w:start w:w="120" w:type="dxa"/>
          <w:end w:w="120" w:type="dxa"/>
        </w:tblCellMar>
      </w:tblPr>
      <w:tblGrid>
        <w:gridCol w:w="9360"/>
      </w:tblGrid>
      <w:tr>
        <w:trPr>
          <w:cantSplit/>
          <w:trHeight w:hRule="atLeast"/>
        </w:trPr>
        <w:tc>
          <w:tcPr>
            <w:tcW w:type="dxa" w:w="9360"/>
            <w:vAlign w:val="center"/>
            <w:shd w:fill="E8F6F0" w:val="clear"/>
            <w:tcBorders>
              <w:top w:val="single" w:sz="8" w:color="177A55"/>
              <w:left w:val="single" w:sz="8" w:color="177A55"/>
              <w:bottom w:val="single" w:sz="8" w:color="177A55"/>
              <w:right w:val="single" w:sz="8" w:color="177A55"/>
              <w:insideH w:val="single" w:sz="8" w:color="177A55"/>
              <w:insideV w:val="single" w:sz="8" w:color="177A55"/>
            </w:tcBorders>
          </w:tcPr>
          <w:p>
            <w:pPr>
              <w:spacing w:before="60" w:after="60"/>
            </w:pPr>
            <w:r>
              <w:rPr>
                <w:rFonts w:ascii="Calibri" w:hAnsi="Calibri" w:eastAsia="Calibri"/>
                <w:b/>
                <w:color w:val="177A55"/>
                <w:sz w:val="19"/>
              </w:rPr>
              <w:t xml:space="preserve">EXIT GATE  </w:t>
            </w:r>
            <w:r>
              <w:rPr>
                <w:rFonts w:ascii="Calibri" w:hAnsi="Calibri" w:eastAsia="Calibri"/>
                <w:color w:val="17223B"/>
                <w:sz w:val="20"/>
              </w:rPr>
              <w:t>No P0/P1 defect in onboarding, research, purchase/restore, or account access.</w:t>
            </w:r>
          </w:p>
        </w:tc>
      </w:tr>
    </w:tbl>
    <w:p>
      <w:pPr>
        <w:spacing w:after="20"/>
      </w:pPr>
    </w:p>
    <w:p>
      <w:pPr>
        <w:pStyle w:val="Heading2"/>
        <w:keepNext/>
        <w:ind w:left="0" w:right="0" w:firstLine="0"/>
      </w:pPr>
      <w:r>
        <w:t>1–10 September · Stores and evidence</w:t>
      </w:r>
    </w:p>
    <w:p>
      <w:pPr>
        <w:keepLines/>
        <w:numPr>
          <w:ilvl w:val="0"/>
          <w:numId w:val="10"/>
        </w:numPr>
        <w:spacing w:after="120" w:lineRule="atLeast" w:line="300"/>
      </w:pPr>
      <w:r>
        <w:rPr>
          <w:rFonts w:ascii="Calibri" w:hAnsi="Calibri" w:eastAsia="Calibri"/>
          <w:color w:val="17223B"/>
          <w:sz w:val="21"/>
        </w:rPr>
        <w:t>Submit stable builds early to both stores and budget for rejection/remediation.</w:t>
      </w:r>
    </w:p>
    <w:p>
      <w:pPr>
        <w:keepLines/>
        <w:numPr>
          <w:ilvl w:val="0"/>
          <w:numId w:val="10"/>
        </w:numPr>
        <w:spacing w:after="120" w:lineRule="atLeast" w:line="300"/>
      </w:pPr>
      <w:r>
        <w:rPr>
          <w:rFonts w:ascii="Calibri" w:hAnsi="Calibri" w:eastAsia="Calibri"/>
          <w:color w:val="17223B"/>
          <w:sz w:val="21"/>
        </w:rPr>
        <w:t>Prepare reviewer notes, demo access, privacy forms, and support URLs.</w:t>
      </w:r>
    </w:p>
    <w:p>
      <w:pPr>
        <w:keepLines/>
        <w:numPr>
          <w:ilvl w:val="0"/>
          <w:numId w:val="10"/>
        </w:numPr>
        <w:spacing w:after="120" w:lineRule="atLeast" w:line="300"/>
      </w:pPr>
      <w:r>
        <w:rPr>
          <w:rFonts w:ascii="Calibri" w:hAnsi="Calibri" w:eastAsia="Calibri"/>
          <w:color w:val="17223B"/>
          <w:sz w:val="21"/>
        </w:rPr>
        <w:t>Instrument registration → resource → review → goal/save → paywall → purchase.</w:t>
      </w:r>
    </w:p>
    <w:p>
      <w:pPr>
        <w:keepLines/>
        <w:numPr>
          <w:ilvl w:val="0"/>
          <w:numId w:val="10"/>
        </w:numPr>
        <w:spacing w:after="120" w:lineRule="atLeast" w:line="300"/>
      </w:pPr>
      <w:r>
        <w:rPr>
          <w:rFonts w:ascii="Calibri" w:hAnsi="Calibri" w:eastAsia="Calibri"/>
          <w:color w:val="17223B"/>
          <w:sz w:val="21"/>
        </w:rPr>
        <w:t>Collect explicit, consented user quotes and trust-comprehension evidence.</w:t>
      </w:r>
    </w:p>
    <w:tbl>
      <w:tblPr>
        <w:tblW w:type="dxa" w:w="9360"/>
        <w:jc w:val="left"/>
        <w:tblLayout w:type="fixed"/>
        <w:tblLook w:firstColumn="1" w:firstRow="1" w:lastColumn="0" w:lastRow="0" w:noHBand="0" w:noVBand="1" w:val="04A0"/>
        <w:tblInd w:type="dxa" w:w="120"/>
        <w:tblCellMar>
          <w:top w:w="100" w:type="dxa"/>
          <w:bottom w:w="100" w:type="dxa"/>
          <w:start w:w="120" w:type="dxa"/>
          <w:end w:w="120" w:type="dxa"/>
        </w:tblCellMar>
      </w:tblPr>
      <w:tblGrid>
        <w:gridCol w:w="9360"/>
      </w:tblGrid>
      <w:tr>
        <w:trPr>
          <w:cantSplit/>
          <w:trHeight w:hRule="atLeast"/>
        </w:trPr>
        <w:tc>
          <w:tcPr>
            <w:tcW w:type="dxa" w:w="9360"/>
            <w:vAlign w:val="center"/>
            <w:shd w:fill="E8F6F0" w:val="clear"/>
            <w:tcBorders>
              <w:top w:val="single" w:sz="8" w:color="177A55"/>
              <w:left w:val="single" w:sz="8" w:color="177A55"/>
              <w:bottom w:val="single" w:sz="8" w:color="177A55"/>
              <w:right w:val="single" w:sz="8" w:color="177A55"/>
              <w:insideH w:val="single" w:sz="8" w:color="177A55"/>
              <w:insideV w:val="single" w:sz="8" w:color="177A55"/>
            </w:tcBorders>
          </w:tcPr>
          <w:p>
            <w:pPr>
              <w:spacing w:before="60" w:after="60"/>
            </w:pPr>
            <w:r>
              <w:rPr>
                <w:rFonts w:ascii="Calibri" w:hAnsi="Calibri" w:eastAsia="Calibri"/>
                <w:b/>
                <w:color w:val="177A55"/>
                <w:sz w:val="19"/>
              </w:rPr>
              <w:t xml:space="preserve">EXIT GATE  </w:t>
            </w:r>
            <w:r>
              <w:rPr>
                <w:rFonts w:ascii="Calibri" w:hAnsi="Calibri" w:eastAsia="Calibri"/>
                <w:color w:val="17223B"/>
                <w:sz w:val="20"/>
              </w:rPr>
              <w:t>At least one store approved; the other has no known policy blocker; evidence grows daily.</w:t>
            </w:r>
          </w:p>
        </w:tc>
      </w:tr>
    </w:tbl>
    <w:p>
      <w:pPr>
        <w:spacing w:after="20"/>
      </w:pPr>
    </w:p>
    <w:p>
      <w:pPr>
        <w:pStyle w:val="Heading2"/>
        <w:keepNext/>
        <w:ind w:left="0" w:right="0" w:firstLine="0"/>
      </w:pPr>
      <w:r>
        <w:t>11–20 September · Category proof</w:t>
      </w:r>
    </w:p>
    <w:p>
      <w:pPr>
        <w:keepLines/>
        <w:numPr>
          <w:ilvl w:val="0"/>
          <w:numId w:val="10"/>
        </w:numPr>
        <w:spacing w:after="120" w:lineRule="atLeast" w:line="300"/>
      </w:pPr>
      <w:r>
        <w:rPr>
          <w:rFonts w:ascii="Calibri" w:hAnsi="Calibri" w:eastAsia="Calibri"/>
          <w:color w:val="17223B"/>
          <w:sz w:val="21"/>
        </w:rPr>
        <w:t>Lock the primary category and one honest secondary category.</w:t>
      </w:r>
    </w:p>
    <w:p>
      <w:pPr>
        <w:keepLines/>
        <w:numPr>
          <w:ilvl w:val="0"/>
          <w:numId w:val="10"/>
        </w:numPr>
        <w:spacing w:after="120" w:lineRule="atLeast" w:line="300"/>
      </w:pPr>
      <w:r>
        <w:rPr>
          <w:rFonts w:ascii="Calibri" w:hAnsi="Calibri" w:eastAsia="Calibri"/>
          <w:color w:val="17223B"/>
          <w:sz w:val="21"/>
        </w:rPr>
        <w:t>Produce screenshot narrative, icon, landing copy, and a 110–150 second rough demo.</w:t>
      </w:r>
    </w:p>
    <w:p>
      <w:pPr>
        <w:keepLines/>
        <w:numPr>
          <w:ilvl w:val="0"/>
          <w:numId w:val="10"/>
        </w:numPr>
        <w:spacing w:after="120" w:lineRule="atLeast" w:line="300"/>
      </w:pPr>
      <w:r>
        <w:rPr>
          <w:rFonts w:ascii="Calibri" w:hAnsi="Calibri" w:eastAsia="Calibri"/>
          <w:color w:val="17223B"/>
          <w:sz w:val="21"/>
        </w:rPr>
        <w:t>Show activation, return, research completion, paywall conversion, and first revenue.</w:t>
      </w:r>
    </w:p>
    <w:p>
      <w:pPr>
        <w:keepLines/>
        <w:numPr>
          <w:ilvl w:val="0"/>
          <w:numId w:val="10"/>
        </w:numPr>
        <w:spacing w:after="120" w:lineRule="atLeast" w:line="300"/>
      </w:pPr>
      <w:r>
        <w:rPr>
          <w:rFonts w:ascii="Calibri" w:hAnsi="Calibri" w:eastAsia="Calibri"/>
          <w:color w:val="17223B"/>
          <w:sz w:val="21"/>
        </w:rPr>
        <w:t>Complete any required public posts with useful build lessons and transparent metrics.</w:t>
      </w:r>
    </w:p>
    <w:tbl>
      <w:tblPr>
        <w:tblW w:type="dxa" w:w="9360"/>
        <w:jc w:val="left"/>
        <w:tblLayout w:type="fixed"/>
        <w:tblLook w:firstColumn="1" w:firstRow="1" w:lastColumn="0" w:lastRow="0" w:noHBand="0" w:noVBand="1" w:val="04A0"/>
        <w:tblInd w:type="dxa" w:w="120"/>
        <w:tblCellMar>
          <w:top w:w="100" w:type="dxa"/>
          <w:bottom w:w="100" w:type="dxa"/>
          <w:start w:w="120" w:type="dxa"/>
          <w:end w:w="120" w:type="dxa"/>
        </w:tblCellMar>
      </w:tblPr>
      <w:tblGrid>
        <w:gridCol w:w="9360"/>
      </w:tblGrid>
      <w:tr>
        <w:trPr>
          <w:cantSplit/>
          <w:trHeight w:hRule="atLeast"/>
        </w:trPr>
        <w:tc>
          <w:tcPr>
            <w:tcW w:type="dxa" w:w="9360"/>
            <w:vAlign w:val="center"/>
            <w:shd w:fill="E8F6F0" w:val="clear"/>
            <w:tcBorders>
              <w:top w:val="single" w:sz="8" w:color="177A55"/>
              <w:left w:val="single" w:sz="8" w:color="177A55"/>
              <w:bottom w:val="single" w:sz="8" w:color="177A55"/>
              <w:right w:val="single" w:sz="8" w:color="177A55"/>
              <w:insideH w:val="single" w:sz="8" w:color="177A55"/>
              <w:insideV w:val="single" w:sz="8" w:color="177A55"/>
            </w:tcBorders>
          </w:tcPr>
          <w:p>
            <w:pPr>
              <w:spacing w:before="60" w:after="60"/>
            </w:pPr>
            <w:r>
              <w:rPr>
                <w:rFonts w:ascii="Calibri" w:hAnsi="Calibri" w:eastAsia="Calibri"/>
                <w:b/>
                <w:color w:val="177A55"/>
                <w:sz w:val="19"/>
              </w:rPr>
              <w:t xml:space="preserve">EXIT GATE  </w:t>
            </w:r>
            <w:r>
              <w:rPr>
                <w:rFonts w:ascii="Calibri" w:hAnsi="Calibri" w:eastAsia="Calibri"/>
                <w:color w:val="17223B"/>
                <w:sz w:val="20"/>
              </w:rPr>
              <w:t>Every judging claim has a URL, screenshot, metric, transaction, or user quote.</w:t>
            </w:r>
          </w:p>
        </w:tc>
      </w:tr>
    </w:tbl>
    <w:p>
      <w:pPr>
        <w:spacing w:after="20"/>
      </w:pPr>
    </w:p>
    <w:p>
      <w:pPr>
        <w:pStyle w:val="Heading2"/>
        <w:keepNext/>
        <w:ind w:left="0" w:right="0" w:firstLine="0"/>
      </w:pPr>
      <w:r>
        <w:t>21–26 September · Submission candidate</w:t>
      </w:r>
    </w:p>
    <w:p>
      <w:pPr>
        <w:keepLines/>
        <w:numPr>
          <w:ilvl w:val="0"/>
          <w:numId w:val="10"/>
        </w:numPr>
        <w:spacing w:after="120" w:lineRule="atLeast" w:line="300"/>
      </w:pPr>
      <w:r>
        <w:rPr>
          <w:rFonts w:ascii="Calibri" w:hAnsi="Calibri" w:eastAsia="Calibri"/>
          <w:color w:val="17223B"/>
          <w:sz w:val="21"/>
        </w:rPr>
        <w:t>Record the final demo below two minutes and export exact assets.</w:t>
      </w:r>
    </w:p>
    <w:p>
      <w:pPr>
        <w:keepLines/>
        <w:numPr>
          <w:ilvl w:val="0"/>
          <w:numId w:val="10"/>
        </w:numPr>
        <w:spacing w:after="120" w:lineRule="atLeast" w:line="300"/>
      </w:pPr>
      <w:r>
        <w:rPr>
          <w:rFonts w:ascii="Calibri" w:hAnsi="Calibri" w:eastAsia="Calibri"/>
          <w:color w:val="17223B"/>
          <w:sz w:val="21"/>
        </w:rPr>
        <w:t>Complete Devpost fields and category-specific answers.</w:t>
      </w:r>
    </w:p>
    <w:p>
      <w:pPr>
        <w:keepLines/>
        <w:numPr>
          <w:ilvl w:val="0"/>
          <w:numId w:val="10"/>
        </w:numPr>
        <w:spacing w:after="120" w:lineRule="atLeast" w:line="300"/>
      </w:pPr>
      <w:r>
        <w:rPr>
          <w:rFonts w:ascii="Calibri" w:hAnsi="Calibri" w:eastAsia="Calibri"/>
          <w:color w:val="17223B"/>
          <w:sz w:val="21"/>
        </w:rPr>
        <w:t>Test every public link signed out and from the US when possible.</w:t>
      </w:r>
    </w:p>
    <w:p>
      <w:pPr>
        <w:keepLines/>
        <w:numPr>
          <w:ilvl w:val="0"/>
          <w:numId w:val="10"/>
        </w:numPr>
        <w:spacing w:after="120" w:lineRule="atLeast" w:line="300"/>
      </w:pPr>
      <w:r>
        <w:rPr>
          <w:rFonts w:ascii="Calibri" w:hAnsi="Calibri" w:eastAsia="Calibri"/>
          <w:color w:val="17223B"/>
          <w:sz w:val="21"/>
        </w:rPr>
        <w:t>Run clean-install iOS/Android, production smoke, CI, and backup account tests.</w:t>
      </w:r>
    </w:p>
    <w:tbl>
      <w:tblPr>
        <w:tblW w:type="dxa" w:w="9360"/>
        <w:jc w:val="left"/>
        <w:tblLayout w:type="fixed"/>
        <w:tblLook w:firstColumn="1" w:firstRow="1" w:lastColumn="0" w:lastRow="0" w:noHBand="0" w:noVBand="1" w:val="04A0"/>
        <w:tblInd w:type="dxa" w:w="120"/>
        <w:tblCellMar>
          <w:top w:w="100" w:type="dxa"/>
          <w:bottom w:w="100" w:type="dxa"/>
          <w:start w:w="120" w:type="dxa"/>
          <w:end w:w="120" w:type="dxa"/>
        </w:tblCellMar>
      </w:tblPr>
      <w:tblGrid>
        <w:gridCol w:w="9360"/>
      </w:tblGrid>
      <w:tr>
        <w:trPr>
          <w:cantSplit/>
          <w:trHeight w:hRule="atLeast"/>
        </w:trPr>
        <w:tc>
          <w:tcPr>
            <w:tcW w:type="dxa" w:w="9360"/>
            <w:vAlign w:val="center"/>
            <w:shd w:fill="E8F6F0" w:val="clear"/>
            <w:tcBorders>
              <w:top w:val="single" w:sz="8" w:color="177A55"/>
              <w:left w:val="single" w:sz="8" w:color="177A55"/>
              <w:bottom w:val="single" w:sz="8" w:color="177A55"/>
              <w:right w:val="single" w:sz="8" w:color="177A55"/>
              <w:insideH w:val="single" w:sz="8" w:color="177A55"/>
              <w:insideV w:val="single" w:sz="8" w:color="177A55"/>
            </w:tcBorders>
          </w:tcPr>
          <w:p>
            <w:pPr>
              <w:spacing w:before="60" w:after="60"/>
            </w:pPr>
            <w:r>
              <w:rPr>
                <w:rFonts w:ascii="Calibri" w:hAnsi="Calibri" w:eastAsia="Calibri"/>
                <w:b/>
                <w:color w:val="177A55"/>
                <w:sz w:val="19"/>
              </w:rPr>
              <w:t xml:space="preserve">EXIT GATE  </w:t>
            </w:r>
            <w:r>
              <w:rPr>
                <w:rFonts w:ascii="Calibri" w:hAnsi="Calibri" w:eastAsia="Calibri"/>
                <w:color w:val="17223B"/>
                <w:sz w:val="20"/>
              </w:rPr>
              <w:t>An unfamiliar reviewer can install, understand, and verify Casparel from the submission alone.</w:t>
            </w:r>
          </w:p>
        </w:tc>
      </w:tr>
    </w:tbl>
    <w:p>
      <w:pPr>
        <w:spacing w:after="20"/>
      </w:pPr>
    </w:p>
    <w:p>
      <w:pPr>
        <w:pStyle w:val="Heading2"/>
        <w:keepNext/>
        <w:ind w:left="0" w:right="0" w:firstLine="0"/>
      </w:pPr>
      <w:r>
        <w:t>27–30 September · Freeze</w:t>
      </w:r>
    </w:p>
    <w:p>
      <w:pPr>
        <w:keepLines/>
        <w:numPr>
          <w:ilvl w:val="0"/>
          <w:numId w:val="10"/>
        </w:numPr>
        <w:spacing w:after="120" w:lineRule="atLeast" w:line="300"/>
      </w:pPr>
      <w:r>
        <w:rPr>
          <w:rFonts w:ascii="Calibri" w:hAnsi="Calibri" w:eastAsia="Calibri"/>
          <w:color w:val="17223B"/>
          <w:sz w:val="21"/>
        </w:rPr>
        <w:t>No new features after 27 September; ship only release-blocking fixes with full regression.</w:t>
      </w:r>
    </w:p>
    <w:p>
      <w:pPr>
        <w:keepLines/>
        <w:numPr>
          <w:ilvl w:val="0"/>
          <w:numId w:val="10"/>
        </w:numPr>
        <w:spacing w:after="120" w:lineRule="atLeast" w:line="300"/>
      </w:pPr>
      <w:r>
        <w:rPr>
          <w:rFonts w:ascii="Calibri" w:hAnsi="Calibri" w:eastAsia="Calibri"/>
          <w:color w:val="17223B"/>
          <w:sz w:val="21"/>
        </w:rPr>
        <w:t>Re-check official rules and store availability; submit at least 24 hours early.</w:t>
      </w:r>
    </w:p>
    <w:p>
      <w:pPr>
        <w:keepLines/>
        <w:numPr>
          <w:ilvl w:val="0"/>
          <w:numId w:val="10"/>
        </w:numPr>
        <w:spacing w:after="120" w:lineRule="atLeast" w:line="300"/>
      </w:pPr>
      <w:r>
        <w:rPr>
          <w:rFonts w:ascii="Calibri" w:hAnsi="Calibri" w:eastAsia="Calibri"/>
          <w:color w:val="17223B"/>
          <w:sz w:val="21"/>
        </w:rPr>
        <w:t>Retain final media and answers offline; verify the saved submission after logout.</w:t>
      </w:r>
    </w:p>
    <w:tbl>
      <w:tblPr>
        <w:tblW w:type="dxa" w:w="9360"/>
        <w:jc w:val="left"/>
        <w:tblLayout w:type="fixed"/>
        <w:tblLook w:firstColumn="1" w:firstRow="1" w:lastColumn="0" w:lastRow="0" w:noHBand="0" w:noVBand="1" w:val="04A0"/>
        <w:tblInd w:type="dxa" w:w="120"/>
        <w:tblCellMar>
          <w:top w:w="100" w:type="dxa"/>
          <w:bottom w:w="100" w:type="dxa"/>
          <w:start w:w="120" w:type="dxa"/>
          <w:end w:w="120" w:type="dxa"/>
        </w:tblCellMar>
      </w:tblPr>
      <w:tblGrid>
        <w:gridCol w:w="9360"/>
      </w:tblGrid>
      <w:tr>
        <w:trPr>
          <w:cantSplit/>
          <w:trHeight w:hRule="atLeast"/>
        </w:trPr>
        <w:tc>
          <w:tcPr>
            <w:tcW w:type="dxa" w:w="9360"/>
            <w:vAlign w:val="center"/>
            <w:shd w:fill="E8F6F0" w:val="clear"/>
            <w:tcBorders>
              <w:top w:val="single" w:sz="8" w:color="177A55"/>
              <w:left w:val="single" w:sz="8" w:color="177A55"/>
              <w:bottom w:val="single" w:sz="8" w:color="177A55"/>
              <w:right w:val="single" w:sz="8" w:color="177A55"/>
              <w:insideH w:val="single" w:sz="8" w:color="177A55"/>
              <w:insideV w:val="single" w:sz="8" w:color="177A55"/>
            </w:tcBorders>
          </w:tcPr>
          <w:p>
            <w:pPr>
              <w:spacing w:before="60" w:after="60"/>
            </w:pPr>
            <w:r>
              <w:rPr>
                <w:rFonts w:ascii="Calibri" w:hAnsi="Calibri" w:eastAsia="Calibri"/>
                <w:b/>
                <w:color w:val="177A55"/>
                <w:sz w:val="19"/>
              </w:rPr>
              <w:t xml:space="preserve">EXIT GATE  </w:t>
            </w:r>
            <w:r>
              <w:rPr>
                <w:rFonts w:ascii="Calibri" w:hAnsi="Calibri" w:eastAsia="Calibri"/>
                <w:color w:val="17223B"/>
                <w:sz w:val="20"/>
              </w:rPr>
              <w:t>Submission is live, independently verifiable, and backed up before the deadline.</w:t>
            </w:r>
          </w:p>
        </w:tc>
      </w:tr>
    </w:tbl>
    <w:p>
      <w:pPr>
        <w:spacing w:after="20"/>
      </w:pPr>
    </w:p>
    <w:p>
      <w:r>
        <w:br w:type="page"/>
      </w:r>
    </w:p>
    <w:p>
      <w:pPr>
        <w:pStyle w:val="Heading1"/>
        <w:keepNext/>
        <w:ind w:left="0" w:right="0" w:firstLine="0"/>
      </w:pPr>
      <w:r>
        <w:t>06 · Evidence dashboard and submission kit</w:t>
      </w:r>
    </w:p>
    <w:p>
      <w:pPr>
        <w:pStyle w:val="Heading2"/>
        <w:keepNext/>
        <w:ind w:left="0" w:right="0" w:firstLine="0"/>
      </w:pPr>
      <w:r>
        <w:t>Metrics to track daily</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2200"/>
        <w:gridCol w:w="5500"/>
        <w:gridCol w:w="1660"/>
      </w:tblGrid>
      <w:tr>
        <w:trPr>
          <w:cantSplit/>
          <w:trHeight w:hRule="atLeast"/>
          <w:tblHeader w:val="true"/>
        </w:trPr>
        <w:tc>
          <w:tcPr>
            <w:tcW w:type="dxa" w:w="220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Metric</w:t>
            </w:r>
          </w:p>
        </w:tc>
        <w:tc>
          <w:tcPr>
            <w:tcW w:type="dxa" w:w="550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Definition</w:t>
            </w:r>
          </w:p>
        </w:tc>
        <w:tc>
          <w:tcPr>
            <w:tcW w:type="dxa" w:w="166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Direction</w:t>
            </w:r>
          </w:p>
        </w:tc>
      </w:tr>
      <w:tr>
        <w:trPr>
          <w:cantSplit/>
          <w:trHeight w:hRule="atLeast"/>
        </w:trPr>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Activation</w:t>
            </w:r>
          </w:p>
        </w:tc>
        <w:tc>
          <w:tcPr>
            <w:tcW w:type="dxa" w:w="5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New users completing a first source review in 24 hours</w:t>
            </w:r>
          </w:p>
        </w:tc>
        <w:tc>
          <w:tcPr>
            <w:tcW w:type="dxa" w:w="16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UP</w:t>
            </w:r>
          </w:p>
        </w:tc>
      </w:tr>
      <w:tr>
        <w:trPr>
          <w:cantSplit/>
          <w:trHeight w:hRule="atLeast"/>
        </w:trPr>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Trust comprehension</w:t>
            </w:r>
          </w:p>
        </w:tc>
        <w:tc>
          <w:tcPr>
            <w:tcW w:type="dxa" w:w="5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Users explaining two strengths and one limitation</w:t>
            </w:r>
          </w:p>
        </w:tc>
        <w:tc>
          <w:tcPr>
            <w:tcW w:type="dxa" w:w="16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UP</w:t>
            </w:r>
          </w:p>
        </w:tc>
      </w:tr>
      <w:tr>
        <w:trPr>
          <w:cantSplit/>
          <w:trHeight w:hRule="atLeast"/>
        </w:trPr>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Time to value</w:t>
            </w:r>
          </w:p>
        </w:tc>
        <w:tc>
          <w:tcPr>
            <w:tcW w:type="dxa" w:w="5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Registration to useful report</w:t>
            </w:r>
          </w:p>
        </w:tc>
        <w:tc>
          <w:tcPr>
            <w:tcW w:type="dxa" w:w="16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DOWN</w:t>
            </w:r>
          </w:p>
        </w:tc>
      </w:tr>
      <w:tr>
        <w:trPr>
          <w:cantSplit/>
          <w:trHeight w:hRule="atLeast"/>
        </w:trPr>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Save-to-goal</w:t>
            </w:r>
          </w:p>
        </w:tc>
        <w:tc>
          <w:tcPr>
            <w:tcW w:type="dxa" w:w="5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Reviewed resources connected to a goal</w:t>
            </w:r>
          </w:p>
        </w:tc>
        <w:tc>
          <w:tcPr>
            <w:tcW w:type="dxa" w:w="16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UP</w:t>
            </w:r>
          </w:p>
        </w:tc>
      </w:tr>
      <w:tr>
        <w:trPr>
          <w:cantSplit/>
          <w:trHeight w:hRule="atLeast"/>
        </w:trPr>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D1 / D7 return</w:t>
            </w:r>
          </w:p>
        </w:tc>
        <w:tc>
          <w:tcPr>
            <w:tcW w:type="dxa" w:w="5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Activated users returning</w:t>
            </w:r>
          </w:p>
        </w:tc>
        <w:tc>
          <w:tcPr>
            <w:tcW w:type="dxa" w:w="16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UP</w:t>
            </w:r>
          </w:p>
        </w:tc>
      </w:tr>
      <w:tr>
        <w:trPr>
          <w:cantSplit/>
          <w:trHeight w:hRule="atLeast"/>
        </w:trPr>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Paywall conversion</w:t>
            </w:r>
          </w:p>
        </w:tc>
        <w:tc>
          <w:tcPr>
            <w:tcW w:type="dxa" w:w="5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Unique viewers starting trial or purchasing</w:t>
            </w:r>
          </w:p>
        </w:tc>
        <w:tc>
          <w:tcPr>
            <w:tcW w:type="dxa" w:w="16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UP</w:t>
            </w:r>
          </w:p>
        </w:tc>
      </w:tr>
      <w:tr>
        <w:trPr>
          <w:cantSplit/>
          <w:trHeight w:hRule="atLeast"/>
        </w:trPr>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Restore success</w:t>
            </w:r>
          </w:p>
        </w:tc>
        <w:tc>
          <w:tcPr>
            <w:tcW w:type="dxa" w:w="5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Valid prior purchases restored</w:t>
            </w:r>
          </w:p>
        </w:tc>
        <w:tc>
          <w:tcPr>
            <w:tcW w:type="dxa" w:w="16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100%</w:t>
            </w:r>
          </w:p>
        </w:tc>
      </w:tr>
      <w:tr>
        <w:trPr>
          <w:cantSplit/>
          <w:trHeight w:hRule="atLeast"/>
        </w:trPr>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Crash-free sessions</w:t>
            </w:r>
          </w:p>
        </w:tc>
        <w:tc>
          <w:tcPr>
            <w:tcW w:type="dxa" w:w="5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Native sessions without fatal error</w:t>
            </w:r>
          </w:p>
        </w:tc>
        <w:tc>
          <w:tcPr>
            <w:tcW w:type="dxa" w:w="16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&gt;99.5%</w:t>
            </w:r>
          </w:p>
        </w:tc>
      </w:tr>
      <w:tr>
        <w:trPr>
          <w:cantSplit/>
          <w:trHeight w:hRule="atLeast"/>
        </w:trPr>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Research failure</w:t>
            </w:r>
          </w:p>
        </w:tc>
        <w:tc>
          <w:tcPr>
            <w:tcW w:type="dxa" w:w="5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Deep requests ending in timeout/error/ambiguous limit</w:t>
            </w:r>
          </w:p>
        </w:tc>
        <w:tc>
          <w:tcPr>
            <w:tcW w:type="dxa" w:w="16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DOWN</w:t>
            </w:r>
          </w:p>
        </w:tc>
      </w:tr>
      <w:tr>
        <w:trPr>
          <w:cantSplit/>
          <w:trHeight w:hRule="atLeast"/>
        </w:trPr>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Support response</w:t>
            </w:r>
          </w:p>
        </w:tc>
        <w:tc>
          <w:tcPr>
            <w:tcW w:type="dxa" w:w="5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Time to resolve judge or user access issue</w:t>
            </w:r>
          </w:p>
        </w:tc>
        <w:tc>
          <w:tcPr>
            <w:tcW w:type="dxa" w:w="16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DOWN</w:t>
            </w:r>
          </w:p>
        </w:tc>
      </w:tr>
    </w:tbl>
    <w:p>
      <w:pPr>
        <w:spacing w:after="20"/>
      </w:pPr>
    </w:p>
    <w:tbl>
      <w:tblPr>
        <w:tblW w:type="dxa" w:w="9360"/>
        <w:jc w:val="left"/>
        <w:tblLayout w:type="fixed"/>
        <w:tblLook w:firstColumn="1" w:firstRow="1" w:lastColumn="0" w:lastRow="0" w:noHBand="0" w:noVBand="1" w:val="04A0"/>
        <w:tblInd w:type="dxa" w:w="120"/>
        <w:tblCellMar>
          <w:top w:w="100" w:type="dxa"/>
          <w:bottom w:w="100" w:type="dxa"/>
          <w:start w:w="120" w:type="dxa"/>
          <w:end w:w="120" w:type="dxa"/>
        </w:tblCellMar>
      </w:tblPr>
      <w:tblGrid>
        <w:gridCol w:w="9360"/>
      </w:tblGrid>
      <w:tr>
        <w:trPr>
          <w:cantSplit/>
          <w:trHeight w:hRule="atLeast"/>
        </w:trPr>
        <w:tc>
          <w:tcPr>
            <w:tcW w:type="dxa" w:w="9360"/>
            <w:vAlign w:val="center"/>
            <w:shd w:fill="FFF4DB" w:val="clear"/>
            <w:tcBorders>
              <w:top w:val="single" w:sz="8" w:color="A66A00"/>
              <w:left w:val="single" w:sz="8" w:color="A66A00"/>
              <w:bottom w:val="single" w:sz="8" w:color="A66A00"/>
              <w:right w:val="single" w:sz="8" w:color="A66A00"/>
              <w:insideH w:val="single" w:sz="8" w:color="A66A00"/>
              <w:insideV w:val="single" w:sz="8" w:color="A66A00"/>
            </w:tcBorders>
          </w:tcPr>
          <w:p>
            <w:pPr>
              <w:spacing w:before="60" w:after="60"/>
            </w:pPr>
            <w:r>
              <w:rPr>
                <w:rFonts w:ascii="Calibri" w:hAnsi="Calibri" w:eastAsia="Calibri"/>
                <w:b/>
                <w:color w:val="A66A00"/>
                <w:sz w:val="19"/>
              </w:rPr>
              <w:t xml:space="preserve">EVIDENCE RULE  </w:t>
            </w:r>
            <w:r>
              <w:rPr>
                <w:rFonts w:ascii="Calibri" w:hAnsi="Calibri" w:eastAsia="Calibri"/>
                <w:color w:val="17223B"/>
                <w:sz w:val="20"/>
              </w:rPr>
              <w:t>Do not invent submission numbers. A small real cohort with precise definitions is more credible than a large unsupported claim.</w:t>
            </w:r>
          </w:p>
        </w:tc>
      </w:tr>
    </w:tbl>
    <w:p>
      <w:pPr>
        <w:spacing w:after="20"/>
      </w:pPr>
    </w:p>
    <w:p>
      <w:pPr>
        <w:pStyle w:val="Heading2"/>
        <w:keepNext/>
        <w:ind w:left="0" w:right="0" w:firstLine="0"/>
      </w:pPr>
      <w:r>
        <w:t>Submission asset set</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2200"/>
        <w:gridCol w:w="2850"/>
        <w:gridCol w:w="4310"/>
      </w:tblGrid>
      <w:tr>
        <w:trPr>
          <w:cantSplit/>
          <w:trHeight w:hRule="atLeast"/>
          <w:tblHeader w:val="true"/>
        </w:trPr>
        <w:tc>
          <w:tcPr>
            <w:tcW w:type="dxa" w:w="220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Asset</w:t>
            </w:r>
          </w:p>
        </w:tc>
        <w:tc>
          <w:tcPr>
            <w:tcW w:type="dxa" w:w="285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Specification</w:t>
            </w:r>
          </w:p>
        </w:tc>
        <w:tc>
          <w:tcPr>
            <w:tcW w:type="dxa" w:w="431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Content</w:t>
            </w:r>
          </w:p>
        </w:tc>
      </w:tr>
      <w:tr>
        <w:trPr>
          <w:cantSplit/>
          <w:trHeight w:hRule="atLeast"/>
        </w:trPr>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Icon</w:t>
            </w:r>
          </w:p>
        </w:tc>
        <w:tc>
          <w:tcPr>
            <w:tcW w:type="dxa" w:w="28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1024 × 1024</w:t>
            </w:r>
          </w:p>
        </w:tc>
        <w:tc>
          <w:tcPr>
            <w:tcW w:type="dxa" w:w="43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No alpha or pre-rounded corners.</w:t>
            </w:r>
          </w:p>
        </w:tc>
      </w:tr>
      <w:tr>
        <w:trPr>
          <w:cantSplit/>
          <w:trHeight w:hRule="atLeast"/>
        </w:trPr>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Competition screenshot</w:t>
            </w:r>
          </w:p>
        </w:tc>
        <w:tc>
          <w:tcPr>
            <w:tcW w:type="dxa" w:w="28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1179 × 2556</w:t>
            </w:r>
          </w:p>
        </w:tc>
        <w:tc>
          <w:tcPr>
            <w:tcW w:type="dxa" w:w="43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No device frame; resolved UI state.</w:t>
            </w:r>
          </w:p>
        </w:tc>
      </w:tr>
      <w:tr>
        <w:trPr>
          <w:cantSplit/>
          <w:trHeight w:hRule="atLeast"/>
        </w:trPr>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Store screenshots</w:t>
            </w:r>
          </w:p>
        </w:tc>
        <w:tc>
          <w:tcPr>
            <w:tcW w:type="dxa" w:w="28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5–6 coherent frames</w:t>
            </w:r>
          </w:p>
        </w:tc>
        <w:tc>
          <w:tcPr>
            <w:tcW w:type="dxa" w:w="43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Dashboard → Resources → research → Premium → schedule → plan.</w:t>
            </w:r>
          </w:p>
        </w:tc>
      </w:tr>
      <w:tr>
        <w:trPr>
          <w:cantSplit/>
          <w:trHeight w:hRule="atLeast"/>
        </w:trPr>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Demo</w:t>
            </w:r>
          </w:p>
        </w:tc>
        <w:tc>
          <w:tcPr>
            <w:tcW w:type="dxa" w:w="28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110–150 seconds; hard max under 2:00</w:t>
            </w:r>
          </w:p>
        </w:tc>
        <w:tc>
          <w:tcPr>
            <w:tcW w:type="dxa" w:w="43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Real on-device discovery, evaluation, action, and transaction.</w:t>
            </w:r>
          </w:p>
        </w:tc>
      </w:tr>
      <w:tr>
        <w:trPr>
          <w:cantSplit/>
          <w:trHeight w:hRule="atLeast"/>
        </w:trPr>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Judge access</w:t>
            </w:r>
          </w:p>
        </w:tc>
        <w:tc>
          <w:tcPr>
            <w:tcW w:type="dxa" w:w="28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Stable account + trial/promo</w:t>
            </w:r>
          </w:p>
        </w:tc>
        <w:tc>
          <w:tcPr>
            <w:tcW w:type="dxa" w:w="43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No dependence on founder intervention.</w:t>
            </w:r>
          </w:p>
        </w:tc>
      </w:tr>
      <w:tr>
        <w:trPr>
          <w:cantSplit/>
          <w:trHeight w:hRule="atLeast"/>
        </w:trPr>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Proof pack</w:t>
            </w:r>
          </w:p>
        </w:tc>
        <w:tc>
          <w:tcPr>
            <w:tcW w:type="dxa" w:w="28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Links + screenshots + metrics</w:t>
            </w:r>
          </w:p>
        </w:tc>
        <w:tc>
          <w:tcPr>
            <w:tcW w:type="dxa" w:w="43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Every category claim backed by evidence.</w:t>
            </w:r>
          </w:p>
        </w:tc>
      </w:tr>
    </w:tbl>
    <w:p>
      <w:pPr>
        <w:spacing w:after="20"/>
      </w:pPr>
    </w:p>
    <w:p>
      <w:pPr>
        <w:pStyle w:val="Heading1"/>
        <w:keepNext/>
        <w:ind w:left="0" w:right="0" w:firstLine="0"/>
      </w:pPr>
      <w:r>
        <w:rPr>
          <w:rFonts w:ascii="Calibri" w:hAnsi="Calibri" w:eastAsia="Calibri"/>
          <w:b/>
          <w:color w:val="275DCE"/>
          <w:sz w:val="27"/>
        </w:rPr>
        <w:t>07 · Post-Shipaton product roadmap</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1650"/>
        <w:gridCol w:w="2350"/>
        <w:gridCol w:w="5360"/>
      </w:tblGrid>
      <w:tr>
        <w:trPr>
          <w:cantSplit/>
          <w:trHeight w:hRule="atLeast"/>
          <w:tblHeader w:val="true"/>
        </w:trPr>
        <w:tc>
          <w:tcPr>
            <w:tcW w:type="dxa" w:w="165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Horizon</w:t>
            </w:r>
          </w:p>
        </w:tc>
        <w:tc>
          <w:tcPr>
            <w:tcW w:type="dxa" w:w="235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Objective</w:t>
            </w:r>
          </w:p>
        </w:tc>
        <w:tc>
          <w:tcPr>
            <w:tcW w:type="dxa" w:w="536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left"/>
            </w:pPr>
            <w:r>
              <w:rPr>
                <w:rFonts w:ascii="Calibri" w:hAnsi="Calibri" w:eastAsia="Calibri"/>
                <w:b/>
                <w:color w:val="13254A"/>
                <w:sz w:val="17"/>
              </w:rPr>
              <w:t>Priority outcomes</w:t>
            </w:r>
          </w:p>
        </w:tc>
      </w:tr>
      <w:tr>
        <w:trPr>
          <w:cantSplit/>
          <w:trHeight w:hRule="atLeast"/>
        </w:trPr>
        <w:tc>
          <w:tcPr>
            <w:tcW w:type="dxa" w:w="16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0–3 months</w:t>
            </w:r>
          </w:p>
        </w:tc>
        <w:tc>
          <w:tcPr>
            <w:tcW w:type="dxa" w:w="23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Reliability and learning loop</w:t>
            </w:r>
          </w:p>
        </w:tc>
        <w:tc>
          <w:tcPr>
            <w:tcW w:type="dxa" w:w="53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Finish OpenAPI coverage; authoritative subscriptions; human-rated source research; goal-linked mobile actions; SLOs and retention cohorts.</w:t>
            </w:r>
          </w:p>
        </w:tc>
      </w:tr>
      <w:tr>
        <w:trPr>
          <w:cantSplit/>
          <w:trHeight w:hRule="atLeast"/>
        </w:trPr>
        <w:tc>
          <w:tcPr>
            <w:tcW w:type="dxa" w:w="16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3–6 months</w:t>
            </w:r>
          </w:p>
        </w:tc>
        <w:tc>
          <w:tcPr>
            <w:tcW w:type="dxa" w:w="23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Teacher-led distribution</w:t>
            </w:r>
          </w:p>
        </w:tc>
        <w:tc>
          <w:tcPr>
            <w:tcW w:type="dxa" w:w="53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Small class/school pilots; consent/admin controls; teacher credibility rubrics; collaborative evidence; institution-sponsored Premium test.</w:t>
            </w:r>
          </w:p>
        </w:tc>
      </w:tr>
      <w:tr>
        <w:trPr>
          <w:cantSplit/>
          <w:trHeight w:hRule="atLeast"/>
        </w:trPr>
        <w:tc>
          <w:tcPr>
            <w:tcW w:type="dxa" w:w="16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6–12 months</w:t>
            </w:r>
          </w:p>
        </w:tc>
        <w:tc>
          <w:tcPr>
            <w:tcW w:type="dxa" w:w="23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Durable differentiation</w:t>
            </w:r>
          </w:p>
        </w:tc>
        <w:tc>
          <w:tcPr>
            <w:tcW w:type="dxa" w:w="53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Provenance/evidence graph; curriculum alignment; privacy-preserving institution analytics; language/accessibility expansion; evaluate B2B licensing.</w:t>
            </w:r>
          </w:p>
        </w:tc>
      </w:tr>
    </w:tbl>
    <w:p>
      <w:pPr>
        <w:spacing w:after="20"/>
      </w:pPr>
    </w:p>
    <w:tbl>
      <w:tblPr>
        <w:tblW w:type="dxa" w:w="9360"/>
        <w:jc w:val="left"/>
        <w:tblLayout w:type="fixed"/>
        <w:tblLook w:firstColumn="1" w:firstRow="1" w:lastColumn="0" w:lastRow="0" w:noHBand="0" w:noVBand="1" w:val="04A0"/>
        <w:tblInd w:type="dxa" w:w="120"/>
        <w:tblCellMar>
          <w:top w:w="100" w:type="dxa"/>
          <w:bottom w:w="100" w:type="dxa"/>
          <w:start w:w="120" w:type="dxa"/>
          <w:end w:w="120" w:type="dxa"/>
        </w:tblCellMar>
      </w:tblPr>
      <w:tblGrid>
        <w:gridCol w:w="9360"/>
      </w:tblGrid>
      <w:tr>
        <w:trPr>
          <w:cantSplit/>
          <w:trHeight w:hRule="atLeast"/>
        </w:trPr>
        <w:tc>
          <w:tcPr>
            <w:tcW w:type="dxa" w:w="9360"/>
            <w:vAlign w:val="center"/>
            <w:shd w:fill="EAF9FE" w:val="clear"/>
            <w:tcBorders>
              <w:top w:val="single" w:sz="8" w:color="35B7EC"/>
              <w:left w:val="single" w:sz="8" w:color="35B7EC"/>
              <w:bottom w:val="single" w:sz="8" w:color="35B7EC"/>
              <w:right w:val="single" w:sz="8" w:color="35B7EC"/>
              <w:insideH w:val="single" w:sz="8" w:color="35B7EC"/>
              <w:insideV w:val="single" w:sz="8" w:color="35B7EC"/>
            </w:tcBorders>
          </w:tcPr>
          <w:p>
            <w:pPr>
              <w:spacing w:before="60" w:after="60"/>
            </w:pPr>
            <w:r>
              <w:rPr>
                <w:rFonts w:ascii="Calibri" w:hAnsi="Calibri" w:eastAsia="Calibri"/>
                <w:b/>
                <w:color w:val="35B7EC"/>
                <w:sz w:val="19"/>
              </w:rPr>
              <w:t xml:space="preserve">STRATEGIC PRINCIPLE  </w:t>
            </w:r>
            <w:r>
              <w:rPr>
                <w:rFonts w:ascii="Calibri" w:hAnsi="Calibri" w:eastAsia="Calibri"/>
                <w:color w:val="17223B"/>
                <w:sz w:val="20"/>
              </w:rPr>
              <w:t>Build durable evidence infrastructure and teacher-led distribution only after student value, safety, subscription reliability, and trust comprehension are proven.</w:t>
            </w:r>
          </w:p>
        </w:tc>
      </w:tr>
    </w:tbl>
    <w:p>
      <w:pPr>
        <w:spacing w:after="20"/>
      </w:pPr>
    </w:p>
    <w:p>
      <w:pPr>
        <w:pStyle w:val="Heading2"/>
        <w:keepNext/>
        <w:ind w:left="0" w:right="0" w:firstLine="0"/>
      </w:pPr>
      <w:r>
        <w:t>Decision checkpoints</w:t>
      </w:r>
    </w:p>
    <w:p>
      <w:pPr>
        <w:keepLines/>
        <w:numPr>
          <w:ilvl w:val="0"/>
          <w:numId w:val="10"/>
        </w:numPr>
        <w:spacing w:after="120" w:lineRule="atLeast" w:line="300"/>
      </w:pPr>
      <w:r>
        <w:rPr>
          <w:rFonts w:ascii="Calibri" w:hAnsi="Calibri" w:eastAsia="Calibri"/>
          <w:color w:val="17223B"/>
          <w:sz w:val="21"/>
        </w:rPr>
        <w:t>At three months, continue only the mobile and research bets that improve activation, trust comprehension, or subscription reliability.</w:t>
      </w:r>
    </w:p>
    <w:p>
      <w:pPr>
        <w:keepLines/>
        <w:numPr>
          <w:ilvl w:val="0"/>
          <w:numId w:val="10"/>
        </w:numPr>
        <w:spacing w:after="120" w:lineRule="atLeast" w:line="300"/>
      </w:pPr>
      <w:r>
        <w:rPr>
          <w:rFonts w:ascii="Calibri" w:hAnsi="Calibri" w:eastAsia="Calibri"/>
          <w:color w:val="17223B"/>
          <w:sz w:val="21"/>
        </w:rPr>
        <w:t>At six months, expand teacher distribution only when pilot classes show repeat use and privacy/consent operations are sustainable.</w:t>
      </w:r>
    </w:p>
    <w:p>
      <w:pPr>
        <w:keepLines/>
        <w:numPr>
          <w:ilvl w:val="0"/>
          <w:numId w:val="10"/>
        </w:numPr>
        <w:spacing w:after="120" w:lineRule="atLeast" w:line="300"/>
      </w:pPr>
      <w:r>
        <w:rPr>
          <w:rFonts w:ascii="Calibri" w:hAnsi="Calibri" w:eastAsia="Calibri"/>
          <w:color w:val="17223B"/>
          <w:sz w:val="21"/>
        </w:rPr>
        <w:t>At twelve months, evaluate school licensing only after learner value, safety, retention, and support economics are demonstrated.</w:t>
      </w:r>
    </w:p>
    <w:p>
      <w:pPr>
        <w:pStyle w:val="Heading2"/>
        <w:keepNext/>
        <w:ind w:left="0" w:right="0" w:firstLine="0"/>
      </w:pPr>
      <w:r>
        <w:t>Roadmap guardrails</w:t>
      </w:r>
    </w:p>
    <w:p>
      <w:pPr>
        <w:keepLines/>
        <w:numPr>
          <w:ilvl w:val="0"/>
          <w:numId w:val="10"/>
        </w:numPr>
        <w:spacing w:after="120" w:lineRule="atLeast" w:line="300"/>
      </w:pPr>
      <w:r>
        <w:rPr>
          <w:rFonts w:ascii="Calibri" w:hAnsi="Calibri" w:eastAsia="Calibri"/>
          <w:color w:val="17223B"/>
          <w:sz w:val="21"/>
        </w:rPr>
        <w:t>Do not chase broad mobile parity before the credibility-to-action loop is excellent.</w:t>
      </w:r>
    </w:p>
    <w:p>
      <w:pPr>
        <w:keepLines/>
        <w:numPr>
          <w:ilvl w:val="0"/>
          <w:numId w:val="10"/>
        </w:numPr>
        <w:spacing w:after="120" w:lineRule="atLeast" w:line="300"/>
      </w:pPr>
      <w:r>
        <w:rPr>
          <w:rFonts w:ascii="Calibri" w:hAnsi="Calibri" w:eastAsia="Calibri"/>
          <w:color w:val="17223B"/>
          <w:sz w:val="21"/>
        </w:rPr>
        <w:t>Do not describe AI outputs as objective truth; measure citation validity and human calibration.</w:t>
      </w:r>
    </w:p>
    <w:p>
      <w:pPr>
        <w:keepLines/>
        <w:numPr>
          <w:ilvl w:val="0"/>
          <w:numId w:val="10"/>
        </w:numPr>
        <w:spacing w:after="120" w:lineRule="atLeast" w:line="300"/>
      </w:pPr>
      <w:r>
        <w:rPr>
          <w:rFonts w:ascii="Calibri" w:hAnsi="Calibri" w:eastAsia="Calibri"/>
          <w:color w:val="17223B"/>
          <w:sz w:val="21"/>
        </w:rPr>
        <w:t>Do not add institution analytics until consent, minimization, export, and deletion controls are ready.</w:t>
      </w:r>
    </w:p>
    <w:p>
      <w:r>
        <w:br w:type="page"/>
      </w:r>
    </w:p>
    <w:p>
      <w:pPr>
        <w:pStyle w:val="Heading1"/>
        <w:keepNext/>
        <w:ind w:left="0" w:right="0" w:firstLine="0"/>
      </w:pPr>
      <w:r>
        <w:t>Appendix A · Ready-to-use submission copy</w:t>
      </w:r>
    </w:p>
    <w:p>
      <w:pPr>
        <w:pStyle w:val="Heading2"/>
        <w:keepNext/>
        <w:ind w:left="0" w:right="0" w:firstLine="0"/>
      </w:pPr>
      <w:r>
        <w:t>App identity</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2550"/>
        <w:gridCol w:w="6810"/>
      </w:tblGrid>
      <w:tr>
        <w:trPr>
          <w:cantSplit/>
          <w:trHeight w:hRule="atLeast"/>
          <w:tblHeader w:val="true"/>
        </w:trPr>
        <w:tc>
          <w:tcPr>
            <w:tcW w:type="dxa" w:w="255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Field</w:t>
            </w:r>
          </w:p>
        </w:tc>
        <w:tc>
          <w:tcPr>
            <w:tcW w:type="dxa" w:w="681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left"/>
            </w:pPr>
            <w:r>
              <w:rPr>
                <w:rFonts w:ascii="Calibri" w:hAnsi="Calibri" w:eastAsia="Calibri"/>
                <w:b/>
                <w:color w:val="13254A"/>
                <w:sz w:val="17"/>
              </w:rPr>
              <w:t>Recommended value</w:t>
            </w:r>
          </w:p>
        </w:tc>
      </w:tr>
      <w:tr>
        <w:trPr>
          <w:cantSplit/>
          <w:trHeight w:hRule="atLeast"/>
        </w:trPr>
        <w:tc>
          <w:tcPr>
            <w:tcW w:type="dxa" w:w="25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App name</w:t>
            </w:r>
          </w:p>
        </w:tc>
        <w:tc>
          <w:tcPr>
            <w:tcW w:type="dxa" w:w="68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Casparel</w:t>
            </w:r>
          </w:p>
        </w:tc>
      </w:tr>
      <w:tr>
        <w:trPr>
          <w:cantSplit/>
          <w:trHeight w:hRule="atLeast"/>
        </w:trPr>
        <w:tc>
          <w:tcPr>
            <w:tcW w:type="dxa" w:w="25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iOS subtitle</w:t>
            </w:r>
          </w:p>
        </w:tc>
        <w:tc>
          <w:tcPr>
            <w:tcW w:type="dxa" w:w="68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Learn. Organize. Study.</w:t>
            </w:r>
          </w:p>
        </w:tc>
      </w:tr>
      <w:tr>
        <w:trPr>
          <w:cantSplit/>
          <w:trHeight w:hRule="atLeast"/>
        </w:trPr>
        <w:tc>
          <w:tcPr>
            <w:tcW w:type="dxa" w:w="25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Play short description</w:t>
            </w:r>
          </w:p>
        </w:tc>
        <w:tc>
          <w:tcPr>
            <w:tcW w:type="dxa" w:w="68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Vetted open-education resources, classes, schedules, and AI research.</w:t>
            </w:r>
          </w:p>
        </w:tc>
      </w:tr>
      <w:tr>
        <w:trPr>
          <w:cantSplit/>
          <w:trHeight w:hRule="atLeast"/>
        </w:trPr>
        <w:tc>
          <w:tcPr>
            <w:tcW w:type="dxa" w:w="25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Category</w:t>
            </w:r>
          </w:p>
        </w:tc>
        <w:tc>
          <w:tcPr>
            <w:tcW w:type="dxa" w:w="68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Education</w:t>
            </w:r>
          </w:p>
        </w:tc>
      </w:tr>
      <w:tr>
        <w:trPr>
          <w:cantSplit/>
          <w:trHeight w:hRule="atLeast"/>
        </w:trPr>
        <w:tc>
          <w:tcPr>
            <w:tcW w:type="dxa" w:w="25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Bundle/package</w:t>
            </w:r>
          </w:p>
        </w:tc>
        <w:tc>
          <w:tcPr>
            <w:tcW w:type="dxa" w:w="68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com.casparel.app</w:t>
            </w:r>
          </w:p>
        </w:tc>
      </w:tr>
      <w:tr>
        <w:trPr>
          <w:cantSplit/>
          <w:trHeight w:hRule="atLeast"/>
        </w:trPr>
        <w:tc>
          <w:tcPr>
            <w:tcW w:type="dxa" w:w="25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Support</w:t>
            </w:r>
          </w:p>
        </w:tc>
        <w:tc>
          <w:tcPr>
            <w:tcW w:type="dxa" w:w="68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https://casparel.com/support</w:t>
            </w:r>
          </w:p>
        </w:tc>
      </w:tr>
      <w:tr>
        <w:trPr>
          <w:cantSplit/>
          <w:trHeight w:hRule="atLeast"/>
        </w:trPr>
        <w:tc>
          <w:tcPr>
            <w:tcW w:type="dxa" w:w="25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Marketing</w:t>
            </w:r>
          </w:p>
        </w:tc>
        <w:tc>
          <w:tcPr>
            <w:tcW w:type="dxa" w:w="68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https://casparel.com</w:t>
            </w:r>
          </w:p>
        </w:tc>
      </w:tr>
      <w:tr>
        <w:trPr>
          <w:cantSplit/>
          <w:trHeight w:hRule="atLeast"/>
        </w:trPr>
        <w:tc>
          <w:tcPr>
            <w:tcW w:type="dxa" w:w="25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Privacy</w:t>
            </w:r>
          </w:p>
        </w:tc>
        <w:tc>
          <w:tcPr>
            <w:tcW w:type="dxa" w:w="68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https://casparel.com/privacy</w:t>
            </w:r>
          </w:p>
        </w:tc>
      </w:tr>
    </w:tbl>
    <w:p>
      <w:pPr>
        <w:spacing w:after="20"/>
      </w:pPr>
    </w:p>
    <w:p>
      <w:pPr>
        <w:pStyle w:val="Heading2"/>
        <w:keepNext/>
        <w:ind w:left="0" w:right="0" w:firstLine="0"/>
      </w:pPr>
      <w:r>
        <w:t>Store description</w:t>
      </w:r>
    </w:p>
    <w:p>
      <w:pPr>
        <w:spacing w:after="120"/>
      </w:pPr>
      <w:r>
        <w:rPr>
          <w:rFonts w:ascii="Calibri" w:hAnsi="Calibri" w:eastAsia="Calibri"/>
          <w:i w:val="0"/>
          <w:color w:val="17223B"/>
          <w:sz w:val="21"/>
        </w:rPr>
        <w:t>Casparel is where students and teachers find trustworthy learning materials and stay organized while they study.</w:t>
      </w:r>
    </w:p>
    <w:p>
      <w:pPr>
        <w:spacing w:after="120"/>
      </w:pPr>
      <w:r>
        <w:rPr>
          <w:rFonts w:ascii="Calibri" w:hAnsi="Calibri" w:eastAsia="Calibri"/>
          <w:i w:val="0"/>
          <w:color w:val="17223B"/>
          <w:sz w:val="21"/>
        </w:rPr>
        <w:t>Discover open education. Browse a vetted catalog drawn from Open Library, Wikibooks, and other open sources. Every resource is free to open.</w:t>
      </w:r>
    </w:p>
    <w:p>
      <w:pPr>
        <w:spacing w:after="120"/>
      </w:pPr>
      <w:r>
        <w:rPr>
          <w:rFonts w:ascii="Calibri" w:hAnsi="Calibri" w:eastAsia="Calibri"/>
          <w:i w:val="0"/>
          <w:color w:val="17223B"/>
          <w:sz w:val="21"/>
        </w:rPr>
        <w:t>Organize everything. Join classes, build reading lists, plan your schedule, and connect study work to the tools you already use.</w:t>
      </w:r>
    </w:p>
    <w:p>
      <w:pPr>
        <w:spacing w:after="120"/>
      </w:pPr>
      <w:r>
        <w:rPr>
          <w:rFonts w:ascii="Calibri" w:hAnsi="Calibri" w:eastAsia="Calibri"/>
          <w:i w:val="0"/>
          <w:color w:val="17223B"/>
          <w:sz w:val="21"/>
        </w:rPr>
        <w:t>Research with AI. Casparel's Source Research helps explain who is behind a resource, what its strengths and limitations are, and how current the evidence appears. Use a quick check or request deep, cited live-web research.</w:t>
      </w:r>
    </w:p>
    <w:p>
      <w:pPr>
        <w:spacing w:after="120"/>
      </w:pPr>
      <w:r>
        <w:rPr>
          <w:rFonts w:ascii="Calibri" w:hAnsi="Calibri" w:eastAsia="Calibri"/>
          <w:i w:val="0"/>
          <w:color w:val="17223B"/>
          <w:sz w:val="21"/>
        </w:rPr>
        <w:t>Casparel Premium. Upgrade for unlimited account-level deep source research. The core library stays free; Premium helps fund it.</w:t>
      </w:r>
    </w:p>
    <w:p>
      <w:pPr>
        <w:pStyle w:val="Heading2"/>
        <w:keepNext/>
        <w:ind w:left="0" w:right="0" w:firstLine="0"/>
      </w:pPr>
      <w:r>
        <w:t>Devpost tagline</w:t>
      </w:r>
    </w:p>
    <w:tbl>
      <w:tblPr>
        <w:tblW w:type="dxa" w:w="9360"/>
        <w:jc w:val="left"/>
        <w:tblLayout w:type="fixed"/>
        <w:tblLook w:firstColumn="1" w:firstRow="1" w:lastColumn="0" w:lastRow="0" w:noHBand="0" w:noVBand="1" w:val="04A0"/>
        <w:tblInd w:type="dxa" w:w="120"/>
        <w:tblCellMar>
          <w:top w:w="100" w:type="dxa"/>
          <w:bottom w:w="100" w:type="dxa"/>
          <w:start w:w="120" w:type="dxa"/>
          <w:end w:w="120" w:type="dxa"/>
        </w:tblCellMar>
      </w:tblPr>
      <w:tblGrid>
        <w:gridCol w:w="9360"/>
      </w:tblGrid>
      <w:tr>
        <w:trPr>
          <w:cantSplit/>
          <w:trHeight w:hRule="atLeast"/>
        </w:trPr>
        <w:tc>
          <w:tcPr>
            <w:tcW w:type="dxa" w:w="9360"/>
            <w:vAlign w:val="center"/>
            <w:shd w:fill="EAF1FF" w:val="clear"/>
            <w:tcBorders>
              <w:top w:val="single" w:sz="8" w:color="275DCE"/>
              <w:left w:val="single" w:sz="8" w:color="275DCE"/>
              <w:bottom w:val="single" w:sz="8" w:color="275DCE"/>
              <w:right w:val="single" w:sz="8" w:color="275DCE"/>
              <w:insideH w:val="single" w:sz="8" w:color="275DCE"/>
              <w:insideV w:val="single" w:sz="8" w:color="275DCE"/>
            </w:tcBorders>
          </w:tcPr>
          <w:p>
            <w:pPr>
              <w:spacing w:before="60" w:after="60"/>
            </w:pPr>
            <w:r>
              <w:rPr>
                <w:rFonts w:ascii="Calibri" w:hAnsi="Calibri" w:eastAsia="Calibri"/>
                <w:b/>
                <w:color w:val="275DCE"/>
                <w:sz w:val="19"/>
              </w:rPr>
              <w:t xml:space="preserve">TAGLINE  </w:t>
            </w:r>
            <w:r>
              <w:rPr>
                <w:rFonts w:ascii="Calibri" w:hAnsi="Calibri" w:eastAsia="Calibri"/>
                <w:color w:val="17223B"/>
                <w:sz w:val="20"/>
              </w:rPr>
              <w:t>A free, vetted open-education platform for students and teachers: organize your studies, evaluate any source with cited AI research, and keep the core library open with Premium.</w:t>
            </w:r>
          </w:p>
        </w:tc>
      </w:tr>
    </w:tbl>
    <w:p>
      <w:pPr>
        <w:spacing w:after="20"/>
      </w:pPr>
    </w:p>
    <w:p>
      <w:pPr>
        <w:pStyle w:val="Heading2"/>
        <w:keepNext/>
        <w:ind w:left="0" w:right="0" w:firstLine="0"/>
      </w:pPr>
      <w:r>
        <w:t>Screenshot narrative</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650"/>
        <w:gridCol w:w="3060"/>
        <w:gridCol w:w="5650"/>
      </w:tblGrid>
      <w:tr>
        <w:trPr>
          <w:cantSplit/>
          <w:trHeight w:hRule="atLeast"/>
          <w:tblHeader w:val="true"/>
        </w:trPr>
        <w:tc>
          <w:tcPr>
            <w:tcW w:type="dxa" w:w="65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w:t>
            </w:r>
          </w:p>
        </w:tc>
        <w:tc>
          <w:tcPr>
            <w:tcW w:type="dxa" w:w="306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Screen</w:t>
            </w:r>
          </w:p>
        </w:tc>
        <w:tc>
          <w:tcPr>
            <w:tcW w:type="dxa" w:w="565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Caption</w:t>
            </w:r>
          </w:p>
        </w:tc>
      </w:tr>
      <w:tr>
        <w:trPr>
          <w:cantSplit/>
          <w:trHeight w:hRule="atLeast"/>
        </w:trPr>
        <w:tc>
          <w:tcPr>
            <w:tcW w:type="dxa" w:w="6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1</w:t>
            </w:r>
          </w:p>
        </w:tc>
        <w:tc>
          <w:tcPr>
            <w:tcW w:type="dxa" w:w="30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Dashboard</w:t>
            </w:r>
          </w:p>
        </w:tc>
        <w:tc>
          <w:tcPr>
            <w:tcW w:type="dxa" w:w="56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Your studies, organized.</w:t>
            </w:r>
          </w:p>
        </w:tc>
      </w:tr>
      <w:tr>
        <w:trPr>
          <w:cantSplit/>
          <w:trHeight w:hRule="atLeast"/>
        </w:trPr>
        <w:tc>
          <w:tcPr>
            <w:tcW w:type="dxa" w:w="6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2</w:t>
            </w:r>
          </w:p>
        </w:tc>
        <w:tc>
          <w:tcPr>
            <w:tcW w:type="dxa" w:w="30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Resources</w:t>
            </w:r>
          </w:p>
        </w:tc>
        <w:tc>
          <w:tcPr>
            <w:tcW w:type="dxa" w:w="56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A vetted, free open-education library.</w:t>
            </w:r>
          </w:p>
        </w:tc>
      </w:tr>
      <w:tr>
        <w:trPr>
          <w:cantSplit/>
          <w:trHeight w:hRule="atLeast"/>
        </w:trPr>
        <w:tc>
          <w:tcPr>
            <w:tcW w:type="dxa" w:w="6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3</w:t>
            </w:r>
          </w:p>
        </w:tc>
        <w:tc>
          <w:tcPr>
            <w:tcW w:type="dxa" w:w="30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Source Research</w:t>
            </w:r>
          </w:p>
        </w:tc>
        <w:tc>
          <w:tcPr>
            <w:tcW w:type="dxa" w:w="56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Know who's behind any source.</w:t>
            </w:r>
          </w:p>
        </w:tc>
      </w:tr>
      <w:tr>
        <w:trPr>
          <w:cantSplit/>
          <w:trHeight w:hRule="atLeast"/>
        </w:trPr>
        <w:tc>
          <w:tcPr>
            <w:tcW w:type="dxa" w:w="6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4</w:t>
            </w:r>
          </w:p>
        </w:tc>
        <w:tc>
          <w:tcPr>
            <w:tcW w:type="dxa" w:w="30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Paywall</w:t>
            </w:r>
          </w:p>
        </w:tc>
        <w:tc>
          <w:tcPr>
            <w:tcW w:type="dxa" w:w="56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Go unlimited with Premium.</w:t>
            </w:r>
          </w:p>
        </w:tc>
      </w:tr>
      <w:tr>
        <w:trPr>
          <w:cantSplit/>
          <w:trHeight w:hRule="atLeast"/>
        </w:trPr>
        <w:tc>
          <w:tcPr>
            <w:tcW w:type="dxa" w:w="6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5</w:t>
            </w:r>
          </w:p>
        </w:tc>
        <w:tc>
          <w:tcPr>
            <w:tcW w:type="dxa" w:w="30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Schedule</w:t>
            </w:r>
          </w:p>
        </w:tc>
        <w:tc>
          <w:tcPr>
            <w:tcW w:type="dxa" w:w="56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Plan classes and study time.</w:t>
            </w:r>
          </w:p>
        </w:tc>
      </w:tr>
      <w:tr>
        <w:trPr>
          <w:cantSplit/>
          <w:trHeight w:hRule="atLeast"/>
        </w:trPr>
        <w:tc>
          <w:tcPr>
            <w:tcW w:type="dxa" w:w="6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6</w:t>
            </w:r>
          </w:p>
        </w:tc>
        <w:tc>
          <w:tcPr>
            <w:tcW w:type="dxa" w:w="30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Profile / Plan</w:t>
            </w:r>
          </w:p>
        </w:tc>
        <w:tc>
          <w:tcPr>
            <w:tcW w:type="dxa" w:w="56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Track your usage; upgrade anytime.</w:t>
            </w:r>
          </w:p>
        </w:tc>
      </w:tr>
    </w:tbl>
    <w:p>
      <w:pPr>
        <w:spacing w:after="20"/>
      </w:pPr>
    </w:p>
    <w:p>
      <w:pPr>
        <w:pStyle w:val="Heading2"/>
        <w:keepNext/>
        <w:ind w:left="0" w:right="0" w:firstLine="0"/>
      </w:pPr>
      <w:r>
        <w:t>Final submission checklist</w:t>
      </w:r>
    </w:p>
    <w:p>
      <w:pPr>
        <w:keepLines/>
        <w:spacing w:after="120" w:lineRule="atLeast" w:line="300"/>
        <w:ind w:left="461" w:hanging="317"/>
      </w:pPr>
      <w:r>
        <w:rPr>
          <w:rFonts w:ascii="DejaVu Sans" w:hAnsi="DejaVu Sans" w:eastAsia="DejaVu Sans"/>
          <w:color w:val="275DCE"/>
          <w:sz w:val="21"/>
        </w:rPr>
        <w:t xml:space="preserve">☐  </w:t>
      </w:r>
      <w:r>
        <w:rPr>
          <w:rFonts w:ascii="Calibri" w:hAnsi="Calibri" w:eastAsia="Calibri"/>
          <w:color w:val="17223B"/>
          <w:sz w:val="21"/>
        </w:rPr>
        <w:t>Signed iOS/Android release candidate installed and tested on physical devices.</w:t>
      </w:r>
    </w:p>
    <w:p>
      <w:pPr>
        <w:keepLines/>
        <w:spacing w:after="120" w:lineRule="atLeast" w:line="300"/>
        <w:ind w:left="461" w:hanging="317"/>
      </w:pPr>
      <w:r>
        <w:rPr>
          <w:rFonts w:ascii="DejaVu Sans" w:hAnsi="DejaVu Sans" w:eastAsia="DejaVu Sans"/>
          <w:color w:val="275DCE"/>
          <w:sz w:val="21"/>
        </w:rPr>
        <w:t xml:space="preserve">☐  </w:t>
      </w:r>
      <w:r>
        <w:rPr>
          <w:rFonts w:ascii="Calibri" w:hAnsi="Calibri" w:eastAsia="Calibri"/>
          <w:color w:val="17223B"/>
          <w:sz w:val="21"/>
        </w:rPr>
        <w:t>App publicly live and accessible in the United States before the deadline.</w:t>
      </w:r>
    </w:p>
    <w:p>
      <w:pPr>
        <w:keepLines/>
        <w:spacing w:after="120" w:lineRule="atLeast" w:line="300"/>
        <w:ind w:left="461" w:hanging="317"/>
      </w:pPr>
      <w:r>
        <w:rPr>
          <w:rFonts w:ascii="DejaVu Sans" w:hAnsi="DejaVu Sans" w:eastAsia="DejaVu Sans"/>
          <w:color w:val="275DCE"/>
          <w:sz w:val="21"/>
        </w:rPr>
        <w:t xml:space="preserve">☐  </w:t>
      </w:r>
      <w:r>
        <w:rPr>
          <w:rFonts w:ascii="Calibri" w:hAnsi="Calibri" w:eastAsia="Calibri"/>
          <w:color w:val="17223B"/>
          <w:sz w:val="21"/>
        </w:rPr>
        <w:t>RevenueCat products, premium entitlement, offering, and webhook live and mapped.</w:t>
      </w:r>
    </w:p>
    <w:p>
      <w:pPr>
        <w:keepLines/>
        <w:spacing w:after="120" w:lineRule="atLeast" w:line="300"/>
        <w:ind w:left="461" w:hanging="317"/>
      </w:pPr>
      <w:r>
        <w:rPr>
          <w:rFonts w:ascii="DejaVu Sans" w:hAnsi="DejaVu Sans" w:eastAsia="DejaVu Sans"/>
          <w:color w:val="275DCE"/>
          <w:sz w:val="21"/>
        </w:rPr>
        <w:t xml:space="preserve">☐  </w:t>
      </w:r>
      <w:r>
        <w:rPr>
          <w:rFonts w:ascii="Calibri" w:hAnsi="Calibri" w:eastAsia="Calibri"/>
          <w:color w:val="17223B"/>
          <w:sz w:val="21"/>
        </w:rPr>
        <w:t>Judge promo code or trial verified end-to-end.</w:t>
      </w:r>
    </w:p>
    <w:p>
      <w:pPr>
        <w:keepLines/>
        <w:spacing w:after="120" w:lineRule="atLeast" w:line="300"/>
        <w:ind w:left="461" w:hanging="317"/>
      </w:pPr>
      <w:r>
        <w:rPr>
          <w:rFonts w:ascii="DejaVu Sans" w:hAnsi="DejaVu Sans" w:eastAsia="DejaVu Sans"/>
          <w:color w:val="275DCE"/>
          <w:sz w:val="21"/>
        </w:rPr>
        <w:t xml:space="preserve">☐  </w:t>
      </w:r>
      <w:r>
        <w:rPr>
          <w:rFonts w:ascii="Calibri" w:hAnsi="Calibri" w:eastAsia="Calibri"/>
          <w:color w:val="17223B"/>
          <w:sz w:val="21"/>
        </w:rPr>
        <w:t>Purchase, restore, cancellation, expiry, renewal, billing issue, and transfer tested.</w:t>
      </w:r>
    </w:p>
    <w:p>
      <w:pPr>
        <w:keepLines/>
        <w:spacing w:after="120" w:lineRule="atLeast" w:line="300"/>
        <w:ind w:left="461" w:hanging="317"/>
      </w:pPr>
      <w:r>
        <w:rPr>
          <w:rFonts w:ascii="DejaVu Sans" w:hAnsi="DejaVu Sans" w:eastAsia="DejaVu Sans"/>
          <w:color w:val="275DCE"/>
          <w:sz w:val="21"/>
        </w:rPr>
        <w:t xml:space="preserve">☐  </w:t>
      </w:r>
      <w:r>
        <w:rPr>
          <w:rFonts w:ascii="Calibri" w:hAnsi="Calibri" w:eastAsia="Calibri"/>
          <w:color w:val="17223B"/>
          <w:sz w:val="21"/>
        </w:rPr>
        <w:t>1024 × 1024 icon and required 1179 × 2556 screenshot exported.</w:t>
      </w:r>
    </w:p>
    <w:p>
      <w:pPr>
        <w:keepLines/>
        <w:spacing w:after="120" w:lineRule="atLeast" w:line="300"/>
        <w:ind w:left="461" w:hanging="317"/>
      </w:pPr>
      <w:r>
        <w:rPr>
          <w:rFonts w:ascii="DejaVu Sans" w:hAnsi="DejaVu Sans" w:eastAsia="DejaVu Sans"/>
          <w:color w:val="275DCE"/>
          <w:sz w:val="21"/>
        </w:rPr>
        <w:t xml:space="preserve">☐  </w:t>
      </w:r>
      <w:r>
        <w:rPr>
          <w:rFonts w:ascii="Calibri" w:hAnsi="Calibri" w:eastAsia="Calibri"/>
          <w:color w:val="17223B"/>
          <w:sz w:val="21"/>
        </w:rPr>
        <w:t>Privacy policy and Support URLs live and accurate.</w:t>
      </w:r>
    </w:p>
    <w:p>
      <w:pPr>
        <w:keepLines/>
        <w:spacing w:after="120" w:lineRule="atLeast" w:line="300"/>
        <w:ind w:left="461" w:hanging="317"/>
      </w:pPr>
      <w:r>
        <w:rPr>
          <w:rFonts w:ascii="DejaVu Sans" w:hAnsi="DejaVu Sans" w:eastAsia="DejaVu Sans"/>
          <w:color w:val="275DCE"/>
          <w:sz w:val="21"/>
        </w:rPr>
        <w:t xml:space="preserve">☐  </w:t>
      </w:r>
      <w:r>
        <w:rPr>
          <w:rFonts w:ascii="Calibri" w:hAnsi="Calibri" w:eastAsia="Calibri"/>
          <w:color w:val="17223B"/>
          <w:sz w:val="21"/>
        </w:rPr>
        <w:t>Public demo under two minutes shows a real on-device transaction.</w:t>
      </w:r>
    </w:p>
    <w:p>
      <w:pPr>
        <w:keepLines/>
        <w:spacing w:after="120" w:lineRule="atLeast" w:line="300"/>
        <w:ind w:left="461" w:hanging="317"/>
      </w:pPr>
      <w:r>
        <w:rPr>
          <w:rFonts w:ascii="DejaVu Sans" w:hAnsi="DejaVu Sans" w:eastAsia="DejaVu Sans"/>
          <w:color w:val="275DCE"/>
          <w:sz w:val="21"/>
        </w:rPr>
        <w:t xml:space="preserve">☐  </w:t>
      </w:r>
      <w:r>
        <w:rPr>
          <w:rFonts w:ascii="Calibri" w:hAnsi="Calibri" w:eastAsia="Calibri"/>
          <w:color w:val="17223B"/>
          <w:sz w:val="21"/>
        </w:rPr>
        <w:t>Devpost categories selected only where every requirement is proven.</w:t>
      </w:r>
    </w:p>
    <w:p>
      <w:pPr>
        <w:keepLines/>
        <w:spacing w:after="120" w:lineRule="atLeast" w:line="300"/>
        <w:ind w:left="461" w:hanging="317"/>
      </w:pPr>
      <w:r>
        <w:rPr>
          <w:rFonts w:ascii="DejaVu Sans" w:hAnsi="DejaVu Sans" w:eastAsia="DejaVu Sans"/>
          <w:color w:val="275DCE"/>
          <w:sz w:val="21"/>
        </w:rPr>
        <w:t xml:space="preserve">☐  </w:t>
      </w:r>
      <w:r>
        <w:rPr>
          <w:rFonts w:ascii="Calibri" w:hAnsi="Calibri" w:eastAsia="Calibri"/>
          <w:color w:val="17223B"/>
          <w:sz w:val="21"/>
        </w:rPr>
        <w:t>Submission completed and verified at least 24 hours before the deadline.</w:t>
      </w:r>
    </w:p>
    <w:p>
      <w:pPr>
        <w:pStyle w:val="Heading1"/>
        <w:keepNext/>
        <w:ind w:left="0" w:right="0" w:firstLine="0"/>
      </w:pPr>
      <w:r>
        <w:t>Appendix B · Sources and assumptions</w:t>
      </w:r>
    </w:p>
    <w:p>
      <w:pPr>
        <w:spacing w:after="120"/>
      </w:pPr>
      <w:r>
        <w:rPr>
          <w:rFonts w:ascii="Calibri" w:hAnsi="Calibri" w:eastAsia="Calibri"/>
          <w:b/>
          <w:color w:val="17223B"/>
          <w:sz w:val="20"/>
        </w:rPr>
        <w:t xml:space="preserve">Official Shipaton 2026 rules: </w:t>
      </w:r>
      <w:hyperlink r:id="rId16">
        <w:r>
          <w:rPr>
            <w:color w:val="275DCE"/>
            <w:u w:val="single"/>
          </w:rPr>
          <w:t>revenuecat-shipaton-2026.devpost.com/rules</w:t>
        </w:r>
      </w:hyperlink>
    </w:p>
    <w:p>
      <w:pPr>
        <w:spacing w:after="120"/>
      </w:pPr>
      <w:r>
        <w:rPr>
          <w:rFonts w:ascii="Calibri" w:hAnsi="Calibri" w:eastAsia="Calibri"/>
          <w:b/>
          <w:color w:val="17223B"/>
          <w:sz w:val="20"/>
        </w:rPr>
        <w:t xml:space="preserve">RevenueCat submission preparation guide: </w:t>
      </w:r>
      <w:hyperlink r:id="rId17">
        <w:r>
          <w:rPr>
            <w:color w:val="275DCE"/>
            <w:u w:val="single"/>
          </w:rPr>
          <w:t>revenuecat.github.io/codelabs/shipaton-2026-prep.html</w:t>
        </w:r>
      </w:hyperlink>
    </w:p>
    <w:p>
      <w:pPr>
        <w:spacing w:after="120"/>
      </w:pPr>
      <w:r>
        <w:rPr>
          <w:rFonts w:ascii="Calibri" w:hAnsi="Calibri" w:eastAsia="Calibri"/>
          <w:i/>
          <w:color w:val="5B667A"/>
          <w:sz w:val="21"/>
        </w:rPr>
        <w:t>Readiness scoring and probability ranges are independent strategic judgments, not official RevenueCat scoring or statistical forecasts. Rules can change; repeat a full eligibility check immediately before submission.</w:t>
      </w:r>
    </w:p>
    <w:tbl>
      <w:tblPr>
        <w:tblW w:type="dxa" w:w="9360"/>
        <w:jc w:val="left"/>
        <w:tblLayout w:type="fixed"/>
        <w:tblLook w:firstColumn="1" w:firstRow="1" w:lastColumn="0" w:lastRow="0" w:noHBand="0" w:noVBand="1" w:val="04A0"/>
        <w:tblInd w:type="dxa" w:w="120"/>
        <w:tblCellMar>
          <w:top w:w="100" w:type="dxa"/>
          <w:bottom w:w="100" w:type="dxa"/>
          <w:start w:w="120" w:type="dxa"/>
          <w:end w:w="120" w:type="dxa"/>
        </w:tblCellMar>
      </w:tblPr>
      <w:tblGrid>
        <w:gridCol w:w="9360"/>
      </w:tblGrid>
      <w:tr>
        <w:trPr>
          <w:cantSplit/>
          <w:trHeight w:hRule="atLeast"/>
        </w:trPr>
        <w:tc>
          <w:tcPr>
            <w:tcW w:type="dxa" w:w="9360"/>
            <w:vAlign w:val="center"/>
            <w:shd w:fill="EAF1FF" w:val="clear"/>
            <w:tcBorders>
              <w:top w:val="single" w:sz="8" w:color="275DCE"/>
              <w:left w:val="single" w:sz="8" w:color="275DCE"/>
              <w:bottom w:val="single" w:sz="8" w:color="275DCE"/>
              <w:right w:val="single" w:sz="8" w:color="275DCE"/>
              <w:insideH w:val="single" w:sz="8" w:color="275DCE"/>
              <w:insideV w:val="single" w:sz="8" w:color="275DCE"/>
            </w:tcBorders>
          </w:tcPr>
          <w:p>
            <w:pPr>
              <w:spacing w:before="60" w:after="60"/>
            </w:pPr>
            <w:r>
              <w:rPr>
                <w:rFonts w:ascii="Calibri" w:hAnsi="Calibri" w:eastAsia="Calibri"/>
                <w:b/>
                <w:color w:val="275DCE"/>
                <w:sz w:val="19"/>
              </w:rPr>
              <w:t xml:space="preserve">FINAL RECOMMENDATION  </w:t>
            </w:r>
            <w:r>
              <w:rPr>
                <w:rFonts w:ascii="Calibri" w:hAnsi="Calibri" w:eastAsia="Calibri"/>
                <w:color w:val="17223B"/>
                <w:sz w:val="20"/>
              </w:rPr>
              <w:t>Choose Design as the product-quality target. Enter Replit Idea to Income only when the required workflow, public-post, growth, and revenue evidence are real. Spend the remaining runway on release proof, user evidence, and narrative discipline—not feature count.</w:t>
            </w:r>
          </w:p>
        </w:tc>
      </w:tr>
    </w:tbl>
    <w:p>
      <w:pPr>
        <w:spacing w:after="20"/>
      </w:pP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5B667A"/>
        <w:sz w:val="17"/>
      </w:rPr>
      <w:t xml:space="preserve">Page </w:t>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5B667A"/>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suff w:val="space"/>
      <w:pPr>
        <w:tabs>
          <w:tab w:val="num" w:pos="720"/>
        </w:tabs>
        <w:ind w:left="720" w:hanging="360"/>
      </w:pPr>
      <w:rPr>
        <w:rFonts w:ascii="Calibri" w:hAnsi="Calibri"/>
      </w:rPr>
    </w:lvl>
  </w:abstractNum>
  <w:num w:numId="10">
    <w:abstractNumId w:val="9"/>
  </w:num>
  <w:abstractNum w:abstractNumId="10">
    <w:multiLevelType w:val="singleLevel"/>
    <w:lvl w:ilvl="0">
      <w:start w:val="1"/>
      <w:numFmt w:val="decimal"/>
      <w:lvlText w:val="%1."/>
      <w:lvlJc w:val="left"/>
      <w:suff w:val="space"/>
      <w:pPr>
        <w:tabs>
          <w:tab w:val="num" w:pos="720"/>
        </w:tabs>
        <w:ind w:left="720" w:hanging="360"/>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2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ind w:left="0" w:right="0" w:firstLine="0"/>
      <w:outlineLvl w:val="0"/>
    </w:pPr>
    <w:rPr>
      <w:rFonts w:asciiTheme="majorHAnsi" w:eastAsiaTheme="majorEastAsia" w:hAnsiTheme="majorHAnsi" w:cstheme="majorBidi" w:ascii="Calibri" w:hAnsi="Calibri"/>
      <w:b/>
      <w:bCs/>
      <w:color w:val="275DCE"/>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left="0" w:right="0" w:firstLine="0"/>
      <w:outlineLvl w:val="1"/>
    </w:pPr>
    <w:rPr>
      <w:rFonts w:asciiTheme="majorHAnsi" w:eastAsiaTheme="majorEastAsia" w:hAnsiTheme="majorHAnsi" w:cstheme="majorBidi" w:ascii="Calibri" w:hAnsi="Calibri"/>
      <w:b/>
      <w:bCs/>
      <w:color w:val="275DCE"/>
      <w:sz w:val="26"/>
      <w:szCs w:val="26"/>
    </w:rPr>
  </w:style>
  <w:style w:type="paragraph" w:styleId="Heading3">
    <w:name w:val="heading 3"/>
    <w:basedOn w:val="Normal"/>
    <w:next w:val="Normal"/>
    <w:link w:val="Heading3Char"/>
    <w:uiPriority w:val="9"/>
    <w:unhideWhenUsed/>
    <w:qFormat/>
    <w:rsid w:val="00FC693F"/>
    <w:pPr>
      <w:keepNext/>
      <w:keepLines/>
      <w:spacing w:before="160" w:after="80"/>
      <w:ind w:left="0" w:right="0" w:firstLine="0"/>
      <w:outlineLvl w:val="2"/>
    </w:pPr>
    <w:rPr>
      <w:rFonts w:asciiTheme="majorHAnsi" w:eastAsiaTheme="majorEastAsia" w:hAnsiTheme="majorHAnsi" w:cstheme="majorBidi" w:ascii="Calibri" w:hAnsi="Calibri"/>
      <w:b/>
      <w:bCs/>
      <w:color w:val="1325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color w:val="1325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5B66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yperlink" Target="https://revenuecat-shipaton-2026.devpost.com/rules" TargetMode="External"/><Relationship Id="rId17" Type="http://schemas.openxmlformats.org/officeDocument/2006/relationships/hyperlink" Target="https://revenuecat.github.io/codelabs/shipaton-2026-pre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Casparel Shipaton 2026 Readiness and Roadmap</dc:title>
  <dc:subject>Shipaton 2026 Readiness</dc:subject>
  <dc:creator>Casparel</dc:creator>
  <cp:keywords>Casparel, product documentation, audit, Shipaton 2026</cp:keywords>
  <dc:description>Generated from the verified Casparel repository audit dated 15 August 2026.</dc:description>
  <cp:lastModifiedBy/>
  <cp:revision>1</cp:revision>
  <dcterms:created xsi:type="dcterms:W3CDTF">2013-12-23T23:15:00Z</dcterms:created>
  <dcterms:modified xsi:type="dcterms:W3CDTF">2013-12-23T23:15:00Z</dcterms:modified>
  <cp:category/>
</cp:coreProperties>
</file>