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Abstract — CLEC 2026 (English translation)</w:t>
      </w:r>
    </w:p>
    <w:bookmarkStart w:id="10" w:name="X8644535534af42ba269940deb5770546999fddc"/>
    <w:p>
      <w:pPr>
        <w:pStyle w:val="Heading2"/>
      </w:pPr>
      <w:r>
        <w:t xml:space="preserve">Spatial Prioritization of Road Interventions Using Ecosystem-Service Provision Change Hotspots and Beneficiary Exposure in Colombia</w:t>
      </w:r>
    </w:p>
    <w:p>
      <w:pPr>
        <w:pStyle w:val="FirstParagraph"/>
      </w:pPr>
      <w:r>
        <w:rPr>
          <w:b/>
          <w:bCs/>
        </w:rPr>
        <w:t xml:space="preserve">Authors:</w:t>
      </w:r>
      <w:r>
        <w:t xml:space="preserve"> </w:t>
      </w:r>
      <w:r>
        <w:t xml:space="preserve">Jerónimo Rodríguez Escobar</w:t>
      </w:r>
      <w:r>
        <w:rPr>
          <w:vertAlign w:val="superscript"/>
        </w:rPr>
        <w:t xml:space="preserve">1,2</w:t>
      </w:r>
      <w:r>
        <w:t xml:space="preserve">; Rebecca Chaplin-Kramer</w:t>
      </w:r>
      <w:r>
        <w:rPr>
          <w:vertAlign w:val="superscript"/>
        </w:rPr>
        <w:t xml:space="preserve">1</w:t>
      </w:r>
      <w:r>
        <w:t xml:space="preserve">; Richard P. Sharp</w:t>
      </w:r>
      <w:r>
        <w:rPr>
          <w:vertAlign w:val="superscript"/>
        </w:rPr>
        <w:t xml:space="preserve">1</w:t>
      </w:r>
      <w:r>
        <w:t xml:space="preserve">; Laín Efrén Prado</w:t>
      </w:r>
      <w:r>
        <w:rPr>
          <w:vertAlign w:val="superscript"/>
        </w:rPr>
        <w:t xml:space="preserve">2</w:t>
      </w:r>
    </w:p>
    <w:p>
      <w:pPr>
        <w:pStyle w:val="BodyText"/>
      </w:pPr>
      <w:r>
        <w:rPr>
          <w:b/>
          <w:bCs/>
        </w:rPr>
        <w:t xml:space="preserve">Institution:</w:t>
      </w:r>
      <w:r>
        <w:t xml:space="preserve"> </w:t>
      </w:r>
      <w:r>
        <w:rPr>
          <w:vertAlign w:val="superscript"/>
        </w:rPr>
        <w:t xml:space="preserve">1</w:t>
      </w:r>
      <w:r>
        <w:t xml:space="preserve"> </w:t>
      </w:r>
      <w:r>
        <w:t xml:space="preserve">World Wildlife Fund (WWF), Global Science —</w:t>
      </w:r>
      <w:r>
        <w:t xml:space="preserve"> </w:t>
      </w:r>
      <w:r>
        <w:rPr>
          <w:vertAlign w:val="superscript"/>
        </w:rPr>
        <w:t xml:space="preserve">2</w:t>
      </w:r>
      <w:r>
        <w:t xml:space="preserve"> </w:t>
      </w:r>
      <w:r>
        <w:t xml:space="preserve">World Wildlife Fund (WWF) Colombia, Science and Knowledge Management</w:t>
      </w:r>
    </w:p>
    <w:p>
      <w:pPr>
        <w:pStyle w:val="BodyText"/>
      </w:pPr>
      <w:r>
        <w:rPr>
          <w:b/>
          <w:bCs/>
        </w:rPr>
        <w:t xml:space="preserve">Corresponding author:</w:t>
      </w:r>
      <w:r>
        <w:t xml:space="preserve"> </w:t>
      </w:r>
      <w:r>
        <w:t xml:space="preserve">jeronimo.rodriguez@wwf.org</w:t>
      </w:r>
    </w:p>
    <w:p>
      <w:pPr>
        <w:pStyle w:val="BodyText"/>
      </w:pPr>
      <w:r>
        <w:rPr>
          <w:b/>
          <w:bCs/>
        </w:rPr>
        <w:t xml:space="preserve">Presentation format:</w:t>
      </w:r>
      <w:r>
        <w:t xml:space="preserve"> </w:t>
      </w:r>
      <w:r>
        <w:t xml:space="preserve">Oral</w:t>
      </w:r>
    </w:p>
    <w:bookmarkStart w:id="9" w:name="abstract"/>
    <w:p>
      <w:pPr>
        <w:pStyle w:val="Heading3"/>
      </w:pPr>
      <w:r>
        <w:t xml:space="preserve">Abstract</w:t>
      </w:r>
    </w:p>
    <w:p>
      <w:pPr>
        <w:pStyle w:val="FirstParagraph"/>
      </w:pPr>
      <w:r>
        <w:rPr>
          <w:i/>
          <w:iCs/>
        </w:rPr>
        <w:t xml:space="preserve">(Faithful English translation for internal review — the actual CLEC submission is in Spanish; see</w:t>
      </w:r>
      <w:r>
        <w:rPr>
          <w:i/>
          <w:iCs/>
        </w:rPr>
        <w:t xml:space="preserve"> </w:t>
      </w:r>
      <w:r>
        <w:rPr>
          <w:rStyle w:val="VerbatimChar"/>
          <w:i/>
          <w:iCs/>
        </w:rPr>
        <w:t xml:space="preserve">clec_abstract_es.qmd</w:t>
      </w:r>
      <w:r>
        <w:rPr>
          <w:i/>
          <w:iCs/>
        </w:rPr>
        <w:t xml:space="preserve"> </w:t>
      </w:r>
      <w:r>
        <w:rPr>
          <w:i/>
          <w:iCs/>
        </w:rPr>
        <w:t xml:space="preserve">/</w:t>
      </w:r>
      <w:r>
        <w:rPr>
          <w:i/>
          <w:iCs/>
        </w:rPr>
        <w:t xml:space="preserve"> </w:t>
      </w:r>
      <w:r>
        <w:rPr>
          <w:rStyle w:val="VerbatimChar"/>
          <w:i/>
          <w:iCs/>
        </w:rPr>
        <w:t xml:space="preserve">clec_abstract_draft.md</w:t>
      </w:r>
      <w:r>
        <w:rPr>
          <w:i/>
          <w:iCs/>
        </w:rPr>
        <w:t xml:space="preserve">. Not word-limited; this exists to reflect the Spanish original as closely as possible, not to meet the 300-word submission cap.)</w:t>
      </w:r>
    </w:p>
    <w:p>
      <w:pPr>
        <w:pStyle w:val="BodyText"/>
      </w:pPr>
      <w:r>
        <w:t xml:space="preserve">Road-alignment decisions must carefully consider their environmental and social implications, to avoid negative consequences in megadiverse landscapes. In Colombia, the Green Road Infrastructure Guidelines (Lineamientos de Infraestructura Verde Vial, LIVV) — an interministerial policy — aim to reduce the effect of roads on biodiversity and connectivity, applying the impact mitigation hierarchy to prevent harm from the planning stage onward. Implementing them requires replicable spatial evidence. This work applies an ecosystem-service-based approach, through a global and reproducible geospatial workflow in Colombia, that integrates two complementary layers of information: critical natural assets — the land area required to sustain 90% of nature’s contributions to people — and change hotspots in the provision of five of these services (pollination, sediment export, nitrogen export, nature access, and coastal risk) between 1992 and 2020, to identify and quantify priority areas and their impact on that provision.</w:t>
      </w:r>
    </w:p>
    <w:p>
      <w:pPr>
        <w:pStyle w:val="BodyText"/>
      </w:pPr>
      <w:r>
        <w:t xml:space="preserve">Colombia concentrates 1.60% of global change hotspots in pollination and 1.32% of those in sediment export, against an expected share of just 0.87% of eligible terrestrial land. This overrepresentation — concentrated in the coffee-growing axis, the central Andes, and the Orinoquía — is relevant to road infrastructure: sediment export is associated with erosion and runoff induced by road construction.</w:t>
      </w:r>
    </w:p>
    <w:p>
      <w:pPr>
        <w:pStyle w:val="BodyText"/>
      </w:pPr>
      <w:r>
        <w:t xml:space="preserve">Applying reach buffers (50km downstream or 1 hour of travel time) to hotspots with at least one water-pathway service and one access-pathway service, the area of influence of these hotspots reaches 75.8% of Colombia’s population, 38.1 million people. 57.9% of change hotspots coincide with a critical natural asset — the direct signal for prioritizing where to avoid road impact. Implications for prioritization and ecological connectivity are discussed, along with an offer: to generate a dedicated national cut of this workflow for Colombia.</w:t>
      </w:r>
    </w:p>
    <w:p>
      <w:pPr>
        <w:pStyle w:val="BodyText"/>
      </w:pPr>
      <w:r>
        <w:rPr>
          <w:b/>
          <w:bCs/>
        </w:rPr>
        <w:t xml:space="preserve">Keywords:</w:t>
      </w:r>
      <w:r>
        <w:t xml:space="preserve"> </w:t>
      </w:r>
      <w:r>
        <w:t xml:space="preserve">ecological connectivity, InVEST, infrastructure planning, predictive models, geospatial analysis</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 CLEC 2026 (English translation)</dc:title>
  <dc:creator/>
  <cp:keywords/>
  <dcterms:created xsi:type="dcterms:W3CDTF">2026-08-12T23:10:09Z</dcterms:created>
  <dcterms:modified xsi:type="dcterms:W3CDTF">2026-08-12T23:10:09Z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