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E21514033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6.7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解释器模式编程实现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熟悉解释器模式的使用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能够给定表达式来输出结果。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default" w:asciiTheme="minorEastAsia" w:hAnsiTheme="minorEastAsia"/>
          <w:sz w:val="30"/>
          <w:szCs w:val="30"/>
        </w:rPr>
        <w:t xml:space="preserve">1. </w:t>
      </w:r>
      <w:r>
        <w:rPr>
          <w:rFonts w:hint="eastAsia" w:asciiTheme="minorEastAsia" w:hAnsiTheme="minorEastAsia"/>
          <w:sz w:val="30"/>
          <w:szCs w:val="30"/>
        </w:rPr>
        <w:t>给定一个语言，定义它的文法的一种表示，并定义一个解释器，这个解释器使用该表示来解释语言中的句子。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2. 通过实现每个字符的处理来实现整个字符串的处理。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表达式总类：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Expression类：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其中的参数in，用于传入最外层对象。然后通过对比，如果时最外层那就打印结果。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abstract public class Expression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abstract public double Interpret(Expression 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浮点数类：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DoubleExpression类：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只需要简单的打印自身并向上传值。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DoubleExpression extends Expression{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DoubleExpression(double hmc){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result = hmc;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Interpret(Expression 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操作运算符类：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OpExpression: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继承与Expression，定义了left和right。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OpExpression extends Expression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Expression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Expression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Interpret(Expression 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加法类：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AddExpression: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通过左边自行调用函数处理，右边自行调用函数处理。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通过判断，传入的最外层对象来决定是否输出最后的等于号。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 class AddExpression extends OpExpression{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AddExpression(Expression left,Expression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this.left =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this.right =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AddExpression(){}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Interpret(Expression 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left = this.left.Interpret(in);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System.out.print(" +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right = this.right.Interpret(in);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temp = left +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if (this == in){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System.out.print(" =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System.out.print(temp);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括号类：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BracketExpression extends OpExpression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BracketExpression(){}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BracketExpression(Expression in){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this.left = 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this.right = 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Interpret(Expression 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System.out.print("(");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inter = this.left.Interpret(in);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System.out.print(")");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inter;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1003935</wp:posOffset>
            </wp:positionV>
            <wp:extent cx="5268595" cy="844550"/>
            <wp:effectExtent l="0" t="0" r="8255" b="1270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bookmarkStart w:id="0" w:name="_GoBack"/>
      <w:bookmarkEnd w:id="0"/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在函数中同时实现输出和处理。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一开始格式化的在内层表达式两边输出括号，后通过括号类来控制括号输出。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一开始通过函数重载实现区分最外层，后来直接传入最外层对象。使用判断来输出最外层的等于号。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374888">
    <w:nsid w:val="5B192668"/>
    <w:multiLevelType w:val="singleLevel"/>
    <w:tmpl w:val="5B192668"/>
    <w:lvl w:ilvl="0" w:tentative="1">
      <w:start w:val="1"/>
      <w:numFmt w:val="decimal"/>
      <w:suff w:val="space"/>
      <w:lvlText w:val="%1."/>
      <w:lvlJc w:val="left"/>
    </w:lvl>
  </w:abstractNum>
  <w:abstractNum w:abstractNumId="1528376684">
    <w:nsid w:val="5B192D6C"/>
    <w:multiLevelType w:val="singleLevel"/>
    <w:tmpl w:val="5B192D6C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8374888"/>
  </w:num>
  <w:num w:numId="2">
    <w:abstractNumId w:val="1528376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7FE1ABE"/>
    <w:rsid w:val="5C579731"/>
    <w:rsid w:val="7F7E25F6"/>
    <w:rsid w:val="F9B4C9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2018-06-07T21:04:29Z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