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eastAsia="宋体"/>
          <w:sz w:val="20"/>
          <w:lang w:eastAsia="zh-CN"/>
        </w:rPr>
      </w:pPr>
      <w:r>
        <w:rPr>
          <w:rFonts w:hint="eastAsia" w:eastAsia="宋体"/>
          <w:sz w:val="20"/>
          <w:lang w:eastAsia="zh-CN"/>
        </w:rPr>
        <w:t xml:space="preserve">                                                                     </w:t>
      </w:r>
    </w:p>
    <w:p>
      <w:pPr>
        <w:spacing w:before="312" w:beforeLines="100" w:line="240" w:lineRule="exact"/>
        <w:ind w:right="482"/>
        <w:jc w:val="right"/>
        <w:rPr>
          <w:rFonts w:hint="eastAsia" w:eastAsia="宋体"/>
          <w:sz w:val="21"/>
          <w:szCs w:val="21"/>
          <w:u w:val="single"/>
          <w:lang w:eastAsia="zh-CN"/>
        </w:rPr>
      </w:pPr>
      <w:r>
        <w:rPr>
          <w:rFonts w:hint="eastAsia"/>
          <w:lang w:eastAsia="zh-CN"/>
        </w:rPr>
        <w:t xml:space="preserve">                                   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个案编号：</w:t>
      </w:r>
      <w:r>
        <w:rPr>
          <w:rFonts w:ascii="宋体" w:hAnsi="宋体" w:eastAsia="宋体" w:cs="宋体"/>
          <w:sz w:val="28"/>
          <w:szCs w:val="28"/>
          <w:u w:val="single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{{code}}</w:t>
      </w:r>
    </w:p>
    <w:p>
      <w:pPr>
        <w:spacing w:line="360" w:lineRule="auto"/>
        <w:ind w:right="480" w:firstLine="1687" w:firstLineChars="600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eastAsia="宋体"/>
          <w:b/>
          <w:sz w:val="28"/>
          <w:szCs w:val="28"/>
          <w:u w:val="single"/>
          <w:lang w:eastAsia="zh-CN"/>
        </w:rPr>
        <w:t xml:space="preserve"> </w:t>
      </w:r>
      <w:r>
        <w:rPr>
          <w:rFonts w:eastAsia="宋体"/>
          <w:b/>
          <w:sz w:val="28"/>
          <w:szCs w:val="28"/>
          <w:u w:val="single"/>
          <w:lang w:eastAsia="zh-CN"/>
        </w:rPr>
        <w:t xml:space="preserve">   </w:t>
      </w:r>
      <w:r>
        <w:rPr>
          <w:rFonts w:hint="eastAsia" w:eastAsia="宋体"/>
          <w:b/>
          <w:sz w:val="28"/>
          <w:szCs w:val="28"/>
          <w:u w:val="single"/>
          <w:lang w:val="en-US" w:eastAsia="zh-CN"/>
        </w:rPr>
        <w:t>{{title}}</w:t>
      </w:r>
      <w:r>
        <w:rPr>
          <w:rFonts w:eastAsia="宋体"/>
          <w:b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宋体"/>
          <w:b/>
          <w:sz w:val="28"/>
          <w:szCs w:val="28"/>
          <w:lang w:eastAsia="zh-CN"/>
        </w:rPr>
        <w:t>服务项目</w:t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 xml:space="preserve">   个案工作记录表</w:t>
      </w:r>
    </w:p>
    <w:p>
      <w:pPr>
        <w:spacing w:line="360" w:lineRule="auto"/>
        <w:ind w:left="360" w:firstLine="3360" w:firstLineChars="1200"/>
        <w:rPr>
          <w:rFonts w:hint="eastAsia"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  <w:lang w:eastAsia="zh-CN"/>
        </w:rPr>
        <w:t xml:space="preserve">2.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案主问题预估</w:t>
      </w:r>
      <w:r>
        <w:rPr>
          <w:rFonts w:hint="eastAsia" w:ascii="宋体" w:hAnsi="宋体" w:eastAsia="宋体" w:cs="宋体"/>
          <w:sz w:val="28"/>
          <w:szCs w:val="28"/>
        </w:rPr>
        <w:t>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1304"/>
        <w:gridCol w:w="255"/>
        <w:gridCol w:w="709"/>
        <w:gridCol w:w="476"/>
        <w:gridCol w:w="1509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案主姓名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{{name}}</w:t>
            </w:r>
          </w:p>
        </w:tc>
        <w:tc>
          <w:tcPr>
            <w:tcW w:w="1559" w:type="dxa"/>
            <w:gridSpan w:val="2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个案编号</w:t>
            </w:r>
          </w:p>
        </w:tc>
        <w:tc>
          <w:tcPr>
            <w:tcW w:w="1185" w:type="dxa"/>
            <w:gridSpan w:val="2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{{code1}}</w:t>
            </w:r>
          </w:p>
        </w:tc>
        <w:tc>
          <w:tcPr>
            <w:tcW w:w="150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社工姓名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{{name1}}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2" w:hRule="atLeast"/>
        </w:trPr>
        <w:tc>
          <w:tcPr>
            <w:tcW w:w="1668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8"/>
                <w:szCs w:val="28"/>
                <w:lang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案主问题及需求分析</w:t>
            </w:r>
          </w:p>
        </w:tc>
        <w:tc>
          <w:tcPr>
            <w:tcW w:w="7523" w:type="dxa"/>
            <w:gridSpan w:val="7"/>
            <w:noWrap w:val="0"/>
            <w:vAlign w:val="top"/>
          </w:tcPr>
          <w:p>
            <w:pPr>
              <w:widowControl/>
              <w:shd w:val="clear" w:color="auto" w:fill="FFFFFF"/>
              <w:spacing w:after="300"/>
              <w:ind w:firstLine="560" w:firstLineChars="200"/>
              <w:rPr>
                <w:rFonts w:hint="eastAsia" w:ascii="宋体" w:hAnsi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从案主的微观层面，包括个人的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{{type}}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生理、心理、社会交往等方面情况，中观层面，包括家庭、邻里、朋辈、社区、单位关系等方面情况，以及宏观层面，包括社会文化、制度、宗教信仰等的情况，进行横向与纵向的系统分析，结合案主对自己的处境的感受、个人的观念和看法等资料。以需求导向和资源导向为线索，对案主的问题与需求进行分析如下：</w:t>
            </w:r>
          </w:p>
          <w:p>
            <w:pPr>
              <w:widowControl/>
              <w:shd w:val="clear" w:color="auto" w:fill="FFFFFF"/>
              <w:spacing w:after="300"/>
              <w:ind w:firstLine="560" w:firstLineChars="200"/>
              <w:rPr>
                <w:rFonts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需求导向分析：案主的主要问题是角色转换带来的一系列问题。一是孤寂感和被抛弃感。二是退休带来的价值观丧失，不能很好的适应并进入新角色。三是社会角色的改变带来的社会交往问题。案主针对一些社区问题，存在干着急却无从下手的情况。</w:t>
            </w:r>
          </w:p>
          <w:p>
            <w:pPr>
              <w:widowControl/>
              <w:shd w:val="clear" w:color="auto" w:fill="FFFFFF"/>
              <w:spacing w:after="300"/>
              <w:ind w:firstLine="560" w:firstLineChars="200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资源导向分析：案主与社区、单位联系紧密，尤其是社区邀请她做楼长，是很认同案主的能力的；同时，退休前人际关系很好，退休后与单位联系紧密，单位能为她提供支持。目前最大的问题是和邻里的人际关系不和谐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2" w:hRule="atLeast"/>
        </w:trPr>
        <w:tc>
          <w:tcPr>
            <w:tcW w:w="1668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8"/>
                <w:szCs w:val="28"/>
                <w:lang w:eastAsia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服务目标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8"/>
                <w:szCs w:val="28"/>
                <w:lang w:eastAsia="zh-CN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8"/>
                <w:szCs w:val="28"/>
                <w:lang w:eastAsia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</w:p>
        </w:tc>
        <w:tc>
          <w:tcPr>
            <w:tcW w:w="7523" w:type="dxa"/>
            <w:gridSpan w:val="7"/>
            <w:noWrap w:val="0"/>
            <w:vAlign w:val="top"/>
          </w:tcPr>
          <w:p>
            <w:pPr>
              <w:widowControl/>
              <w:shd w:val="clear" w:color="auto" w:fill="FFFFFF"/>
              <w:spacing w:after="300"/>
              <w:rPr>
                <w:rFonts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总目标：使案主将能力转为动力，逐渐成为社区领袖，带领社区的和谐发展，促进案主社会参与和角色转变。</w:t>
            </w:r>
          </w:p>
          <w:p>
            <w:pPr>
              <w:widowControl/>
              <w:shd w:val="clear" w:color="auto" w:fill="FFFFFF"/>
              <w:spacing w:after="300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 xml:space="preserve">分目标： </w:t>
            </w:r>
            <w:r>
              <w:rPr>
                <w:rFonts w:ascii="宋体" w:hAnsi="宋体" w:eastAsia="宋体" w:cs="宋体"/>
                <w:sz w:val="28"/>
                <w:szCs w:val="28"/>
                <w:lang w:eastAsia="zh-CN"/>
              </w:rPr>
              <w:t xml:space="preserve">                                           1.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 xml:space="preserve">引领案主每周参与一次社区主题活动，激发案主服务社区的潜能。 </w:t>
            </w:r>
            <w:r>
              <w:rPr>
                <w:rFonts w:ascii="宋体" w:hAnsi="宋体" w:eastAsia="宋体" w:cs="宋体"/>
                <w:sz w:val="28"/>
                <w:szCs w:val="28"/>
                <w:lang w:eastAsia="zh-CN"/>
              </w:rPr>
              <w:t xml:space="preserve">                                           2.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 xml:space="preserve">支持案主参与小组，学习与居民相处的技巧，引领案主与社区邻里建立良好关系，促进案主更好的为社区居民服务。 </w:t>
            </w:r>
            <w:r>
              <w:rPr>
                <w:rFonts w:ascii="宋体" w:hAnsi="宋体" w:eastAsia="宋体" w:cs="宋体"/>
                <w:sz w:val="28"/>
                <w:szCs w:val="28"/>
                <w:lang w:eastAsia="zh-CN"/>
              </w:rPr>
              <w:t xml:space="preserve">                                               3.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改变案主的非理性认知，促进案主积极的人际关系与自我认知。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2" w:hRule="atLeast"/>
        </w:trPr>
        <w:tc>
          <w:tcPr>
            <w:tcW w:w="1668" w:type="dxa"/>
            <w:noWrap w:val="0"/>
            <w:vAlign w:val="top"/>
          </w:tcPr>
          <w:p>
            <w:pPr>
              <w:spacing w:before="156" w:beforeLines="50" w:line="360" w:lineRule="auto"/>
              <w:rPr>
                <w:rFonts w:ascii="宋体" w:hAnsi="宋体" w:eastAsia="宋体" w:cs="宋体"/>
                <w:sz w:val="28"/>
                <w:szCs w:val="28"/>
                <w:lang w:eastAsia="zh-CN"/>
              </w:rPr>
            </w:pPr>
          </w:p>
          <w:p>
            <w:pPr>
              <w:spacing w:before="156" w:beforeLines="50" w:line="360" w:lineRule="auto"/>
              <w:rPr>
                <w:rFonts w:ascii="宋体" w:hAnsi="宋体" w:eastAsia="宋体" w:cs="宋体"/>
                <w:sz w:val="28"/>
                <w:szCs w:val="28"/>
                <w:lang w:eastAsia="zh-CN"/>
              </w:rPr>
            </w:pPr>
          </w:p>
          <w:p>
            <w:pPr>
              <w:spacing w:before="156" w:beforeLines="50" w:line="360" w:lineRule="auto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服务内容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</w:p>
        </w:tc>
        <w:tc>
          <w:tcPr>
            <w:tcW w:w="7523" w:type="dxa"/>
            <w:gridSpan w:val="7"/>
            <w:noWrap w:val="0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1.运用理性情绪治疗模式，通过</w:t>
            </w:r>
            <w:r>
              <w:rPr>
                <w:rFonts w:ascii="宋体" w:hAnsi="宋体" w:eastAsia="宋体" w:cs="宋体"/>
                <w:sz w:val="28"/>
                <w:szCs w:val="28"/>
                <w:lang w:eastAsia="zh-CN"/>
              </w:rPr>
              <w:t>ABC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理论，帮助案主找寻其消极情绪产生原因，即案主情绪背后的不合理信念，从而达到帮助案主克服消极情绪的目的。促进案主与他人的互动，使其生活更加充实。</w:t>
            </w:r>
          </w:p>
          <w:p>
            <w:pPr>
              <w:widowControl/>
              <w:shd w:val="clear" w:color="auto" w:fill="FFFFFF"/>
              <w:spacing w:after="300"/>
              <w:ind w:firstLine="560" w:firstLineChars="200"/>
              <w:rPr>
                <w:rFonts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ascii="宋体" w:hAnsi="宋体" w:eastAsia="宋体" w:cs="宋体"/>
                <w:sz w:val="28"/>
                <w:szCs w:val="28"/>
                <w:lang w:eastAsia="zh-CN"/>
              </w:rPr>
              <w:t>2.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运用自我效能理论，让案主回顾过往生活最重要、最难忘的事件或时刻，从回顾中让案主重新体验快乐、成就感、尊严等多种有利于身心健康的情绪，帮助案主找回自尊和荣耀，以此来调整案主的心态。</w:t>
            </w:r>
          </w:p>
          <w:p>
            <w:pPr>
              <w:spacing w:line="360" w:lineRule="auto"/>
              <w:ind w:firstLine="560" w:firstLineChars="200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ascii="宋体" w:hAnsi="宋体" w:eastAsia="宋体" w:cs="宋体"/>
                <w:sz w:val="28"/>
                <w:szCs w:val="28"/>
                <w:lang w:eastAsia="zh-CN"/>
              </w:rPr>
              <w:t>3.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运用活跃理论，鼓励案主参与社区活动，成为社区领袖。老年人的生理、心理及社会的需求不会因为生理、心理及身体健康状况的改变而改变。案主到年老时仍然希望通过管理组织他人保持中年生活形态，维持原有角色功能以证明自己仍未衰老，社工可以通过挖掘并发挥其领导能力，培育其成为社区领袖，来帮助案主继续实现其社会价值，增强案主社会参与能力，以克服生活中的消极情绪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668" w:type="dxa"/>
            <w:noWrap w:val="0"/>
            <w:vAlign w:val="top"/>
          </w:tcPr>
          <w:p>
            <w:pPr>
              <w:spacing w:before="156" w:beforeLines="50" w:line="360" w:lineRule="auto"/>
              <w:rPr>
                <w:rFonts w:hint="eastAsia" w:ascii="微软雅黑" w:hAnsi="微软雅黑"/>
                <w:color w:val="000000"/>
                <w:sz w:val="27"/>
                <w:szCs w:val="27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社工签名</w:t>
            </w:r>
          </w:p>
        </w:tc>
        <w:tc>
          <w:tcPr>
            <w:tcW w:w="2721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</w:p>
        </w:tc>
        <w:tc>
          <w:tcPr>
            <w:tcW w:w="964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日期</w:t>
            </w:r>
          </w:p>
        </w:tc>
        <w:tc>
          <w:tcPr>
            <w:tcW w:w="3838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1668" w:type="dxa"/>
            <w:noWrap w:val="0"/>
            <w:vAlign w:val="top"/>
          </w:tcPr>
          <w:p>
            <w:pPr>
              <w:spacing w:before="156" w:beforeLines="50" w:line="36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督导签名</w:t>
            </w:r>
          </w:p>
        </w:tc>
        <w:tc>
          <w:tcPr>
            <w:tcW w:w="2721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</w:p>
        </w:tc>
        <w:tc>
          <w:tcPr>
            <w:tcW w:w="964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日期</w:t>
            </w:r>
          </w:p>
        </w:tc>
        <w:tc>
          <w:tcPr>
            <w:tcW w:w="3838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>
      <w:pPr>
        <w:snapToGrid w:val="0"/>
        <w:spacing w:line="360" w:lineRule="auto"/>
        <w:rPr>
          <w:rFonts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本表格要求在接案后5个工作日内完成。</w:t>
      </w:r>
    </w:p>
    <w:p>
      <w:pPr>
        <w:snapToGrid w:val="0"/>
        <w:spacing w:line="360" w:lineRule="auto"/>
        <w:rPr>
          <w:rFonts w:ascii="宋体" w:hAnsi="宋体" w:eastAsia="宋体" w:cs="宋体"/>
          <w:sz w:val="28"/>
          <w:szCs w:val="28"/>
          <w:lang w:eastAsia="zh-CN"/>
        </w:rPr>
      </w:pPr>
    </w:p>
    <w:p>
      <w:pPr>
        <w:snapToGrid w:val="0"/>
        <w:spacing w:line="360" w:lineRule="auto"/>
        <w:rPr>
          <w:rFonts w:ascii="宋体" w:hAnsi="宋体" w:eastAsia="宋体" w:cs="宋体"/>
          <w:sz w:val="28"/>
          <w:szCs w:val="28"/>
          <w:lang w:eastAsia="zh-CN"/>
        </w:rPr>
      </w:pPr>
    </w:p>
    <w:p>
      <w:pPr>
        <w:snapToGrid w:val="0"/>
        <w:spacing w:line="360" w:lineRule="auto"/>
        <w:rPr>
          <w:rFonts w:ascii="宋体" w:hAnsi="宋体" w:eastAsia="宋体" w:cs="宋体"/>
          <w:sz w:val="28"/>
          <w:szCs w:val="28"/>
          <w:lang w:eastAsia="zh-CN"/>
        </w:rPr>
      </w:pPr>
    </w:p>
    <w:p/>
    <w:sectPr>
      <w:footerReference r:id="rId3" w:type="even"/>
      <w:pgSz w:w="11906" w:h="16838"/>
      <w:pgMar w:top="1134" w:right="1230" w:bottom="1134" w:left="1230" w:header="51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ngLiU-ExtB"/>
    <w:panose1 w:val="00000000000000000000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kZmQwYjJhNGUzM2JiZWM0NzI1ZGUzYmIxODhlYmQifQ=="/>
  </w:docVars>
  <w:rsids>
    <w:rsidRoot w:val="303E5D26"/>
    <w:rsid w:val="1FCB7BA9"/>
    <w:rsid w:val="303E5D26"/>
    <w:rsid w:val="4303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2023-10-20T13:26:00Z</dcterms:created>
  <dc:creator>小白路过</dc:creator>
  <cp:lastModifiedBy>小白路过</cp:lastModifiedBy>
  <dcterms:modified xsi:type="dcterms:W3CDTF">2023-10-20T13:42:20Z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8B6BDD78F2BE4CB090A235E1E725106A_11</vt:lpwstr>
  </property>
</Properties>
</file>