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0DECDE" w14:textId="2BB098F8" w:rsidR="00BB1141" w:rsidRDefault="00BB1141" w:rsidP="0068516C">
      <w:pPr>
        <w:pStyle w:val="Heading1"/>
      </w:pPr>
      <w:bookmarkStart w:id="0" w:name="_Hlk68607271"/>
      <w:bookmarkEnd w:id="0"/>
      <w:r>
        <w:t>Introduction</w:t>
      </w:r>
    </w:p>
    <w:p w14:paraId="0DDF31B3" w14:textId="41FA8BBB" w:rsidR="00A56AE0" w:rsidRDefault="00E23EA5" w:rsidP="00BB1141">
      <w:pPr>
        <w:rPr>
          <w:rFonts w:asciiTheme="minorHAnsi" w:hAnsiTheme="minorHAnsi" w:cstheme="minorHAnsi"/>
        </w:rPr>
      </w:pPr>
      <w:r w:rsidRPr="00CE315D">
        <w:rPr>
          <w:rFonts w:asciiTheme="minorHAnsi" w:hAnsiTheme="minorHAnsi" w:cstheme="minorHAnsi"/>
          <w:b/>
          <w:bCs/>
        </w:rPr>
        <w:t xml:space="preserve">Indigenous businesses </w:t>
      </w:r>
      <w:r w:rsidR="00FF539E" w:rsidRPr="00CE315D">
        <w:rPr>
          <w:rFonts w:asciiTheme="minorHAnsi" w:hAnsiTheme="minorHAnsi" w:cstheme="minorHAnsi"/>
          <w:b/>
          <w:bCs/>
        </w:rPr>
        <w:t xml:space="preserve">provide </w:t>
      </w:r>
      <w:r w:rsidRPr="00CE315D">
        <w:rPr>
          <w:rFonts w:asciiTheme="minorHAnsi" w:hAnsiTheme="minorHAnsi" w:cstheme="minorHAnsi"/>
          <w:b/>
          <w:bCs/>
        </w:rPr>
        <w:t xml:space="preserve">a significant economic, social and cultural contribution to Australia. </w:t>
      </w:r>
      <w:r w:rsidR="00A56AE0">
        <w:rPr>
          <w:rFonts w:asciiTheme="minorHAnsi" w:hAnsiTheme="minorHAnsi" w:cstheme="minorHAnsi"/>
        </w:rPr>
        <w:t xml:space="preserve">Their impact has largely gone unnoticed, and it has been difficult to </w:t>
      </w:r>
      <w:r w:rsidR="000634FD">
        <w:rPr>
          <w:rFonts w:asciiTheme="minorHAnsi" w:hAnsiTheme="minorHAnsi" w:cstheme="minorHAnsi"/>
        </w:rPr>
        <w:t>realise</w:t>
      </w:r>
      <w:r w:rsidR="00A56AE0">
        <w:rPr>
          <w:rFonts w:asciiTheme="minorHAnsi" w:hAnsiTheme="minorHAnsi" w:cstheme="minorHAnsi"/>
        </w:rPr>
        <w:t xml:space="preserve"> greater visibility of their achievements. Moreover, rigorous evidence-based measurement of the extent of this contribution has been difficult until now. </w:t>
      </w:r>
      <w:r w:rsidR="00B20F28">
        <w:rPr>
          <w:rFonts w:asciiTheme="minorHAnsi" w:hAnsiTheme="minorHAnsi" w:cstheme="minorHAnsi"/>
        </w:rPr>
        <w:t xml:space="preserve">This is primarily due to the </w:t>
      </w:r>
      <w:r w:rsidR="00A54527">
        <w:rPr>
          <w:rFonts w:asciiTheme="minorHAnsi" w:hAnsiTheme="minorHAnsi" w:cstheme="minorHAnsi"/>
        </w:rPr>
        <w:t>challenging nature</w:t>
      </w:r>
      <w:r w:rsidR="0024265F" w:rsidRPr="0024265F">
        <w:rPr>
          <w:rFonts w:asciiTheme="minorHAnsi" w:hAnsiTheme="minorHAnsi" w:cstheme="minorHAnsi"/>
        </w:rPr>
        <w:t xml:space="preserve"> </w:t>
      </w:r>
      <w:r w:rsidR="0024265F">
        <w:rPr>
          <w:rFonts w:asciiTheme="minorHAnsi" w:hAnsiTheme="minorHAnsi" w:cstheme="minorHAnsi"/>
        </w:rPr>
        <w:t>of</w:t>
      </w:r>
      <w:r w:rsidR="0024265F" w:rsidRPr="0024265F">
        <w:rPr>
          <w:rFonts w:asciiTheme="minorHAnsi" w:hAnsiTheme="minorHAnsi" w:cstheme="minorHAnsi"/>
        </w:rPr>
        <w:t xml:space="preserve"> identif</w:t>
      </w:r>
      <w:r w:rsidR="0024265F">
        <w:rPr>
          <w:rFonts w:asciiTheme="minorHAnsi" w:hAnsiTheme="minorHAnsi" w:cstheme="minorHAnsi"/>
        </w:rPr>
        <w:t>ying,</w:t>
      </w:r>
      <w:r w:rsidR="0024265F" w:rsidRPr="0024265F">
        <w:rPr>
          <w:rFonts w:asciiTheme="minorHAnsi" w:hAnsiTheme="minorHAnsi" w:cstheme="minorHAnsi"/>
        </w:rPr>
        <w:t xml:space="preserve"> and analys</w:t>
      </w:r>
      <w:r w:rsidR="0024265F">
        <w:rPr>
          <w:rFonts w:asciiTheme="minorHAnsi" w:hAnsiTheme="minorHAnsi" w:cstheme="minorHAnsi"/>
        </w:rPr>
        <w:t>ing,</w:t>
      </w:r>
      <w:r w:rsidR="0024265F" w:rsidRPr="0024265F">
        <w:rPr>
          <w:rFonts w:asciiTheme="minorHAnsi" w:hAnsiTheme="minorHAnsi" w:cstheme="minorHAnsi"/>
        </w:rPr>
        <w:t xml:space="preserve"> Indigenous businesses from national data sources</w:t>
      </w:r>
      <w:r w:rsidR="00B20F28">
        <w:rPr>
          <w:rFonts w:asciiTheme="minorHAnsi" w:hAnsiTheme="minorHAnsi" w:cstheme="minorHAnsi"/>
        </w:rPr>
        <w:t xml:space="preserve">. </w:t>
      </w:r>
    </w:p>
    <w:p w14:paraId="37B42FA6" w14:textId="77777777" w:rsidR="00A56AE0" w:rsidRDefault="00A56AE0" w:rsidP="00BB1141">
      <w:pPr>
        <w:rPr>
          <w:rFonts w:asciiTheme="minorHAnsi" w:hAnsiTheme="minorHAnsi" w:cstheme="minorHAnsi"/>
        </w:rPr>
      </w:pPr>
    </w:p>
    <w:p w14:paraId="4F43EA11" w14:textId="6D3FA052" w:rsidR="00E464A0" w:rsidRDefault="00A56AE0" w:rsidP="00BB1141">
      <w:pPr>
        <w:rPr>
          <w:rFonts w:asciiTheme="minorHAnsi" w:hAnsiTheme="minorHAnsi" w:cstheme="minorHAnsi"/>
        </w:rPr>
      </w:pPr>
      <w:r>
        <w:rPr>
          <w:rFonts w:asciiTheme="minorHAnsi" w:hAnsiTheme="minorHAnsi" w:cstheme="minorHAnsi"/>
        </w:rPr>
        <w:t xml:space="preserve">This report provides such data, evidence and analysis. We present an </w:t>
      </w:r>
      <w:r w:rsidRPr="00A54527">
        <w:rPr>
          <w:rFonts w:asciiTheme="minorHAnsi" w:hAnsiTheme="minorHAnsi" w:cstheme="minorHAnsi"/>
          <w:b/>
          <w:bCs/>
        </w:rPr>
        <w:t xml:space="preserve">unprecedented snapshot of the Indigenous business sector that will dismiss the many stereotypes and myths that have led to lost opportunities for </w:t>
      </w:r>
      <w:r w:rsidR="00A54527" w:rsidRPr="00A54527">
        <w:rPr>
          <w:rFonts w:asciiTheme="minorHAnsi" w:hAnsiTheme="minorHAnsi" w:cstheme="minorHAnsi"/>
          <w:b/>
          <w:bCs/>
        </w:rPr>
        <w:t>I</w:t>
      </w:r>
      <w:r w:rsidRPr="00A54527">
        <w:rPr>
          <w:rFonts w:asciiTheme="minorHAnsi" w:hAnsiTheme="minorHAnsi" w:cstheme="minorHAnsi"/>
          <w:b/>
          <w:bCs/>
        </w:rPr>
        <w:t>ndigenous business growth.</w:t>
      </w:r>
      <w:r>
        <w:rPr>
          <w:rFonts w:asciiTheme="minorHAnsi" w:hAnsiTheme="minorHAnsi" w:cstheme="minorHAnsi"/>
        </w:rPr>
        <w:t xml:space="preserve">  </w:t>
      </w:r>
      <w:r w:rsidR="007E0161">
        <w:rPr>
          <w:rFonts w:asciiTheme="minorHAnsi" w:hAnsiTheme="minorHAnsi" w:cstheme="minorHAnsi"/>
        </w:rPr>
        <w:t xml:space="preserve">The implication of this blind spot is that decision </w:t>
      </w:r>
      <w:r w:rsidR="00B20F28">
        <w:rPr>
          <w:rFonts w:asciiTheme="minorHAnsi" w:hAnsiTheme="minorHAnsi" w:cstheme="minorHAnsi"/>
        </w:rPr>
        <w:t xml:space="preserve">makers are not armed with </w:t>
      </w:r>
      <w:r>
        <w:rPr>
          <w:rFonts w:asciiTheme="minorHAnsi" w:hAnsiTheme="minorHAnsi" w:cstheme="minorHAnsi"/>
        </w:rPr>
        <w:t xml:space="preserve">either </w:t>
      </w:r>
      <w:r w:rsidR="00B20F28">
        <w:rPr>
          <w:rFonts w:asciiTheme="minorHAnsi" w:hAnsiTheme="minorHAnsi" w:cstheme="minorHAnsi"/>
        </w:rPr>
        <w:t xml:space="preserve">comprehensive </w:t>
      </w:r>
      <w:r>
        <w:rPr>
          <w:rFonts w:asciiTheme="minorHAnsi" w:hAnsiTheme="minorHAnsi" w:cstheme="minorHAnsi"/>
        </w:rPr>
        <w:t xml:space="preserve">or detailed </w:t>
      </w:r>
      <w:r w:rsidR="00B20F28">
        <w:rPr>
          <w:rFonts w:asciiTheme="minorHAnsi" w:hAnsiTheme="minorHAnsi" w:cstheme="minorHAnsi"/>
        </w:rPr>
        <w:t>insights into the Indigenous business sector</w:t>
      </w:r>
      <w:r w:rsidR="00A54527">
        <w:rPr>
          <w:rFonts w:asciiTheme="minorHAnsi" w:hAnsiTheme="minorHAnsi" w:cstheme="minorHAnsi"/>
        </w:rPr>
        <w:t>. Consequently,</w:t>
      </w:r>
      <w:r w:rsidR="00E464A0">
        <w:rPr>
          <w:rFonts w:asciiTheme="minorHAnsi" w:hAnsiTheme="minorHAnsi" w:cstheme="minorHAnsi"/>
        </w:rPr>
        <w:t xml:space="preserve"> </w:t>
      </w:r>
      <w:r w:rsidR="00A54527">
        <w:rPr>
          <w:rFonts w:asciiTheme="minorHAnsi" w:hAnsiTheme="minorHAnsi" w:cstheme="minorHAnsi"/>
        </w:rPr>
        <w:t xml:space="preserve">decisions are made based upon examples and knowledge </w:t>
      </w:r>
      <w:r w:rsidR="00E464A0">
        <w:rPr>
          <w:rFonts w:asciiTheme="minorHAnsi" w:hAnsiTheme="minorHAnsi" w:cstheme="minorHAnsi"/>
        </w:rPr>
        <w:t xml:space="preserve">outside the context of the Indigenous business sector. </w:t>
      </w:r>
    </w:p>
    <w:p w14:paraId="2E291B46" w14:textId="77777777" w:rsidR="00E464A0" w:rsidRDefault="00E464A0" w:rsidP="00BB1141">
      <w:pPr>
        <w:rPr>
          <w:rFonts w:asciiTheme="minorHAnsi" w:hAnsiTheme="minorHAnsi" w:cstheme="minorHAnsi"/>
        </w:rPr>
      </w:pPr>
    </w:p>
    <w:p w14:paraId="0ABAF2A4" w14:textId="12AA866C" w:rsidR="009E1D07" w:rsidRDefault="00E23EA5" w:rsidP="00BB1141">
      <w:pPr>
        <w:rPr>
          <w:rFonts w:asciiTheme="minorHAnsi" w:hAnsiTheme="minorHAnsi" w:cstheme="minorHAnsi"/>
        </w:rPr>
      </w:pPr>
      <w:r w:rsidRPr="00CE315D">
        <w:rPr>
          <w:rFonts w:asciiTheme="minorHAnsi" w:hAnsiTheme="minorHAnsi" w:cstheme="minorHAnsi"/>
          <w:b/>
          <w:bCs/>
        </w:rPr>
        <w:t>Indigenous business development and growth is an essential ingredient needed to fuel financial independence</w:t>
      </w:r>
      <w:r w:rsidR="00E464A0" w:rsidRPr="00CE315D">
        <w:rPr>
          <w:rFonts w:asciiTheme="minorHAnsi" w:hAnsiTheme="minorHAnsi" w:cstheme="minorHAnsi"/>
          <w:b/>
          <w:bCs/>
        </w:rPr>
        <w:t>.</w:t>
      </w:r>
      <w:r w:rsidR="00E464A0">
        <w:rPr>
          <w:rFonts w:asciiTheme="minorHAnsi" w:hAnsiTheme="minorHAnsi" w:cstheme="minorHAnsi"/>
        </w:rPr>
        <w:t xml:space="preserve"> Policy and capability development initiatives require objective evidence as a base from which to identify and focus upon areas that need most assistance.</w:t>
      </w:r>
      <w:r>
        <w:rPr>
          <w:rFonts w:asciiTheme="minorHAnsi" w:hAnsiTheme="minorHAnsi" w:cstheme="minorHAnsi"/>
        </w:rPr>
        <w:t xml:space="preserve"> Indigenous Australia has been historically </w:t>
      </w:r>
      <w:r w:rsidR="00C711A3">
        <w:rPr>
          <w:rFonts w:asciiTheme="minorHAnsi" w:hAnsiTheme="minorHAnsi" w:cstheme="minorHAnsi"/>
        </w:rPr>
        <w:t xml:space="preserve">excluded from the national economy. </w:t>
      </w:r>
      <w:r w:rsidR="00E464A0">
        <w:rPr>
          <w:rFonts w:asciiTheme="minorHAnsi" w:hAnsiTheme="minorHAnsi" w:cstheme="minorHAnsi"/>
        </w:rPr>
        <w:t>In order to dismiss this trope</w:t>
      </w:r>
      <w:r w:rsidR="00CD7376">
        <w:rPr>
          <w:rFonts w:asciiTheme="minorHAnsi" w:hAnsiTheme="minorHAnsi" w:cstheme="minorHAnsi"/>
        </w:rPr>
        <w:t>,</w:t>
      </w:r>
      <w:r w:rsidR="00E464A0">
        <w:rPr>
          <w:rFonts w:asciiTheme="minorHAnsi" w:hAnsiTheme="minorHAnsi" w:cstheme="minorHAnsi"/>
        </w:rPr>
        <w:t xml:space="preserve"> empirical evidence is required to </w:t>
      </w:r>
      <w:r w:rsidR="009E1D07">
        <w:rPr>
          <w:rFonts w:asciiTheme="minorHAnsi" w:hAnsiTheme="minorHAnsi" w:cstheme="minorHAnsi"/>
        </w:rPr>
        <w:t>comprehensively inform</w:t>
      </w:r>
      <w:r w:rsidR="007B79B1">
        <w:rPr>
          <w:rFonts w:asciiTheme="minorHAnsi" w:hAnsiTheme="minorHAnsi" w:cstheme="minorHAnsi"/>
        </w:rPr>
        <w:t xml:space="preserve"> policy</w:t>
      </w:r>
      <w:r w:rsidR="009E1D07">
        <w:rPr>
          <w:rFonts w:asciiTheme="minorHAnsi" w:hAnsiTheme="minorHAnsi" w:cstheme="minorHAnsi"/>
        </w:rPr>
        <w:t xml:space="preserve">. </w:t>
      </w:r>
    </w:p>
    <w:p w14:paraId="7DEC4AE5" w14:textId="77777777" w:rsidR="009E1D07" w:rsidRDefault="009E1D07" w:rsidP="00BB1141">
      <w:pPr>
        <w:rPr>
          <w:rFonts w:asciiTheme="minorHAnsi" w:hAnsiTheme="minorHAnsi" w:cstheme="minorHAnsi"/>
        </w:rPr>
      </w:pPr>
    </w:p>
    <w:p w14:paraId="60F11DEF" w14:textId="77777777" w:rsidR="00F764B0" w:rsidRPr="00A56AE0" w:rsidRDefault="00C711A3" w:rsidP="0072340D">
      <w:pPr>
        <w:rPr>
          <w:rFonts w:asciiTheme="minorHAnsi" w:hAnsiTheme="minorHAnsi" w:cstheme="minorHAnsi"/>
          <w:b/>
          <w:bCs/>
        </w:rPr>
      </w:pPr>
      <w:r w:rsidRPr="00A56AE0">
        <w:rPr>
          <w:rFonts w:asciiTheme="minorHAnsi" w:hAnsiTheme="minorHAnsi" w:cstheme="minorHAnsi"/>
          <w:b/>
          <w:bCs/>
        </w:rPr>
        <w:t xml:space="preserve">What we present today is a snapshot </w:t>
      </w:r>
      <w:r w:rsidR="009E1D07" w:rsidRPr="00A56AE0">
        <w:rPr>
          <w:rFonts w:asciiTheme="minorHAnsi" w:hAnsiTheme="minorHAnsi" w:cstheme="minorHAnsi"/>
          <w:b/>
          <w:bCs/>
        </w:rPr>
        <w:t>that clearly and empirically establishes</w:t>
      </w:r>
      <w:r w:rsidRPr="00A56AE0">
        <w:rPr>
          <w:rFonts w:asciiTheme="minorHAnsi" w:hAnsiTheme="minorHAnsi" w:cstheme="minorHAnsi"/>
          <w:b/>
          <w:bCs/>
        </w:rPr>
        <w:t xml:space="preserve"> the economic power of Indigenous business</w:t>
      </w:r>
      <w:r w:rsidR="004E260F" w:rsidRPr="00A56AE0">
        <w:rPr>
          <w:rFonts w:asciiTheme="minorHAnsi" w:hAnsiTheme="minorHAnsi" w:cstheme="minorHAnsi"/>
          <w:b/>
          <w:bCs/>
        </w:rPr>
        <w:t>es</w:t>
      </w:r>
      <w:r w:rsidR="009E1D07" w:rsidRPr="00A56AE0">
        <w:rPr>
          <w:rFonts w:asciiTheme="minorHAnsi" w:hAnsiTheme="minorHAnsi" w:cstheme="minorHAnsi"/>
          <w:b/>
          <w:bCs/>
        </w:rPr>
        <w:t xml:space="preserve">. </w:t>
      </w:r>
    </w:p>
    <w:p w14:paraId="79558C0B" w14:textId="77777777" w:rsidR="00F764B0" w:rsidRDefault="00F764B0" w:rsidP="0072340D">
      <w:pPr>
        <w:rPr>
          <w:rFonts w:asciiTheme="minorHAnsi" w:hAnsiTheme="minorHAnsi" w:cstheme="minorHAnsi"/>
        </w:rPr>
      </w:pPr>
    </w:p>
    <w:p w14:paraId="0F167142" w14:textId="1D163E02" w:rsidR="00A16E67" w:rsidRPr="00A16E67" w:rsidRDefault="009E1D07" w:rsidP="0072340D">
      <w:pPr>
        <w:rPr>
          <w:rFonts w:asciiTheme="minorHAnsi" w:hAnsiTheme="minorHAnsi" w:cstheme="minorHAnsi"/>
        </w:rPr>
      </w:pPr>
      <w:r>
        <w:rPr>
          <w:rFonts w:asciiTheme="minorHAnsi" w:hAnsiTheme="minorHAnsi" w:cstheme="minorHAnsi"/>
        </w:rPr>
        <w:t xml:space="preserve">This economic power is demonstrated through the financial and employment contributions </w:t>
      </w:r>
      <w:r w:rsidR="004E260F">
        <w:rPr>
          <w:rFonts w:asciiTheme="minorHAnsi" w:hAnsiTheme="minorHAnsi" w:cstheme="minorHAnsi"/>
        </w:rPr>
        <w:t>Indigenous business</w:t>
      </w:r>
      <w:r w:rsidR="00C711A3">
        <w:rPr>
          <w:rFonts w:asciiTheme="minorHAnsi" w:hAnsiTheme="minorHAnsi" w:cstheme="minorHAnsi"/>
        </w:rPr>
        <w:t xml:space="preserve"> owners</w:t>
      </w:r>
      <w:r>
        <w:rPr>
          <w:rFonts w:asciiTheme="minorHAnsi" w:hAnsiTheme="minorHAnsi" w:cstheme="minorHAnsi"/>
        </w:rPr>
        <w:t xml:space="preserve"> make to the Australian economy. Further, we present</w:t>
      </w:r>
      <w:r w:rsidR="00C711A3">
        <w:rPr>
          <w:rFonts w:asciiTheme="minorHAnsi" w:hAnsiTheme="minorHAnsi" w:cstheme="minorHAnsi"/>
        </w:rPr>
        <w:t xml:space="preserve"> powerful </w:t>
      </w:r>
      <w:r>
        <w:rPr>
          <w:rFonts w:asciiTheme="minorHAnsi" w:hAnsiTheme="minorHAnsi" w:cstheme="minorHAnsi"/>
        </w:rPr>
        <w:t xml:space="preserve">validation of growth of the </w:t>
      </w:r>
      <w:r w:rsidR="00C711A3">
        <w:rPr>
          <w:rFonts w:asciiTheme="minorHAnsi" w:hAnsiTheme="minorHAnsi" w:cstheme="minorHAnsi"/>
        </w:rPr>
        <w:t xml:space="preserve">Indigenous business sector over a </w:t>
      </w:r>
      <w:r w:rsidR="008F5DAE">
        <w:rPr>
          <w:rFonts w:asciiTheme="minorHAnsi" w:hAnsiTheme="minorHAnsi" w:cstheme="minorHAnsi"/>
        </w:rPr>
        <w:t>twelve-year</w:t>
      </w:r>
      <w:r w:rsidR="00C711A3">
        <w:rPr>
          <w:rFonts w:asciiTheme="minorHAnsi" w:hAnsiTheme="minorHAnsi" w:cstheme="minorHAnsi"/>
        </w:rPr>
        <w:t xml:space="preserve"> period 2006-2018</w:t>
      </w:r>
      <w:r>
        <w:rPr>
          <w:rFonts w:asciiTheme="minorHAnsi" w:hAnsiTheme="minorHAnsi" w:cstheme="minorHAnsi"/>
        </w:rPr>
        <w:t xml:space="preserve">. The Snapshot Study 1.0 </w:t>
      </w:r>
      <w:r w:rsidR="00A16E67" w:rsidRPr="00A16E67">
        <w:rPr>
          <w:rFonts w:asciiTheme="minorHAnsi" w:hAnsiTheme="minorHAnsi" w:cstheme="minorHAnsi"/>
        </w:rPr>
        <w:t>quantif</w:t>
      </w:r>
      <w:r>
        <w:rPr>
          <w:rFonts w:asciiTheme="minorHAnsi" w:hAnsiTheme="minorHAnsi" w:cstheme="minorHAnsi"/>
        </w:rPr>
        <w:t>ies</w:t>
      </w:r>
      <w:r w:rsidR="00A16E67" w:rsidRPr="00A16E67">
        <w:rPr>
          <w:rFonts w:asciiTheme="minorHAnsi" w:hAnsiTheme="minorHAnsi" w:cstheme="minorHAnsi"/>
        </w:rPr>
        <w:t xml:space="preserve"> the performance of the Indigenous business sector</w:t>
      </w:r>
      <w:r>
        <w:rPr>
          <w:rFonts w:asciiTheme="minorHAnsi" w:hAnsiTheme="minorHAnsi" w:cstheme="minorHAnsi"/>
        </w:rPr>
        <w:t xml:space="preserve">, </w:t>
      </w:r>
      <w:r w:rsidR="00A16E67" w:rsidRPr="00A16E67">
        <w:rPr>
          <w:rFonts w:asciiTheme="minorHAnsi" w:hAnsiTheme="minorHAnsi" w:cstheme="minorHAnsi"/>
        </w:rPr>
        <w:t>showcas</w:t>
      </w:r>
      <w:r>
        <w:rPr>
          <w:rFonts w:asciiTheme="minorHAnsi" w:hAnsiTheme="minorHAnsi" w:cstheme="minorHAnsi"/>
        </w:rPr>
        <w:t>ing</w:t>
      </w:r>
      <w:r w:rsidR="00A16E67" w:rsidRPr="00A16E67">
        <w:rPr>
          <w:rFonts w:asciiTheme="minorHAnsi" w:hAnsiTheme="minorHAnsi" w:cstheme="minorHAnsi"/>
        </w:rPr>
        <w:t xml:space="preserve"> its breadth, diversity, and impact.</w:t>
      </w:r>
    </w:p>
    <w:p w14:paraId="7DE68733" w14:textId="77777777" w:rsidR="008F5DAE" w:rsidRPr="008F5DAE" w:rsidRDefault="008F5DAE" w:rsidP="0072340D"/>
    <w:p w14:paraId="1E7415FB" w14:textId="05A1F07F" w:rsidR="00A16E67" w:rsidRPr="008F5DAE" w:rsidRDefault="008F5DAE" w:rsidP="001A563E">
      <w:pPr>
        <w:rPr>
          <w:rFonts w:asciiTheme="minorHAnsi" w:hAnsiTheme="minorHAnsi" w:cstheme="minorHAnsi"/>
        </w:rPr>
      </w:pPr>
      <w:r>
        <w:rPr>
          <w:rFonts w:asciiTheme="minorHAnsi" w:hAnsiTheme="minorHAnsi" w:cstheme="minorHAnsi"/>
        </w:rPr>
        <w:t>Our partner</w:t>
      </w:r>
      <w:r w:rsidR="00BD2F66">
        <w:rPr>
          <w:rFonts w:asciiTheme="minorHAnsi" w:hAnsiTheme="minorHAnsi" w:cstheme="minorHAnsi"/>
        </w:rPr>
        <w:t xml:space="preserve">, </w:t>
      </w:r>
      <w:r>
        <w:rPr>
          <w:rFonts w:asciiTheme="minorHAnsi" w:hAnsiTheme="minorHAnsi" w:cstheme="minorHAnsi"/>
        </w:rPr>
        <w:t>the Australian Bureau of Statistics</w:t>
      </w:r>
      <w:r w:rsidR="00BD2F66">
        <w:rPr>
          <w:rFonts w:asciiTheme="minorHAnsi" w:hAnsiTheme="minorHAnsi" w:cstheme="minorHAnsi"/>
        </w:rPr>
        <w:t xml:space="preserve">, </w:t>
      </w:r>
      <w:r>
        <w:rPr>
          <w:rFonts w:asciiTheme="minorHAnsi" w:hAnsiTheme="minorHAnsi" w:cstheme="minorHAnsi"/>
        </w:rPr>
        <w:t xml:space="preserve">was successful in linking </w:t>
      </w:r>
      <w:r w:rsidR="00051559">
        <w:rPr>
          <w:rFonts w:asciiTheme="minorHAnsi" w:hAnsiTheme="minorHAnsi" w:cstheme="minorHAnsi"/>
        </w:rPr>
        <w:t>6,200</w:t>
      </w:r>
      <w:r>
        <w:rPr>
          <w:rFonts w:asciiTheme="minorHAnsi" w:hAnsiTheme="minorHAnsi" w:cstheme="minorHAnsi"/>
        </w:rPr>
        <w:t xml:space="preserve"> Indigenous businesses from a sample size of 8,368 business ABNs </w:t>
      </w:r>
      <w:r w:rsidR="00051559">
        <w:rPr>
          <w:rFonts w:asciiTheme="minorHAnsi" w:hAnsiTheme="minorHAnsi" w:cstheme="minorHAnsi"/>
        </w:rPr>
        <w:t xml:space="preserve">(77%) </w:t>
      </w:r>
      <w:r>
        <w:rPr>
          <w:rFonts w:asciiTheme="minorHAnsi" w:hAnsiTheme="minorHAnsi" w:cstheme="minorHAnsi"/>
        </w:rPr>
        <w:t>collected and collated as I-BLADE (Indigenous Business Longitudinal Analysis Data Environment</w:t>
      </w:r>
      <w:r w:rsidR="003E2100">
        <w:rPr>
          <w:rFonts w:asciiTheme="minorHAnsi" w:hAnsiTheme="minorHAnsi" w:cstheme="minorHAnsi"/>
        </w:rPr>
        <w:t xml:space="preserve">). However, </w:t>
      </w:r>
      <w:r w:rsidR="00051559">
        <w:rPr>
          <w:rFonts w:asciiTheme="minorHAnsi" w:hAnsiTheme="minorHAnsi" w:cstheme="minorHAnsi"/>
        </w:rPr>
        <w:t>only around 60% were identified by the ABS as being active businesses (tax reporting)</w:t>
      </w:r>
      <w:r w:rsidR="00986610">
        <w:rPr>
          <w:rFonts w:asciiTheme="minorHAnsi" w:hAnsiTheme="minorHAnsi" w:cstheme="minorHAnsi"/>
        </w:rPr>
        <w:t xml:space="preserve">. </w:t>
      </w:r>
      <w:r>
        <w:rPr>
          <w:rFonts w:asciiTheme="minorHAnsi" w:hAnsiTheme="minorHAnsi" w:cstheme="minorHAnsi"/>
        </w:rPr>
        <w:t xml:space="preserve">Therefore, the </w:t>
      </w:r>
      <w:r w:rsidR="00DE360E">
        <w:rPr>
          <w:rFonts w:asciiTheme="minorHAnsi" w:hAnsiTheme="minorHAnsi" w:cstheme="minorHAnsi"/>
        </w:rPr>
        <w:t xml:space="preserve">results </w:t>
      </w:r>
      <w:r>
        <w:rPr>
          <w:rFonts w:asciiTheme="minorHAnsi" w:hAnsiTheme="minorHAnsi" w:cstheme="minorHAnsi"/>
        </w:rPr>
        <w:t xml:space="preserve">presented in this Snapshot Study </w:t>
      </w:r>
      <w:r w:rsidR="00986610">
        <w:rPr>
          <w:rFonts w:asciiTheme="minorHAnsi" w:hAnsiTheme="minorHAnsi" w:cstheme="minorHAnsi"/>
        </w:rPr>
        <w:t xml:space="preserve">1.0 </w:t>
      </w:r>
      <w:r>
        <w:rPr>
          <w:rFonts w:asciiTheme="minorHAnsi" w:hAnsiTheme="minorHAnsi" w:cstheme="minorHAnsi"/>
        </w:rPr>
        <w:t xml:space="preserve">is based upon the data pertaining to those </w:t>
      </w:r>
      <w:r w:rsidR="00051559">
        <w:rPr>
          <w:rFonts w:asciiTheme="minorHAnsi" w:hAnsiTheme="minorHAnsi" w:cstheme="minorHAnsi"/>
        </w:rPr>
        <w:t xml:space="preserve">active </w:t>
      </w:r>
      <w:r>
        <w:rPr>
          <w:rFonts w:asciiTheme="minorHAnsi" w:hAnsiTheme="minorHAnsi" w:cstheme="minorHAnsi"/>
        </w:rPr>
        <w:t>businesses</w:t>
      </w:r>
      <w:r w:rsidR="00051559">
        <w:rPr>
          <w:rFonts w:asciiTheme="minorHAnsi" w:hAnsiTheme="minorHAnsi" w:cstheme="minorHAnsi"/>
        </w:rPr>
        <w:t xml:space="preserve"> (around 3,600 in 2018). </w:t>
      </w:r>
      <w:r>
        <w:rPr>
          <w:rFonts w:asciiTheme="minorHAnsi" w:hAnsiTheme="minorHAnsi" w:cstheme="minorHAnsi"/>
        </w:rPr>
        <w:t>A detailed explanation of the sample can be found later in this report.</w:t>
      </w:r>
    </w:p>
    <w:p w14:paraId="154D1495" w14:textId="491B5E43" w:rsidR="00C711A3" w:rsidRDefault="00C711A3" w:rsidP="00BB1141">
      <w:pPr>
        <w:rPr>
          <w:rFonts w:asciiTheme="minorHAnsi" w:hAnsiTheme="minorHAnsi" w:cstheme="minorHAnsi"/>
        </w:rPr>
      </w:pPr>
    </w:p>
    <w:p w14:paraId="39FC0AC7" w14:textId="23926BED" w:rsidR="00C711A3" w:rsidRPr="00356D82" w:rsidRDefault="00CE315D" w:rsidP="00BB1141">
      <w:pPr>
        <w:rPr>
          <w:rFonts w:asciiTheme="minorHAnsi" w:hAnsiTheme="minorHAnsi" w:cstheme="minorHAnsi"/>
          <w:b/>
          <w:bCs/>
        </w:rPr>
      </w:pPr>
      <w:r w:rsidRPr="00356D82">
        <w:rPr>
          <w:rFonts w:asciiTheme="minorHAnsi" w:hAnsiTheme="minorHAnsi" w:cstheme="minorHAnsi"/>
          <w:b/>
          <w:bCs/>
        </w:rPr>
        <w:t xml:space="preserve">Registered </w:t>
      </w:r>
      <w:r w:rsidR="00C711A3" w:rsidRPr="00356D82">
        <w:rPr>
          <w:rFonts w:asciiTheme="minorHAnsi" w:hAnsiTheme="minorHAnsi" w:cstheme="minorHAnsi"/>
          <w:b/>
          <w:bCs/>
        </w:rPr>
        <w:t>Indigenous business</w:t>
      </w:r>
      <w:r w:rsidRPr="00356D82">
        <w:rPr>
          <w:rFonts w:asciiTheme="minorHAnsi" w:hAnsiTheme="minorHAnsi" w:cstheme="minorHAnsi"/>
          <w:b/>
          <w:bCs/>
        </w:rPr>
        <w:t xml:space="preserve">es </w:t>
      </w:r>
      <w:r w:rsidR="00C711A3" w:rsidRPr="00356D82">
        <w:rPr>
          <w:rFonts w:asciiTheme="minorHAnsi" w:hAnsiTheme="minorHAnsi" w:cstheme="minorHAnsi"/>
          <w:b/>
          <w:bCs/>
        </w:rPr>
        <w:t xml:space="preserve">performance </w:t>
      </w:r>
    </w:p>
    <w:tbl>
      <w:tblPr>
        <w:tblStyle w:val="TableGrid"/>
        <w:tblW w:w="0" w:type="auto"/>
        <w:tblLook w:val="04A0" w:firstRow="1" w:lastRow="0" w:firstColumn="1" w:lastColumn="0" w:noHBand="0" w:noVBand="1"/>
      </w:tblPr>
      <w:tblGrid>
        <w:gridCol w:w="2252"/>
        <w:gridCol w:w="2252"/>
        <w:gridCol w:w="2253"/>
        <w:gridCol w:w="2253"/>
      </w:tblGrid>
      <w:tr w:rsidR="00C711A3" w14:paraId="553EA99A" w14:textId="25EB022D" w:rsidTr="00B06B1A">
        <w:tc>
          <w:tcPr>
            <w:tcW w:w="2252" w:type="dxa"/>
          </w:tcPr>
          <w:p w14:paraId="538829B5" w14:textId="3252B5CC" w:rsidR="00C711A3" w:rsidRPr="00A56AE0" w:rsidRDefault="00C711A3" w:rsidP="00A56AE0">
            <w:pPr>
              <w:jc w:val="center"/>
              <w:rPr>
                <w:rFonts w:asciiTheme="minorHAnsi" w:hAnsiTheme="minorHAnsi" w:cstheme="minorHAnsi"/>
                <w:b/>
                <w:bCs/>
              </w:rPr>
            </w:pPr>
            <w:r w:rsidRPr="00A56AE0">
              <w:rPr>
                <w:rFonts w:asciiTheme="minorHAnsi" w:hAnsiTheme="minorHAnsi" w:cstheme="minorHAnsi"/>
                <w:b/>
                <w:bCs/>
              </w:rPr>
              <w:t>Indicator</w:t>
            </w:r>
          </w:p>
        </w:tc>
        <w:tc>
          <w:tcPr>
            <w:tcW w:w="2252" w:type="dxa"/>
          </w:tcPr>
          <w:p w14:paraId="29B4D4A1" w14:textId="04A666AD" w:rsidR="00C711A3" w:rsidRPr="00A56AE0" w:rsidRDefault="00C711A3" w:rsidP="00A56AE0">
            <w:pPr>
              <w:jc w:val="center"/>
              <w:rPr>
                <w:rFonts w:asciiTheme="minorHAnsi" w:hAnsiTheme="minorHAnsi" w:cstheme="minorHAnsi"/>
                <w:b/>
                <w:bCs/>
              </w:rPr>
            </w:pPr>
            <w:r w:rsidRPr="00A56AE0">
              <w:rPr>
                <w:rFonts w:asciiTheme="minorHAnsi" w:hAnsiTheme="minorHAnsi" w:cstheme="minorHAnsi"/>
                <w:b/>
                <w:bCs/>
              </w:rPr>
              <w:t>FY2006</w:t>
            </w:r>
          </w:p>
        </w:tc>
        <w:tc>
          <w:tcPr>
            <w:tcW w:w="2253" w:type="dxa"/>
          </w:tcPr>
          <w:p w14:paraId="194DF018" w14:textId="643A5738" w:rsidR="00C711A3" w:rsidRPr="00A56AE0" w:rsidRDefault="00C711A3" w:rsidP="00A56AE0">
            <w:pPr>
              <w:jc w:val="center"/>
              <w:rPr>
                <w:rFonts w:asciiTheme="minorHAnsi" w:hAnsiTheme="minorHAnsi" w:cstheme="minorHAnsi"/>
                <w:b/>
                <w:bCs/>
              </w:rPr>
            </w:pPr>
            <w:r w:rsidRPr="00A56AE0">
              <w:rPr>
                <w:rFonts w:asciiTheme="minorHAnsi" w:hAnsiTheme="minorHAnsi" w:cstheme="minorHAnsi"/>
                <w:b/>
                <w:bCs/>
              </w:rPr>
              <w:t>FY2012</w:t>
            </w:r>
          </w:p>
        </w:tc>
        <w:tc>
          <w:tcPr>
            <w:tcW w:w="2253" w:type="dxa"/>
          </w:tcPr>
          <w:p w14:paraId="43BF320B" w14:textId="48F58AE0" w:rsidR="00C711A3" w:rsidRPr="00A56AE0" w:rsidRDefault="00C711A3" w:rsidP="00A56AE0">
            <w:pPr>
              <w:jc w:val="center"/>
              <w:rPr>
                <w:rFonts w:asciiTheme="minorHAnsi" w:hAnsiTheme="minorHAnsi" w:cstheme="minorHAnsi"/>
                <w:b/>
                <w:bCs/>
              </w:rPr>
            </w:pPr>
            <w:r w:rsidRPr="00A56AE0">
              <w:rPr>
                <w:rFonts w:asciiTheme="minorHAnsi" w:hAnsiTheme="minorHAnsi" w:cstheme="minorHAnsi"/>
                <w:b/>
                <w:bCs/>
              </w:rPr>
              <w:t>FY2018</w:t>
            </w:r>
          </w:p>
        </w:tc>
      </w:tr>
      <w:tr w:rsidR="00C711A3" w14:paraId="672F9EE8" w14:textId="18EFA498" w:rsidTr="00B06B1A">
        <w:tc>
          <w:tcPr>
            <w:tcW w:w="2252" w:type="dxa"/>
          </w:tcPr>
          <w:p w14:paraId="5FFD4CB7" w14:textId="52F7F3F7" w:rsidR="00C711A3" w:rsidRPr="00A56AE0" w:rsidRDefault="00C711A3" w:rsidP="00BB1141">
            <w:pPr>
              <w:rPr>
                <w:rFonts w:asciiTheme="minorHAnsi" w:hAnsiTheme="minorHAnsi" w:cstheme="minorHAnsi"/>
                <w:b/>
                <w:bCs/>
              </w:rPr>
            </w:pPr>
            <w:r w:rsidRPr="00A56AE0">
              <w:rPr>
                <w:rFonts w:asciiTheme="minorHAnsi" w:hAnsiTheme="minorHAnsi" w:cstheme="minorHAnsi"/>
                <w:b/>
                <w:bCs/>
              </w:rPr>
              <w:t>Number of businesses</w:t>
            </w:r>
          </w:p>
        </w:tc>
        <w:tc>
          <w:tcPr>
            <w:tcW w:w="2252" w:type="dxa"/>
          </w:tcPr>
          <w:p w14:paraId="1374E52B" w14:textId="62154D20" w:rsidR="00C711A3" w:rsidRPr="00F06469" w:rsidRDefault="00CC18B5" w:rsidP="00BB1141">
            <w:pPr>
              <w:rPr>
                <w:rFonts w:asciiTheme="minorHAnsi" w:hAnsiTheme="minorHAnsi" w:cstheme="minorHAnsi"/>
              </w:rPr>
            </w:pPr>
            <w:r w:rsidRPr="00F06469">
              <w:rPr>
                <w:rFonts w:asciiTheme="minorHAnsi" w:hAnsiTheme="minorHAnsi" w:cstheme="minorHAnsi"/>
              </w:rPr>
              <w:t>1841</w:t>
            </w:r>
          </w:p>
        </w:tc>
        <w:tc>
          <w:tcPr>
            <w:tcW w:w="2253" w:type="dxa"/>
          </w:tcPr>
          <w:p w14:paraId="0688708D" w14:textId="5702E9FD" w:rsidR="00C711A3" w:rsidRPr="00F06469" w:rsidRDefault="00CC18B5" w:rsidP="00BB1141">
            <w:pPr>
              <w:rPr>
                <w:rFonts w:asciiTheme="minorHAnsi" w:hAnsiTheme="minorHAnsi" w:cstheme="minorHAnsi"/>
              </w:rPr>
            </w:pPr>
            <w:r w:rsidRPr="00F06469">
              <w:rPr>
                <w:rFonts w:asciiTheme="minorHAnsi" w:hAnsiTheme="minorHAnsi" w:cstheme="minorHAnsi"/>
              </w:rPr>
              <w:t>2273</w:t>
            </w:r>
          </w:p>
        </w:tc>
        <w:tc>
          <w:tcPr>
            <w:tcW w:w="2253" w:type="dxa"/>
          </w:tcPr>
          <w:p w14:paraId="3C8A1178" w14:textId="0BC96406" w:rsidR="00C711A3" w:rsidRPr="00F06469" w:rsidRDefault="00CC18B5" w:rsidP="00BB1141">
            <w:pPr>
              <w:rPr>
                <w:rFonts w:asciiTheme="minorHAnsi" w:hAnsiTheme="minorHAnsi" w:cstheme="minorHAnsi"/>
              </w:rPr>
            </w:pPr>
            <w:r w:rsidRPr="00F06469">
              <w:rPr>
                <w:rFonts w:asciiTheme="minorHAnsi" w:hAnsiTheme="minorHAnsi" w:cstheme="minorHAnsi"/>
              </w:rPr>
              <w:t>3</w:t>
            </w:r>
            <w:r w:rsidR="00DA36AA">
              <w:rPr>
                <w:rFonts w:asciiTheme="minorHAnsi" w:hAnsiTheme="minorHAnsi" w:cstheme="minorHAnsi"/>
              </w:rPr>
              <w:t>619</w:t>
            </w:r>
            <w:r w:rsidR="00FD6DA8" w:rsidRPr="00F06469">
              <w:rPr>
                <w:rFonts w:asciiTheme="minorHAnsi" w:hAnsiTheme="minorHAnsi" w:cstheme="minorHAnsi"/>
              </w:rPr>
              <w:t xml:space="preserve"> </w:t>
            </w:r>
          </w:p>
        </w:tc>
      </w:tr>
      <w:tr w:rsidR="00C711A3" w14:paraId="6726EC11" w14:textId="17CCEF8E" w:rsidTr="00B06B1A">
        <w:tc>
          <w:tcPr>
            <w:tcW w:w="2252" w:type="dxa"/>
          </w:tcPr>
          <w:p w14:paraId="6DC6D782" w14:textId="70524403" w:rsidR="00C711A3" w:rsidRPr="00A56AE0" w:rsidRDefault="00C711A3" w:rsidP="00BB1141">
            <w:pPr>
              <w:rPr>
                <w:rFonts w:asciiTheme="minorHAnsi" w:hAnsiTheme="minorHAnsi" w:cstheme="minorHAnsi"/>
                <w:b/>
                <w:bCs/>
              </w:rPr>
            </w:pPr>
            <w:r w:rsidRPr="00A56AE0">
              <w:rPr>
                <w:rFonts w:asciiTheme="minorHAnsi" w:hAnsiTheme="minorHAnsi" w:cstheme="minorHAnsi"/>
                <w:b/>
                <w:bCs/>
              </w:rPr>
              <w:t>Gross income</w:t>
            </w:r>
            <w:r w:rsidR="00D508F5" w:rsidRPr="00A56AE0">
              <w:rPr>
                <w:rFonts w:asciiTheme="minorHAnsi" w:hAnsiTheme="minorHAnsi" w:cstheme="minorHAnsi"/>
                <w:b/>
                <w:bCs/>
              </w:rPr>
              <w:t xml:space="preserve"> ($2020)</w:t>
            </w:r>
          </w:p>
        </w:tc>
        <w:tc>
          <w:tcPr>
            <w:tcW w:w="2252" w:type="dxa"/>
          </w:tcPr>
          <w:p w14:paraId="00468F04" w14:textId="40DD4DC4" w:rsidR="00C711A3" w:rsidRPr="00F06469" w:rsidRDefault="00CC18B5" w:rsidP="00BB1141">
            <w:pPr>
              <w:rPr>
                <w:rFonts w:asciiTheme="minorHAnsi" w:hAnsiTheme="minorHAnsi" w:cstheme="minorHAnsi"/>
              </w:rPr>
            </w:pPr>
            <w:r w:rsidRPr="00F06469">
              <w:rPr>
                <w:rFonts w:asciiTheme="minorHAnsi" w:hAnsiTheme="minorHAnsi" w:cstheme="minorHAnsi"/>
              </w:rPr>
              <w:t>$</w:t>
            </w:r>
            <w:r w:rsidR="008F5DAE" w:rsidRPr="00F06469">
              <w:rPr>
                <w:rFonts w:asciiTheme="minorHAnsi" w:hAnsiTheme="minorHAnsi" w:cstheme="minorHAnsi"/>
              </w:rPr>
              <w:t>2.27</w:t>
            </w:r>
            <w:r w:rsidRPr="00F06469">
              <w:rPr>
                <w:rFonts w:asciiTheme="minorHAnsi" w:hAnsiTheme="minorHAnsi" w:cstheme="minorHAnsi"/>
              </w:rPr>
              <w:t xml:space="preserve"> billion</w:t>
            </w:r>
          </w:p>
        </w:tc>
        <w:tc>
          <w:tcPr>
            <w:tcW w:w="2253" w:type="dxa"/>
          </w:tcPr>
          <w:p w14:paraId="2DE93870" w14:textId="7653ECDC" w:rsidR="00C711A3" w:rsidRPr="00F06469" w:rsidRDefault="00CC18B5" w:rsidP="00BB1141">
            <w:pPr>
              <w:rPr>
                <w:rFonts w:asciiTheme="minorHAnsi" w:hAnsiTheme="minorHAnsi" w:cstheme="minorHAnsi"/>
              </w:rPr>
            </w:pPr>
            <w:r w:rsidRPr="00F06469">
              <w:rPr>
                <w:rFonts w:asciiTheme="minorHAnsi" w:hAnsiTheme="minorHAnsi" w:cstheme="minorHAnsi"/>
              </w:rPr>
              <w:t>$</w:t>
            </w:r>
            <w:r w:rsidR="008F5DAE" w:rsidRPr="00F06469">
              <w:rPr>
                <w:rFonts w:asciiTheme="minorHAnsi" w:hAnsiTheme="minorHAnsi" w:cstheme="minorHAnsi"/>
              </w:rPr>
              <w:t>3.64</w:t>
            </w:r>
            <w:r w:rsidRPr="00F06469">
              <w:rPr>
                <w:rFonts w:asciiTheme="minorHAnsi" w:hAnsiTheme="minorHAnsi" w:cstheme="minorHAnsi"/>
              </w:rPr>
              <w:t xml:space="preserve"> billion</w:t>
            </w:r>
          </w:p>
        </w:tc>
        <w:tc>
          <w:tcPr>
            <w:tcW w:w="2253" w:type="dxa"/>
          </w:tcPr>
          <w:p w14:paraId="2C0ECE96" w14:textId="01074B73" w:rsidR="00C711A3" w:rsidRPr="00F06469" w:rsidRDefault="00CC18B5" w:rsidP="00BB1141">
            <w:pPr>
              <w:rPr>
                <w:rFonts w:asciiTheme="minorHAnsi" w:hAnsiTheme="minorHAnsi" w:cstheme="minorHAnsi"/>
              </w:rPr>
            </w:pPr>
            <w:r w:rsidRPr="00F06469">
              <w:rPr>
                <w:rFonts w:asciiTheme="minorHAnsi" w:hAnsiTheme="minorHAnsi" w:cstheme="minorHAnsi"/>
              </w:rPr>
              <w:t>$</w:t>
            </w:r>
            <w:r w:rsidR="008F5DAE" w:rsidRPr="00F06469">
              <w:rPr>
                <w:rFonts w:asciiTheme="minorHAnsi" w:hAnsiTheme="minorHAnsi" w:cstheme="minorHAnsi"/>
              </w:rPr>
              <w:t>4.88</w:t>
            </w:r>
            <w:r w:rsidRPr="00F06469">
              <w:rPr>
                <w:rFonts w:asciiTheme="minorHAnsi" w:hAnsiTheme="minorHAnsi" w:cstheme="minorHAnsi"/>
              </w:rPr>
              <w:t xml:space="preserve"> billion</w:t>
            </w:r>
          </w:p>
        </w:tc>
      </w:tr>
      <w:tr w:rsidR="00C711A3" w14:paraId="03CE6651" w14:textId="4F182C94" w:rsidTr="00B06B1A">
        <w:tc>
          <w:tcPr>
            <w:tcW w:w="2252" w:type="dxa"/>
          </w:tcPr>
          <w:p w14:paraId="28F009AB" w14:textId="482C7FAE" w:rsidR="00C711A3" w:rsidRPr="00A56AE0" w:rsidRDefault="00C711A3" w:rsidP="00BB1141">
            <w:pPr>
              <w:rPr>
                <w:rFonts w:asciiTheme="minorHAnsi" w:hAnsiTheme="minorHAnsi" w:cstheme="minorHAnsi"/>
                <w:b/>
                <w:bCs/>
              </w:rPr>
            </w:pPr>
            <w:r w:rsidRPr="00A56AE0">
              <w:rPr>
                <w:rFonts w:asciiTheme="minorHAnsi" w:hAnsiTheme="minorHAnsi" w:cstheme="minorHAnsi"/>
                <w:b/>
                <w:bCs/>
              </w:rPr>
              <w:t>Employment</w:t>
            </w:r>
          </w:p>
        </w:tc>
        <w:tc>
          <w:tcPr>
            <w:tcW w:w="2252" w:type="dxa"/>
          </w:tcPr>
          <w:p w14:paraId="1BAFA15E" w14:textId="358CF874" w:rsidR="00C711A3" w:rsidRPr="00F06469" w:rsidRDefault="008F5DAE" w:rsidP="00BB1141">
            <w:pPr>
              <w:rPr>
                <w:rFonts w:asciiTheme="minorHAnsi" w:hAnsiTheme="minorHAnsi" w:cstheme="minorHAnsi"/>
              </w:rPr>
            </w:pPr>
            <w:r w:rsidRPr="00F06469">
              <w:rPr>
                <w:rFonts w:asciiTheme="minorHAnsi" w:hAnsiTheme="minorHAnsi" w:cstheme="minorHAnsi"/>
              </w:rPr>
              <w:t>22,715</w:t>
            </w:r>
          </w:p>
        </w:tc>
        <w:tc>
          <w:tcPr>
            <w:tcW w:w="2253" w:type="dxa"/>
          </w:tcPr>
          <w:p w14:paraId="3BCE4820" w14:textId="788DB1E1" w:rsidR="00C711A3" w:rsidRPr="00F06469" w:rsidRDefault="008F5DAE" w:rsidP="00BB1141">
            <w:pPr>
              <w:rPr>
                <w:rFonts w:asciiTheme="minorHAnsi" w:hAnsiTheme="minorHAnsi" w:cstheme="minorHAnsi"/>
              </w:rPr>
            </w:pPr>
            <w:r w:rsidRPr="00F06469">
              <w:rPr>
                <w:rFonts w:asciiTheme="minorHAnsi" w:hAnsiTheme="minorHAnsi" w:cstheme="minorHAnsi"/>
              </w:rPr>
              <w:t>31,187</w:t>
            </w:r>
          </w:p>
        </w:tc>
        <w:tc>
          <w:tcPr>
            <w:tcW w:w="2253" w:type="dxa"/>
          </w:tcPr>
          <w:p w14:paraId="6D730CAB" w14:textId="69B9F620" w:rsidR="00C711A3" w:rsidRPr="00F06469" w:rsidRDefault="008F5DAE" w:rsidP="00BB1141">
            <w:pPr>
              <w:rPr>
                <w:rFonts w:asciiTheme="minorHAnsi" w:hAnsiTheme="minorHAnsi" w:cstheme="minorHAnsi"/>
              </w:rPr>
            </w:pPr>
            <w:r w:rsidRPr="00F06469">
              <w:rPr>
                <w:rFonts w:asciiTheme="minorHAnsi" w:hAnsiTheme="minorHAnsi" w:cstheme="minorHAnsi"/>
              </w:rPr>
              <w:t>45,</w:t>
            </w:r>
            <w:r w:rsidR="00F06469" w:rsidRPr="00F06469">
              <w:rPr>
                <w:rFonts w:asciiTheme="minorHAnsi" w:hAnsiTheme="minorHAnsi" w:cstheme="minorHAnsi"/>
              </w:rPr>
              <w:t>434</w:t>
            </w:r>
          </w:p>
        </w:tc>
      </w:tr>
    </w:tbl>
    <w:p w14:paraId="185CD294" w14:textId="60CDE210" w:rsidR="00C711A3" w:rsidRDefault="00C711A3" w:rsidP="00BB1141">
      <w:pPr>
        <w:rPr>
          <w:rFonts w:asciiTheme="minorHAnsi" w:hAnsiTheme="minorHAnsi" w:cstheme="minorHAnsi"/>
        </w:rPr>
      </w:pPr>
    </w:p>
    <w:p w14:paraId="0B6EF84D" w14:textId="039EFD2F" w:rsidR="00986610" w:rsidRDefault="00AE758C" w:rsidP="00986610">
      <w:pPr>
        <w:rPr>
          <w:rFonts w:asciiTheme="minorHAnsi" w:hAnsiTheme="minorHAnsi" w:cstheme="minorHAnsi"/>
        </w:rPr>
      </w:pPr>
      <w:r>
        <w:rPr>
          <w:rFonts w:asciiTheme="minorHAnsi" w:hAnsiTheme="minorHAnsi" w:cstheme="minorHAnsi"/>
        </w:rPr>
        <w:t>Over the 12 years examined (FY2006-FY2018), we observe</w:t>
      </w:r>
      <w:r w:rsidR="00F60206">
        <w:rPr>
          <w:rFonts w:asciiTheme="minorHAnsi" w:hAnsiTheme="minorHAnsi" w:cstheme="minorHAnsi"/>
        </w:rPr>
        <w:t>d</w:t>
      </w:r>
      <w:r>
        <w:rPr>
          <w:rFonts w:asciiTheme="minorHAnsi" w:hAnsiTheme="minorHAnsi" w:cstheme="minorHAnsi"/>
        </w:rPr>
        <w:t xml:space="preserve"> a 74</w:t>
      </w:r>
      <w:r w:rsidR="00BA6815">
        <w:rPr>
          <w:rFonts w:asciiTheme="minorHAnsi" w:hAnsiTheme="minorHAnsi" w:cstheme="minorHAnsi"/>
        </w:rPr>
        <w:t xml:space="preserve">% </w:t>
      </w:r>
      <w:r w:rsidR="002E157B">
        <w:rPr>
          <w:rFonts w:asciiTheme="minorHAnsi" w:hAnsiTheme="minorHAnsi" w:cstheme="minorHAnsi"/>
        </w:rPr>
        <w:t xml:space="preserve">increase </w:t>
      </w:r>
      <w:r>
        <w:rPr>
          <w:rFonts w:asciiTheme="minorHAnsi" w:hAnsiTheme="minorHAnsi" w:cstheme="minorHAnsi"/>
        </w:rPr>
        <w:t>in the number of</w:t>
      </w:r>
      <w:r w:rsidR="002E157B">
        <w:rPr>
          <w:rFonts w:asciiTheme="minorHAnsi" w:hAnsiTheme="minorHAnsi" w:cstheme="minorHAnsi"/>
        </w:rPr>
        <w:t xml:space="preserve"> businesses operating</w:t>
      </w:r>
      <w:r w:rsidR="00CC18B5">
        <w:rPr>
          <w:rFonts w:asciiTheme="minorHAnsi" w:hAnsiTheme="minorHAnsi" w:cstheme="minorHAnsi"/>
        </w:rPr>
        <w:t xml:space="preserve"> </w:t>
      </w:r>
      <w:r w:rsidR="002E157B">
        <w:rPr>
          <w:rFonts w:asciiTheme="minorHAnsi" w:hAnsiTheme="minorHAnsi" w:cstheme="minorHAnsi"/>
        </w:rPr>
        <w:t>in the Indigenous business sector</w:t>
      </w:r>
      <w:r>
        <w:rPr>
          <w:rFonts w:asciiTheme="minorHAnsi" w:hAnsiTheme="minorHAnsi" w:cstheme="minorHAnsi"/>
        </w:rPr>
        <w:t>, a more than doubling in gross income from the sector (115%</w:t>
      </w:r>
      <w:r w:rsidR="004475AA">
        <w:rPr>
          <w:rFonts w:asciiTheme="minorHAnsi" w:hAnsiTheme="minorHAnsi" w:cstheme="minorHAnsi"/>
        </w:rPr>
        <w:t xml:space="preserve"> growth</w:t>
      </w:r>
      <w:r>
        <w:rPr>
          <w:rFonts w:asciiTheme="minorHAnsi" w:hAnsiTheme="minorHAnsi" w:cstheme="minorHAnsi"/>
        </w:rPr>
        <w:t xml:space="preserve">) and </w:t>
      </w:r>
      <w:r w:rsidR="00B06B1A">
        <w:rPr>
          <w:rFonts w:asciiTheme="minorHAnsi" w:hAnsiTheme="minorHAnsi" w:cstheme="minorHAnsi"/>
        </w:rPr>
        <w:t>more than 22,000 jobs created</w:t>
      </w:r>
      <w:r w:rsidR="00F22873">
        <w:rPr>
          <w:rFonts w:asciiTheme="minorHAnsi" w:hAnsiTheme="minorHAnsi" w:cstheme="minorHAnsi"/>
        </w:rPr>
        <w:t xml:space="preserve"> (100% growth)</w:t>
      </w:r>
      <w:r w:rsidR="00B06B1A">
        <w:rPr>
          <w:rFonts w:asciiTheme="minorHAnsi" w:hAnsiTheme="minorHAnsi" w:cstheme="minorHAnsi"/>
        </w:rPr>
        <w:t>.</w:t>
      </w:r>
      <w:r w:rsidR="00B06B1A" w:rsidRPr="00986610">
        <w:rPr>
          <w:rFonts w:asciiTheme="minorHAnsi" w:hAnsiTheme="minorHAnsi" w:cstheme="minorHAnsi"/>
        </w:rPr>
        <w:t xml:space="preserve"> </w:t>
      </w:r>
      <w:r w:rsidR="00F22873" w:rsidRPr="0072340D">
        <w:rPr>
          <w:rFonts w:asciiTheme="minorHAnsi" w:hAnsiTheme="minorHAnsi" w:cstheme="minorHAnsi"/>
        </w:rPr>
        <w:t>Compared to non-</w:t>
      </w:r>
      <w:r w:rsidR="00561F27" w:rsidRPr="0072340D">
        <w:rPr>
          <w:rFonts w:asciiTheme="minorHAnsi" w:hAnsiTheme="minorHAnsi" w:cstheme="minorHAnsi"/>
        </w:rPr>
        <w:t>Indigenous businesses</w:t>
      </w:r>
      <w:r w:rsidR="00F22873" w:rsidRPr="0072340D">
        <w:rPr>
          <w:rFonts w:asciiTheme="minorHAnsi" w:hAnsiTheme="minorHAnsi" w:cstheme="minorHAnsi"/>
        </w:rPr>
        <w:t xml:space="preserve">, </w:t>
      </w:r>
      <w:r w:rsidR="004475AA">
        <w:rPr>
          <w:rFonts w:asciiTheme="minorHAnsi" w:hAnsiTheme="minorHAnsi" w:cstheme="minorHAnsi"/>
        </w:rPr>
        <w:t xml:space="preserve">registered </w:t>
      </w:r>
      <w:r w:rsidR="00F22873" w:rsidRPr="0072340D">
        <w:rPr>
          <w:rFonts w:asciiTheme="minorHAnsi" w:hAnsiTheme="minorHAnsi" w:cstheme="minorHAnsi"/>
        </w:rPr>
        <w:t>Indigenous businesses</w:t>
      </w:r>
      <w:r w:rsidR="00561F27" w:rsidRPr="0072340D">
        <w:rPr>
          <w:rFonts w:asciiTheme="minorHAnsi" w:hAnsiTheme="minorHAnsi" w:cstheme="minorHAnsi"/>
        </w:rPr>
        <w:t xml:space="preserve"> are bigger businesses on average </w:t>
      </w:r>
      <w:r w:rsidR="00F22873" w:rsidRPr="0072340D">
        <w:rPr>
          <w:rFonts w:asciiTheme="minorHAnsi" w:hAnsiTheme="minorHAnsi" w:cstheme="minorHAnsi"/>
        </w:rPr>
        <w:t>— average gross income of $1.</w:t>
      </w:r>
      <w:r w:rsidR="00CB0E13">
        <w:rPr>
          <w:rFonts w:asciiTheme="minorHAnsi" w:hAnsiTheme="minorHAnsi" w:cstheme="minorHAnsi"/>
        </w:rPr>
        <w:t>6</w:t>
      </w:r>
      <w:r w:rsidR="00F22873" w:rsidRPr="0072340D">
        <w:rPr>
          <w:rFonts w:asciiTheme="minorHAnsi" w:hAnsiTheme="minorHAnsi" w:cstheme="minorHAnsi"/>
        </w:rPr>
        <w:t>mill in 2018 (29% above $2mill) and 14 employees, compared to $</w:t>
      </w:r>
      <w:r w:rsidR="00CB0E13">
        <w:rPr>
          <w:rFonts w:asciiTheme="minorHAnsi" w:hAnsiTheme="minorHAnsi" w:cstheme="minorHAnsi"/>
        </w:rPr>
        <w:t>40</w:t>
      </w:r>
      <w:r w:rsidR="00F22873" w:rsidRPr="0072340D">
        <w:rPr>
          <w:rFonts w:asciiTheme="minorHAnsi" w:hAnsiTheme="minorHAnsi" w:cstheme="minorHAnsi"/>
        </w:rPr>
        <w:t xml:space="preserve">0K and </w:t>
      </w:r>
      <w:r w:rsidR="00CB0E13">
        <w:rPr>
          <w:rFonts w:asciiTheme="minorHAnsi" w:hAnsiTheme="minorHAnsi" w:cstheme="minorHAnsi"/>
        </w:rPr>
        <w:t>2</w:t>
      </w:r>
      <w:r w:rsidR="00F22873" w:rsidRPr="0072340D">
        <w:rPr>
          <w:rFonts w:asciiTheme="minorHAnsi" w:hAnsiTheme="minorHAnsi" w:cstheme="minorHAnsi"/>
        </w:rPr>
        <w:t xml:space="preserve"> employees for non-Indigenous</w:t>
      </w:r>
      <w:r w:rsidR="004475AA">
        <w:rPr>
          <w:rFonts w:asciiTheme="minorHAnsi" w:hAnsiTheme="minorHAnsi" w:cstheme="minorHAnsi"/>
        </w:rPr>
        <w:t xml:space="preserve"> businesses</w:t>
      </w:r>
      <w:r w:rsidR="00F22873" w:rsidRPr="0072340D">
        <w:rPr>
          <w:rFonts w:asciiTheme="minorHAnsi" w:hAnsiTheme="minorHAnsi" w:cstheme="minorHAnsi"/>
        </w:rPr>
        <w:t xml:space="preserve">. </w:t>
      </w:r>
    </w:p>
    <w:p w14:paraId="5E27A7B0" w14:textId="77777777" w:rsidR="0072340D" w:rsidRPr="0072340D" w:rsidRDefault="0072340D" w:rsidP="0072340D"/>
    <w:p w14:paraId="30E930FF" w14:textId="25AB2CDA" w:rsidR="00BB1141" w:rsidRPr="00BB1141" w:rsidRDefault="003A2BD1" w:rsidP="0072340D">
      <w:pPr>
        <w:pStyle w:val="Heading2"/>
      </w:pPr>
      <w:r>
        <w:lastRenderedPageBreak/>
        <w:t xml:space="preserve">A brief history </w:t>
      </w:r>
      <w:r w:rsidR="00A16E67">
        <w:t>leading to the Snapshot Study Series</w:t>
      </w:r>
      <w:r>
        <w:t xml:space="preserve"> </w:t>
      </w:r>
    </w:p>
    <w:p w14:paraId="2DA2F1FD" w14:textId="7737F05C" w:rsidR="00BB1141" w:rsidRPr="00BB1141" w:rsidRDefault="00BB1141" w:rsidP="0068516C">
      <w:pPr>
        <w:jc w:val="both"/>
        <w:rPr>
          <w:rFonts w:asciiTheme="minorHAnsi" w:hAnsiTheme="minorHAnsi" w:cstheme="minorHAnsi"/>
        </w:rPr>
      </w:pPr>
      <w:r w:rsidRPr="00BB1141">
        <w:rPr>
          <w:rFonts w:asciiTheme="minorHAnsi" w:hAnsiTheme="minorHAnsi" w:cstheme="minorHAnsi"/>
        </w:rPr>
        <w:t xml:space="preserve">In 2018, Dr Michelle Evans, with the research assistance of Sarah Kurland and Lan Hoang, initiated discussions with Indigenous business data custodians across Australia about the importance of bringing together the disparate lists of Indigenous businesses. These efforts ultimately led to </w:t>
      </w:r>
      <w:r w:rsidR="003A2BD1">
        <w:rPr>
          <w:rFonts w:asciiTheme="minorHAnsi" w:hAnsiTheme="minorHAnsi" w:cstheme="minorHAnsi"/>
        </w:rPr>
        <w:t xml:space="preserve">a </w:t>
      </w:r>
      <w:r w:rsidR="00CF2579">
        <w:rPr>
          <w:rFonts w:asciiTheme="minorHAnsi" w:hAnsiTheme="minorHAnsi" w:cstheme="minorHAnsi"/>
        </w:rPr>
        <w:t>two-year</w:t>
      </w:r>
      <w:r w:rsidR="008E3AA7">
        <w:rPr>
          <w:rFonts w:asciiTheme="minorHAnsi" w:hAnsiTheme="minorHAnsi" w:cstheme="minorHAnsi"/>
        </w:rPr>
        <w:t xml:space="preserve"> </w:t>
      </w:r>
      <w:r w:rsidR="003A2BD1">
        <w:rPr>
          <w:rFonts w:asciiTheme="minorHAnsi" w:hAnsiTheme="minorHAnsi" w:cstheme="minorHAnsi"/>
        </w:rPr>
        <w:t xml:space="preserve">long process of collation of Indigenous business </w:t>
      </w:r>
      <w:r w:rsidR="008E3AA7">
        <w:rPr>
          <w:rFonts w:asciiTheme="minorHAnsi" w:hAnsiTheme="minorHAnsi" w:cstheme="minorHAnsi"/>
        </w:rPr>
        <w:t xml:space="preserve">registries into a unified </w:t>
      </w:r>
      <w:r w:rsidRPr="00BB1141">
        <w:rPr>
          <w:rFonts w:asciiTheme="minorHAnsi" w:hAnsiTheme="minorHAnsi" w:cstheme="minorHAnsi"/>
        </w:rPr>
        <w:t>database. Early on</w:t>
      </w:r>
      <w:r w:rsidR="00B703A5">
        <w:rPr>
          <w:rFonts w:asciiTheme="minorHAnsi" w:hAnsiTheme="minorHAnsi" w:cstheme="minorHAnsi"/>
        </w:rPr>
        <w:t>,</w:t>
      </w:r>
      <w:r w:rsidRPr="00BB1141">
        <w:rPr>
          <w:rFonts w:asciiTheme="minorHAnsi" w:hAnsiTheme="minorHAnsi" w:cstheme="minorHAnsi"/>
        </w:rPr>
        <w:t xml:space="preserve"> this research endeavour </w:t>
      </w:r>
      <w:r w:rsidR="008E3AA7">
        <w:rPr>
          <w:rFonts w:asciiTheme="minorHAnsi" w:hAnsiTheme="minorHAnsi" w:cstheme="minorHAnsi"/>
        </w:rPr>
        <w:t>has been</w:t>
      </w:r>
      <w:r w:rsidRPr="00BB1141">
        <w:rPr>
          <w:rFonts w:asciiTheme="minorHAnsi" w:hAnsiTheme="minorHAnsi" w:cstheme="minorHAnsi"/>
        </w:rPr>
        <w:t xml:space="preserve"> supported by Professor Marcia Langton</w:t>
      </w:r>
      <w:r w:rsidR="008E3AA7">
        <w:rPr>
          <w:rFonts w:asciiTheme="minorHAnsi" w:hAnsiTheme="minorHAnsi" w:cstheme="minorHAnsi"/>
        </w:rPr>
        <w:t xml:space="preserve"> (Melbourne School of Population and Global Health)</w:t>
      </w:r>
      <w:r w:rsidR="00CF2579">
        <w:rPr>
          <w:rFonts w:asciiTheme="minorHAnsi" w:hAnsiTheme="minorHAnsi" w:cstheme="minorHAnsi"/>
        </w:rPr>
        <w:t xml:space="preserve">, </w:t>
      </w:r>
      <w:r w:rsidRPr="00BB1141">
        <w:rPr>
          <w:rFonts w:asciiTheme="minorHAnsi" w:hAnsiTheme="minorHAnsi" w:cstheme="minorHAnsi"/>
        </w:rPr>
        <w:t>Dr Matthew Storey</w:t>
      </w:r>
      <w:r w:rsidR="008E3AA7">
        <w:rPr>
          <w:rFonts w:asciiTheme="minorHAnsi" w:hAnsiTheme="minorHAnsi" w:cstheme="minorHAnsi"/>
        </w:rPr>
        <w:t xml:space="preserve"> (Faculty of Law and Victorian Aboriginal Heritage Council) a</w:t>
      </w:r>
      <w:r w:rsidR="00CF2579">
        <w:rPr>
          <w:rFonts w:asciiTheme="minorHAnsi" w:hAnsiTheme="minorHAnsi" w:cstheme="minorHAnsi"/>
        </w:rPr>
        <w:t>long with</w:t>
      </w:r>
      <w:r w:rsidR="008E3AA7">
        <w:rPr>
          <w:rFonts w:asciiTheme="minorHAnsi" w:hAnsiTheme="minorHAnsi" w:cstheme="minorHAnsi"/>
        </w:rPr>
        <w:t xml:space="preserve"> </w:t>
      </w:r>
      <w:r w:rsidRPr="00BB1141">
        <w:rPr>
          <w:rFonts w:asciiTheme="minorHAnsi" w:hAnsiTheme="minorHAnsi" w:cstheme="minorHAnsi"/>
        </w:rPr>
        <w:t>Melbourne Institute researchers, Dr Cain Polidano</w:t>
      </w:r>
      <w:r w:rsidR="008E3AA7">
        <w:rPr>
          <w:rFonts w:asciiTheme="minorHAnsi" w:hAnsiTheme="minorHAnsi" w:cstheme="minorHAnsi"/>
        </w:rPr>
        <w:t xml:space="preserve"> and </w:t>
      </w:r>
      <w:r w:rsidRPr="00BB1141">
        <w:rPr>
          <w:rFonts w:asciiTheme="minorHAnsi" w:hAnsiTheme="minorHAnsi" w:cstheme="minorHAnsi"/>
        </w:rPr>
        <w:t>Associate Professor Julie Moschion.</w:t>
      </w:r>
    </w:p>
    <w:p w14:paraId="5F2A5039" w14:textId="77777777" w:rsidR="00BB1141" w:rsidRPr="00BB1141" w:rsidRDefault="00BB1141" w:rsidP="0068516C">
      <w:pPr>
        <w:jc w:val="both"/>
        <w:rPr>
          <w:rFonts w:asciiTheme="minorHAnsi" w:hAnsiTheme="minorHAnsi" w:cstheme="minorHAnsi"/>
        </w:rPr>
      </w:pPr>
    </w:p>
    <w:p w14:paraId="2B2D12A7" w14:textId="159FD418" w:rsidR="008E3AA7" w:rsidRDefault="00BB1141" w:rsidP="004A4E66">
      <w:pPr>
        <w:jc w:val="both"/>
        <w:rPr>
          <w:rFonts w:asciiTheme="minorHAnsi" w:hAnsiTheme="minorHAnsi" w:cstheme="minorHAnsi"/>
        </w:rPr>
      </w:pPr>
      <w:r w:rsidRPr="00BB1141">
        <w:rPr>
          <w:rFonts w:asciiTheme="minorHAnsi" w:hAnsiTheme="minorHAnsi" w:cstheme="minorHAnsi"/>
        </w:rPr>
        <w:t xml:space="preserve">The </w:t>
      </w:r>
      <w:r w:rsidR="00D2373B">
        <w:rPr>
          <w:rFonts w:asciiTheme="minorHAnsi" w:hAnsiTheme="minorHAnsi" w:cstheme="minorHAnsi"/>
        </w:rPr>
        <w:t xml:space="preserve">members of the </w:t>
      </w:r>
      <w:r w:rsidRPr="00CE315D">
        <w:rPr>
          <w:rFonts w:asciiTheme="minorHAnsi" w:hAnsiTheme="minorHAnsi" w:cstheme="minorHAnsi"/>
          <w:b/>
          <w:bCs/>
        </w:rPr>
        <w:t>Indigenous Business Research Group</w:t>
      </w:r>
      <w:r w:rsidR="00CF2579">
        <w:rPr>
          <w:rFonts w:asciiTheme="minorHAnsi" w:hAnsiTheme="minorHAnsi" w:cstheme="minorHAnsi"/>
        </w:rPr>
        <w:t xml:space="preserve"> (</w:t>
      </w:r>
      <w:r w:rsidR="00A255B3">
        <w:rPr>
          <w:rFonts w:asciiTheme="minorHAnsi" w:hAnsiTheme="minorHAnsi" w:cstheme="minorHAnsi"/>
        </w:rPr>
        <w:t xml:space="preserve">i.e., </w:t>
      </w:r>
      <w:r w:rsidR="00C3252B">
        <w:rPr>
          <w:rFonts w:asciiTheme="minorHAnsi" w:hAnsiTheme="minorHAnsi" w:cstheme="minorHAnsi"/>
        </w:rPr>
        <w:t xml:space="preserve">Michelle Evans, Sarah Kurland, Marcia Langton, Julie Moschion, </w:t>
      </w:r>
      <w:r w:rsidR="008E3AA7">
        <w:rPr>
          <w:rFonts w:asciiTheme="minorHAnsi" w:hAnsiTheme="minorHAnsi" w:cstheme="minorHAnsi"/>
        </w:rPr>
        <w:t xml:space="preserve">Cain Polidano, </w:t>
      </w:r>
      <w:r w:rsidR="00C3252B">
        <w:rPr>
          <w:rFonts w:asciiTheme="minorHAnsi" w:hAnsiTheme="minorHAnsi" w:cstheme="minorHAnsi"/>
        </w:rPr>
        <w:t xml:space="preserve">and </w:t>
      </w:r>
      <w:r w:rsidR="008E3AA7">
        <w:rPr>
          <w:rFonts w:asciiTheme="minorHAnsi" w:hAnsiTheme="minorHAnsi" w:cstheme="minorHAnsi"/>
        </w:rPr>
        <w:t>Matt Storey</w:t>
      </w:r>
      <w:r w:rsidR="00CF2579">
        <w:rPr>
          <w:rFonts w:asciiTheme="minorHAnsi" w:hAnsiTheme="minorHAnsi" w:cstheme="minorHAnsi"/>
        </w:rPr>
        <w:t>)</w:t>
      </w:r>
      <w:r w:rsidRPr="00BB1141">
        <w:rPr>
          <w:rFonts w:asciiTheme="minorHAnsi" w:hAnsiTheme="minorHAnsi" w:cstheme="minorHAnsi"/>
        </w:rPr>
        <w:t xml:space="preserve"> foresees the significance of an annual Snapshot of the Australian Indigenous Business sector for a number of important reasons. This research will inform the Indigenous business sector ecosystem, including </w:t>
      </w:r>
      <w:r w:rsidR="008E3AA7">
        <w:rPr>
          <w:rFonts w:asciiTheme="minorHAnsi" w:hAnsiTheme="minorHAnsi" w:cstheme="minorHAnsi"/>
        </w:rPr>
        <w:t xml:space="preserve">community, </w:t>
      </w:r>
      <w:r w:rsidRPr="00BB1141">
        <w:rPr>
          <w:rFonts w:asciiTheme="minorHAnsi" w:hAnsiTheme="minorHAnsi" w:cstheme="minorHAnsi"/>
        </w:rPr>
        <w:t>government, corporate, banking, education and investment stakeholders. The snapshot will capture an image of the Indigenous Business sector year on year, allowing for deeper insights over time. Lastly (and critically), it will show the impact of focused sector support, such as the introduction of Indigenous preferential procurement programs</w:t>
      </w:r>
      <w:r w:rsidR="00D2373B">
        <w:rPr>
          <w:rFonts w:asciiTheme="minorHAnsi" w:hAnsiTheme="minorHAnsi" w:cstheme="minorHAnsi"/>
        </w:rPr>
        <w:t xml:space="preserve"> (hereafter IPPP)</w:t>
      </w:r>
      <w:r w:rsidRPr="00BB1141">
        <w:rPr>
          <w:rFonts w:asciiTheme="minorHAnsi" w:hAnsiTheme="minorHAnsi" w:cstheme="minorHAnsi"/>
        </w:rPr>
        <w:t>.</w:t>
      </w:r>
    </w:p>
    <w:p w14:paraId="535ADF5E" w14:textId="6B378D72" w:rsidR="00CF2579" w:rsidRDefault="00CF2579" w:rsidP="0068516C">
      <w:pPr>
        <w:pStyle w:val="Heading1"/>
      </w:pPr>
      <w:r>
        <w:t>Acknowledgements</w:t>
      </w:r>
    </w:p>
    <w:p w14:paraId="02814649" w14:textId="77777777" w:rsidR="00CF2579" w:rsidRDefault="00CF2579" w:rsidP="00BB1141">
      <w:pPr>
        <w:rPr>
          <w:rFonts w:asciiTheme="minorHAnsi" w:hAnsiTheme="minorHAnsi" w:cstheme="minorHAnsi"/>
        </w:rPr>
      </w:pPr>
      <w:r>
        <w:rPr>
          <w:rFonts w:asciiTheme="minorHAnsi" w:hAnsiTheme="minorHAnsi" w:cstheme="minorHAnsi"/>
        </w:rPr>
        <w:t xml:space="preserve">The inaugural Indigenous Business Sector Snapshot Study was made possible by the contributions of a wide range of individuals, partners, Indigenous business data custodians and communities. </w:t>
      </w:r>
    </w:p>
    <w:p w14:paraId="140A1944" w14:textId="43FF2425" w:rsidR="00CF2579" w:rsidRDefault="00CF2579" w:rsidP="00BB1141">
      <w:pPr>
        <w:rPr>
          <w:rFonts w:asciiTheme="minorHAnsi" w:hAnsiTheme="minorHAnsi" w:cstheme="minorHAnsi"/>
        </w:rPr>
      </w:pPr>
    </w:p>
    <w:p w14:paraId="489D3179" w14:textId="77777777" w:rsidR="00F0530B" w:rsidRPr="00BB1141" w:rsidRDefault="00F0530B" w:rsidP="00F0530B">
      <w:pPr>
        <w:rPr>
          <w:rFonts w:asciiTheme="minorHAnsi" w:hAnsiTheme="minorHAnsi" w:cstheme="minorHAnsi"/>
        </w:rPr>
      </w:pPr>
      <w:r w:rsidRPr="00BB1141">
        <w:rPr>
          <w:rFonts w:asciiTheme="minorHAnsi" w:hAnsiTheme="minorHAnsi" w:cstheme="minorHAnsi"/>
        </w:rPr>
        <w:t>An integral part to this research journey was the initiation of a formal partnership with the Australian Bureau of Statistics (ABS) to develop an Indigenous dataset for their Business Longitudinal Analysis Data Environment (BLADE).</w:t>
      </w:r>
      <w:r>
        <w:rPr>
          <w:rFonts w:asciiTheme="minorHAnsi" w:hAnsiTheme="minorHAnsi" w:cstheme="minorHAnsi"/>
        </w:rPr>
        <w:t xml:space="preserve"> Together we have made a commitment to the ongoing development of the data and to upholding the Indigenous data sovereignty of the data custodians.</w:t>
      </w:r>
      <w:r w:rsidRPr="00BB1141">
        <w:rPr>
          <w:rFonts w:asciiTheme="minorHAnsi" w:hAnsiTheme="minorHAnsi" w:cstheme="minorHAnsi"/>
        </w:rPr>
        <w:t xml:space="preserve"> </w:t>
      </w:r>
    </w:p>
    <w:p w14:paraId="2E1A78E8" w14:textId="77777777" w:rsidR="00F0530B" w:rsidRDefault="00F0530B" w:rsidP="00BB1141">
      <w:pPr>
        <w:rPr>
          <w:rFonts w:asciiTheme="minorHAnsi" w:hAnsiTheme="minorHAnsi" w:cstheme="minorHAnsi"/>
        </w:rPr>
      </w:pPr>
    </w:p>
    <w:p w14:paraId="38409E15" w14:textId="1D5DBB58" w:rsidR="00BB1141" w:rsidRPr="00BB1141" w:rsidRDefault="00CF2579" w:rsidP="00BB1141">
      <w:pPr>
        <w:rPr>
          <w:rFonts w:asciiTheme="minorHAnsi" w:hAnsiTheme="minorHAnsi" w:cstheme="minorHAnsi"/>
        </w:rPr>
      </w:pPr>
      <w:r>
        <w:rPr>
          <w:rFonts w:asciiTheme="minorHAnsi" w:hAnsiTheme="minorHAnsi" w:cstheme="minorHAnsi"/>
        </w:rPr>
        <w:t xml:space="preserve">The Indigenous Business Research Group is especially grateful to the </w:t>
      </w:r>
      <w:r w:rsidR="00A92555">
        <w:rPr>
          <w:rFonts w:asciiTheme="minorHAnsi" w:hAnsiTheme="minorHAnsi" w:cstheme="minorHAnsi"/>
        </w:rPr>
        <w:t>support of our r</w:t>
      </w:r>
      <w:r w:rsidR="008E3AA7" w:rsidRPr="008E3AA7">
        <w:rPr>
          <w:rFonts w:asciiTheme="minorHAnsi" w:hAnsiTheme="minorHAnsi" w:cstheme="minorHAnsi"/>
        </w:rPr>
        <w:t xml:space="preserve">esearch partners National Indigenous Australians Agency, Supply Nation, BP Australia (Ironbark JV), BHP, FMG, Crown Resorts Limited, Minerals Council of Australia, Industry Capability Network Limited, </w:t>
      </w:r>
      <w:r w:rsidR="00F0530B">
        <w:rPr>
          <w:rFonts w:asciiTheme="minorHAnsi" w:hAnsiTheme="minorHAnsi" w:cstheme="minorHAnsi"/>
        </w:rPr>
        <w:t xml:space="preserve">and the </w:t>
      </w:r>
      <w:r w:rsidR="008E3AA7" w:rsidRPr="008E3AA7">
        <w:rPr>
          <w:rFonts w:asciiTheme="minorHAnsi" w:hAnsiTheme="minorHAnsi" w:cstheme="minorHAnsi"/>
        </w:rPr>
        <w:t>Office of Registrar of Indigenous Corporations have supported the development of this research</w:t>
      </w:r>
      <w:r w:rsidR="008E3AA7">
        <w:rPr>
          <w:rFonts w:asciiTheme="minorHAnsi" w:hAnsiTheme="minorHAnsi" w:cstheme="minorHAnsi"/>
        </w:rPr>
        <w:t xml:space="preserve">. Our research partners </w:t>
      </w:r>
      <w:r w:rsidR="008E3AA7" w:rsidRPr="008E3AA7">
        <w:rPr>
          <w:rFonts w:asciiTheme="minorHAnsi" w:hAnsiTheme="minorHAnsi" w:cstheme="minorHAnsi"/>
        </w:rPr>
        <w:t>value an empirical evaluation of the Indigenous preferential procurement and its impact on the growth of the Indigenous business sector.</w:t>
      </w:r>
    </w:p>
    <w:p w14:paraId="21FD579C" w14:textId="77777777" w:rsidR="00BB1141" w:rsidRPr="00BB1141" w:rsidRDefault="00BB1141" w:rsidP="00BB1141">
      <w:pPr>
        <w:rPr>
          <w:rFonts w:asciiTheme="minorHAnsi" w:hAnsiTheme="minorHAnsi" w:cstheme="minorHAnsi"/>
        </w:rPr>
      </w:pPr>
    </w:p>
    <w:p w14:paraId="0B2450F1" w14:textId="65874A23" w:rsidR="00BB1141" w:rsidRDefault="00F0530B" w:rsidP="00BB1141">
      <w:pPr>
        <w:rPr>
          <w:rFonts w:asciiTheme="minorHAnsi" w:hAnsiTheme="minorHAnsi" w:cstheme="minorHAnsi"/>
        </w:rPr>
      </w:pPr>
      <w:r>
        <w:rPr>
          <w:rFonts w:asciiTheme="minorHAnsi" w:hAnsiTheme="minorHAnsi" w:cstheme="minorHAnsi"/>
        </w:rPr>
        <w:t xml:space="preserve">We are appreciative of academic colleagues who have provided generous and expert feedback across the long development period of the data and analysis represented in this report. We wish to publicly thank Professor Paul Jensen, Professor Boyd Hunter, Professor Beth Webster, Professor </w:t>
      </w:r>
      <w:proofErr w:type="spellStart"/>
      <w:r>
        <w:rPr>
          <w:rFonts w:asciiTheme="minorHAnsi" w:hAnsiTheme="minorHAnsi" w:cstheme="minorHAnsi"/>
        </w:rPr>
        <w:t>Alfons</w:t>
      </w:r>
      <w:proofErr w:type="spellEnd"/>
      <w:r>
        <w:rPr>
          <w:rFonts w:asciiTheme="minorHAnsi" w:hAnsiTheme="minorHAnsi" w:cstheme="minorHAnsi"/>
        </w:rPr>
        <w:t xml:space="preserve"> </w:t>
      </w:r>
      <w:proofErr w:type="spellStart"/>
      <w:r>
        <w:rPr>
          <w:rFonts w:asciiTheme="minorHAnsi" w:hAnsiTheme="minorHAnsi" w:cstheme="minorHAnsi"/>
        </w:rPr>
        <w:t>Palangkaraya</w:t>
      </w:r>
      <w:proofErr w:type="spellEnd"/>
      <w:r>
        <w:rPr>
          <w:rFonts w:asciiTheme="minorHAnsi" w:hAnsiTheme="minorHAnsi" w:cstheme="minorHAnsi"/>
        </w:rPr>
        <w:t>, Professor Dennis Foley, and Dr Victor Sojo</w:t>
      </w:r>
      <w:r w:rsidR="0030301B">
        <w:rPr>
          <w:rFonts w:asciiTheme="minorHAnsi" w:hAnsiTheme="minorHAnsi" w:cstheme="minorHAnsi"/>
        </w:rPr>
        <w:t>.</w:t>
      </w:r>
    </w:p>
    <w:p w14:paraId="524A3576" w14:textId="03F1DB05" w:rsidR="0030301B" w:rsidRPr="00D2373B" w:rsidRDefault="0030301B" w:rsidP="00BB1141">
      <w:pPr>
        <w:rPr>
          <w:rFonts w:asciiTheme="minorHAnsi" w:hAnsiTheme="minorHAnsi" w:cstheme="minorHAnsi"/>
          <w:b/>
          <w:bCs/>
        </w:rPr>
      </w:pPr>
    </w:p>
    <w:p w14:paraId="67E4517A" w14:textId="3D5A74D1" w:rsidR="00B06B1A" w:rsidRPr="00D2373B" w:rsidRDefault="0030301B" w:rsidP="00BB1141">
      <w:pPr>
        <w:rPr>
          <w:rFonts w:asciiTheme="minorHAnsi" w:hAnsiTheme="minorHAnsi" w:cstheme="minorHAnsi"/>
          <w:b/>
          <w:bCs/>
        </w:rPr>
      </w:pPr>
      <w:r w:rsidRPr="00D2373B">
        <w:rPr>
          <w:rFonts w:asciiTheme="minorHAnsi" w:hAnsiTheme="minorHAnsi" w:cstheme="minorHAnsi"/>
          <w:b/>
          <w:bCs/>
        </w:rPr>
        <w:t>This report would not have been possible without the contribution of Indigenous business owners who made a decision to make their enterprise visible by listing it. We thank you for your leadership and contribution to this important initiative.</w:t>
      </w:r>
    </w:p>
    <w:p w14:paraId="52403AC9" w14:textId="051C0817" w:rsidR="00975762" w:rsidRDefault="00975762" w:rsidP="00BB1141">
      <w:pPr>
        <w:rPr>
          <w:rFonts w:asciiTheme="minorHAnsi" w:hAnsiTheme="minorHAnsi" w:cstheme="minorHAnsi"/>
        </w:rPr>
      </w:pPr>
    </w:p>
    <w:p w14:paraId="02D431A8" w14:textId="77777777" w:rsidR="00975762" w:rsidRDefault="00975762" w:rsidP="00975762">
      <w:pPr>
        <w:pStyle w:val="Heading2"/>
      </w:pPr>
      <w:r>
        <w:t>What follows</w:t>
      </w:r>
    </w:p>
    <w:p w14:paraId="2181BA66" w14:textId="53B41250" w:rsidR="00975762" w:rsidRPr="00BB1141" w:rsidRDefault="00975762" w:rsidP="00975762">
      <w:pPr>
        <w:rPr>
          <w:rFonts w:asciiTheme="minorHAnsi" w:hAnsiTheme="minorHAnsi" w:cstheme="minorHAnsi"/>
        </w:rPr>
      </w:pPr>
      <w:r w:rsidRPr="00BB1141">
        <w:rPr>
          <w:rFonts w:asciiTheme="minorHAnsi" w:hAnsiTheme="minorHAnsi" w:cstheme="minorHAnsi"/>
        </w:rPr>
        <w:t>The Snapshot Study is presented over f</w:t>
      </w:r>
      <w:r w:rsidR="004E260F">
        <w:rPr>
          <w:rFonts w:asciiTheme="minorHAnsi" w:hAnsiTheme="minorHAnsi" w:cstheme="minorHAnsi"/>
        </w:rPr>
        <w:t>ive</w:t>
      </w:r>
      <w:r w:rsidRPr="00BB1141">
        <w:rPr>
          <w:rFonts w:asciiTheme="minorHAnsi" w:hAnsiTheme="minorHAnsi" w:cstheme="minorHAnsi"/>
        </w:rPr>
        <w:t xml:space="preserve"> sections – </w:t>
      </w:r>
      <w:r w:rsidR="00DB7399">
        <w:rPr>
          <w:rFonts w:asciiTheme="minorHAnsi" w:hAnsiTheme="minorHAnsi" w:cstheme="minorHAnsi"/>
        </w:rPr>
        <w:t>(</w:t>
      </w:r>
      <w:proofErr w:type="spellStart"/>
      <w:r w:rsidR="00DB7399">
        <w:rPr>
          <w:rFonts w:asciiTheme="minorHAnsi" w:hAnsiTheme="minorHAnsi" w:cstheme="minorHAnsi"/>
        </w:rPr>
        <w:t>i</w:t>
      </w:r>
      <w:proofErr w:type="spellEnd"/>
      <w:r w:rsidR="00DB7399">
        <w:rPr>
          <w:rFonts w:asciiTheme="minorHAnsi" w:hAnsiTheme="minorHAnsi" w:cstheme="minorHAnsi"/>
        </w:rPr>
        <w:t xml:space="preserve">) </w:t>
      </w:r>
      <w:r w:rsidR="004E260F">
        <w:rPr>
          <w:rFonts w:asciiTheme="minorHAnsi" w:hAnsiTheme="minorHAnsi" w:cstheme="minorHAnsi"/>
        </w:rPr>
        <w:t xml:space="preserve">establishing I-BLADE, </w:t>
      </w:r>
      <w:r w:rsidR="00DB7399">
        <w:rPr>
          <w:rFonts w:asciiTheme="minorHAnsi" w:hAnsiTheme="minorHAnsi" w:cstheme="minorHAnsi"/>
        </w:rPr>
        <w:t xml:space="preserve">(ii) </w:t>
      </w:r>
      <w:r w:rsidRPr="00BB1141">
        <w:rPr>
          <w:rFonts w:asciiTheme="minorHAnsi" w:hAnsiTheme="minorHAnsi" w:cstheme="minorHAnsi"/>
        </w:rPr>
        <w:t>Breadth</w:t>
      </w:r>
      <w:r w:rsidR="004E260F">
        <w:rPr>
          <w:rFonts w:asciiTheme="minorHAnsi" w:hAnsiTheme="minorHAnsi" w:cstheme="minorHAnsi"/>
        </w:rPr>
        <w:t xml:space="preserve">, </w:t>
      </w:r>
      <w:r w:rsidR="00DB7399">
        <w:rPr>
          <w:rFonts w:asciiTheme="minorHAnsi" w:hAnsiTheme="minorHAnsi" w:cstheme="minorHAnsi"/>
        </w:rPr>
        <w:t xml:space="preserve">(iii) </w:t>
      </w:r>
      <w:r w:rsidRPr="00BB1141">
        <w:rPr>
          <w:rFonts w:asciiTheme="minorHAnsi" w:hAnsiTheme="minorHAnsi" w:cstheme="minorHAnsi"/>
        </w:rPr>
        <w:t xml:space="preserve">Diversity, </w:t>
      </w:r>
      <w:r w:rsidR="00DB7399">
        <w:rPr>
          <w:rFonts w:asciiTheme="minorHAnsi" w:hAnsiTheme="minorHAnsi" w:cstheme="minorHAnsi"/>
        </w:rPr>
        <w:t xml:space="preserve">(iv) </w:t>
      </w:r>
      <w:r w:rsidRPr="00BB1141">
        <w:rPr>
          <w:rFonts w:asciiTheme="minorHAnsi" w:hAnsiTheme="minorHAnsi" w:cstheme="minorHAnsi"/>
        </w:rPr>
        <w:t xml:space="preserve">Impact and </w:t>
      </w:r>
      <w:r w:rsidR="00DB7399">
        <w:rPr>
          <w:rFonts w:asciiTheme="minorHAnsi" w:hAnsiTheme="minorHAnsi" w:cstheme="minorHAnsi"/>
        </w:rPr>
        <w:t xml:space="preserve">(v) </w:t>
      </w:r>
      <w:r>
        <w:rPr>
          <w:rFonts w:asciiTheme="minorHAnsi" w:hAnsiTheme="minorHAnsi" w:cstheme="minorHAnsi"/>
        </w:rPr>
        <w:t>Future Developments</w:t>
      </w:r>
      <w:r w:rsidR="00D07871">
        <w:rPr>
          <w:rFonts w:asciiTheme="minorHAnsi" w:hAnsiTheme="minorHAnsi" w:cstheme="minorHAnsi"/>
        </w:rPr>
        <w:t xml:space="preserve"> of I-BLADE</w:t>
      </w:r>
      <w:r w:rsidRPr="00BB1141">
        <w:rPr>
          <w:rFonts w:asciiTheme="minorHAnsi" w:hAnsiTheme="minorHAnsi" w:cstheme="minorHAnsi"/>
        </w:rPr>
        <w:t>. These f</w:t>
      </w:r>
      <w:r w:rsidR="004E260F">
        <w:rPr>
          <w:rFonts w:asciiTheme="minorHAnsi" w:hAnsiTheme="minorHAnsi" w:cstheme="minorHAnsi"/>
        </w:rPr>
        <w:t>ive</w:t>
      </w:r>
      <w:r w:rsidRPr="00BB1141">
        <w:rPr>
          <w:rFonts w:asciiTheme="minorHAnsi" w:hAnsiTheme="minorHAnsi" w:cstheme="minorHAnsi"/>
        </w:rPr>
        <w:t xml:space="preserve"> sections aim to provide the best empirical overview of the Indigenous business sector available today. Over the coming years, the Indigenous Business Research Group aims to continue collaborating with Indigenous business data custodians and the ABS to collectively </w:t>
      </w:r>
      <w:r w:rsidR="004E260F">
        <w:rPr>
          <w:rFonts w:asciiTheme="minorHAnsi" w:hAnsiTheme="minorHAnsi" w:cstheme="minorHAnsi"/>
        </w:rPr>
        <w:t>develop greater</w:t>
      </w:r>
      <w:r w:rsidRPr="00BB1141">
        <w:rPr>
          <w:rFonts w:asciiTheme="minorHAnsi" w:hAnsiTheme="minorHAnsi" w:cstheme="minorHAnsi"/>
        </w:rPr>
        <w:t xml:space="preserve"> data richness and overcome the limitations of the</w:t>
      </w:r>
      <w:r w:rsidR="004E260F">
        <w:rPr>
          <w:rFonts w:asciiTheme="minorHAnsi" w:hAnsiTheme="minorHAnsi" w:cstheme="minorHAnsi"/>
        </w:rPr>
        <w:t xml:space="preserve"> first wave of</w:t>
      </w:r>
      <w:r w:rsidRPr="00BB1141">
        <w:rPr>
          <w:rFonts w:asciiTheme="minorHAnsi" w:hAnsiTheme="minorHAnsi" w:cstheme="minorHAnsi"/>
        </w:rPr>
        <w:t xml:space="preserve"> I</w:t>
      </w:r>
      <w:r>
        <w:rPr>
          <w:rFonts w:asciiTheme="minorHAnsi" w:hAnsiTheme="minorHAnsi" w:cstheme="minorHAnsi"/>
        </w:rPr>
        <w:t>-</w:t>
      </w:r>
      <w:r w:rsidRPr="00BB1141">
        <w:rPr>
          <w:rFonts w:asciiTheme="minorHAnsi" w:hAnsiTheme="minorHAnsi" w:cstheme="minorHAnsi"/>
        </w:rPr>
        <w:t>BLADE.</w:t>
      </w:r>
    </w:p>
    <w:p w14:paraId="08D88FA9" w14:textId="77777777" w:rsidR="00975762" w:rsidRPr="00BB1141" w:rsidRDefault="00975762" w:rsidP="00975762">
      <w:pPr>
        <w:rPr>
          <w:rFonts w:asciiTheme="minorHAnsi" w:hAnsiTheme="minorHAnsi" w:cstheme="minorHAnsi"/>
        </w:rPr>
      </w:pPr>
    </w:p>
    <w:p w14:paraId="219AB9B0" w14:textId="588DD414" w:rsidR="00C3252B" w:rsidRPr="00356D82" w:rsidRDefault="00975762" w:rsidP="0072340D">
      <w:pPr>
        <w:rPr>
          <w:rFonts w:asciiTheme="minorHAnsi" w:hAnsiTheme="minorHAnsi" w:cstheme="minorHAnsi"/>
        </w:rPr>
      </w:pPr>
      <w:r w:rsidRPr="00BB1141">
        <w:rPr>
          <w:rFonts w:asciiTheme="minorHAnsi" w:hAnsiTheme="minorHAnsi" w:cstheme="minorHAnsi"/>
        </w:rPr>
        <w:t xml:space="preserve">We look forward to an ongoing dialogue with the Indigenous business sector including stakeholders invested in the development of growth of the sector. </w:t>
      </w:r>
      <w:r>
        <w:rPr>
          <w:rFonts w:asciiTheme="minorHAnsi" w:hAnsiTheme="minorHAnsi" w:cstheme="minorHAnsi"/>
        </w:rPr>
        <w:t>C</w:t>
      </w:r>
      <w:r w:rsidRPr="00BB1141">
        <w:rPr>
          <w:rFonts w:asciiTheme="minorHAnsi" w:hAnsiTheme="minorHAnsi" w:cstheme="minorHAnsi"/>
        </w:rPr>
        <w:t>ontact us a</w:t>
      </w:r>
      <w:r>
        <w:rPr>
          <w:rFonts w:asciiTheme="minorHAnsi" w:hAnsiTheme="minorHAnsi" w:cstheme="minorHAnsi"/>
        </w:rPr>
        <w:t xml:space="preserve">t </w:t>
      </w:r>
      <w:hyperlink r:id="rId11" w:history="1">
        <w:r w:rsidRPr="00B31520">
          <w:rPr>
            <w:rStyle w:val="Hyperlink"/>
            <w:rFonts w:asciiTheme="minorHAnsi" w:hAnsiTheme="minorHAnsi" w:cstheme="minorHAnsi"/>
          </w:rPr>
          <w:t>cibl.research@unimelb.edu.au</w:t>
        </w:r>
      </w:hyperlink>
      <w:r w:rsidRPr="00BB1141">
        <w:rPr>
          <w:rFonts w:asciiTheme="minorHAnsi" w:hAnsiTheme="minorHAnsi" w:cstheme="minorHAnsi"/>
        </w:rPr>
        <w:t xml:space="preserve"> </w:t>
      </w:r>
    </w:p>
    <w:p w14:paraId="6C8DC572" w14:textId="77777777" w:rsidR="00C3252B" w:rsidRDefault="00C3252B" w:rsidP="0072340D"/>
    <w:p w14:paraId="41586784" w14:textId="47D25EDB" w:rsidR="00B06B1A" w:rsidRPr="0072340D" w:rsidRDefault="00B06B1A" w:rsidP="0072340D">
      <w:pPr>
        <w:rPr>
          <w:rFonts w:asciiTheme="majorHAnsi" w:eastAsiaTheme="majorEastAsia" w:hAnsiTheme="majorHAnsi" w:cstheme="majorBidi"/>
          <w:color w:val="2F5496" w:themeColor="accent1" w:themeShade="BF"/>
          <w:sz w:val="32"/>
          <w:szCs w:val="32"/>
        </w:rPr>
      </w:pPr>
      <w:r w:rsidRPr="0072340D">
        <w:rPr>
          <w:rStyle w:val="Heading2Char"/>
        </w:rPr>
        <w:t>Indigenous Business Longitudinal Analysis Data Environment (I-BLADE)</w:t>
      </w:r>
    </w:p>
    <w:p w14:paraId="62FDB2C6" w14:textId="540DF12F" w:rsidR="00867A1F" w:rsidRDefault="00B06B1A" w:rsidP="00B06B1A">
      <w:pPr>
        <w:jc w:val="both"/>
        <w:rPr>
          <w:rFonts w:asciiTheme="minorHAnsi" w:hAnsiTheme="minorHAnsi" w:cstheme="minorHAnsi"/>
        </w:rPr>
      </w:pPr>
      <w:r w:rsidRPr="00B06B1A">
        <w:rPr>
          <w:rFonts w:asciiTheme="minorHAnsi" w:hAnsiTheme="minorHAnsi" w:cstheme="minorHAnsi"/>
        </w:rPr>
        <w:t xml:space="preserve">The objective of I-BLADE is to generate a perpetual longitudinal dataset that tracks all </w:t>
      </w:r>
      <w:r w:rsidRPr="00CE315D">
        <w:rPr>
          <w:rFonts w:asciiTheme="minorHAnsi" w:hAnsiTheme="minorHAnsi" w:cstheme="minorHAnsi"/>
          <w:b/>
          <w:bCs/>
        </w:rPr>
        <w:t>Indigenous businesses</w:t>
      </w:r>
      <w:r w:rsidR="00934A32" w:rsidRPr="00CE315D">
        <w:rPr>
          <w:rFonts w:asciiTheme="minorHAnsi" w:hAnsiTheme="minorHAnsi" w:cstheme="minorHAnsi"/>
          <w:b/>
          <w:bCs/>
        </w:rPr>
        <w:t xml:space="preserve">, defined by having at least </w:t>
      </w:r>
      <w:r w:rsidRPr="00CE315D">
        <w:rPr>
          <w:rFonts w:asciiTheme="minorHAnsi" w:hAnsiTheme="minorHAnsi" w:cstheme="minorHAnsi"/>
          <w:b/>
          <w:bCs/>
        </w:rPr>
        <w:t>50% ownership</w:t>
      </w:r>
      <w:r w:rsidR="006B6BB1" w:rsidRPr="00CE315D">
        <w:rPr>
          <w:rFonts w:asciiTheme="minorHAnsi" w:hAnsiTheme="minorHAnsi" w:cstheme="minorHAnsi"/>
          <w:b/>
          <w:bCs/>
        </w:rPr>
        <w:t>, including corporations</w:t>
      </w:r>
      <w:r w:rsidR="006B6BB1">
        <w:rPr>
          <w:rFonts w:asciiTheme="minorHAnsi" w:hAnsiTheme="minorHAnsi" w:cstheme="minorHAnsi"/>
        </w:rPr>
        <w:t>,</w:t>
      </w:r>
      <w:r w:rsidRPr="00B06B1A">
        <w:rPr>
          <w:rFonts w:asciiTheme="minorHAnsi" w:hAnsiTheme="minorHAnsi" w:cstheme="minorHAnsi"/>
        </w:rPr>
        <w:t xml:space="preserve"> over time. </w:t>
      </w:r>
      <w:r w:rsidR="009C5BB8">
        <w:rPr>
          <w:rFonts w:asciiTheme="minorHAnsi" w:hAnsiTheme="minorHAnsi" w:cstheme="minorHAnsi"/>
        </w:rPr>
        <w:t>Th</w:t>
      </w:r>
      <w:r w:rsidR="00E5685A">
        <w:rPr>
          <w:rFonts w:asciiTheme="minorHAnsi" w:hAnsiTheme="minorHAnsi" w:cstheme="minorHAnsi"/>
        </w:rPr>
        <w:t>is</w:t>
      </w:r>
      <w:r w:rsidR="000B36DB">
        <w:rPr>
          <w:rFonts w:asciiTheme="minorHAnsi" w:hAnsiTheme="minorHAnsi" w:cstheme="minorHAnsi"/>
        </w:rPr>
        <w:t xml:space="preserve"> </w:t>
      </w:r>
      <w:r w:rsidR="00934A32">
        <w:rPr>
          <w:rFonts w:asciiTheme="minorHAnsi" w:hAnsiTheme="minorHAnsi" w:cstheme="minorHAnsi"/>
        </w:rPr>
        <w:t xml:space="preserve">definition </w:t>
      </w:r>
      <w:r w:rsidR="000B36DB">
        <w:rPr>
          <w:rFonts w:asciiTheme="minorHAnsi" w:hAnsiTheme="minorHAnsi" w:cstheme="minorHAnsi"/>
        </w:rPr>
        <w:t xml:space="preserve">of an Indigenous business </w:t>
      </w:r>
      <w:r w:rsidR="00934A32">
        <w:rPr>
          <w:rFonts w:asciiTheme="minorHAnsi" w:hAnsiTheme="minorHAnsi" w:cstheme="minorHAnsi"/>
        </w:rPr>
        <w:t xml:space="preserve">is consistent with that used by the </w:t>
      </w:r>
      <w:r w:rsidR="008204D6">
        <w:rPr>
          <w:rFonts w:asciiTheme="minorHAnsi" w:hAnsiTheme="minorHAnsi" w:cstheme="minorHAnsi"/>
        </w:rPr>
        <w:t>National Indigenous Australian Agency (NIAA):</w:t>
      </w:r>
    </w:p>
    <w:p w14:paraId="2139B919" w14:textId="3E7EAE01" w:rsidR="00867A1F" w:rsidRDefault="00867A1F" w:rsidP="00B06B1A">
      <w:pPr>
        <w:jc w:val="both"/>
        <w:rPr>
          <w:rFonts w:asciiTheme="minorHAnsi" w:hAnsiTheme="minorHAnsi" w:cstheme="minorHAnsi"/>
        </w:rPr>
      </w:pPr>
    </w:p>
    <w:p w14:paraId="1CE61F80" w14:textId="000DE280" w:rsidR="00867A1F" w:rsidRPr="00E86D9C" w:rsidRDefault="00867A1F" w:rsidP="008204D6">
      <w:pPr>
        <w:ind w:left="284"/>
        <w:jc w:val="both"/>
        <w:rPr>
          <w:rFonts w:asciiTheme="minorHAnsi" w:hAnsiTheme="minorHAnsi" w:cstheme="minorHAnsi"/>
        </w:rPr>
      </w:pPr>
      <w:r w:rsidRPr="00E86D9C">
        <w:rPr>
          <w:rFonts w:asciiTheme="minorHAnsi" w:hAnsiTheme="minorHAnsi" w:cstheme="minorHAnsi"/>
          <w:i/>
          <w:iCs/>
        </w:rPr>
        <w:t>Indigenous enterprise means an organisation, operating a business, that is 50 per cent or more Indigenous owned. It may take the form of a company, incorporated association or trust. A social enterprise or registered charity may also be an Indigenous enterprise if it is operating a business</w:t>
      </w:r>
      <w:r w:rsidR="00E86D9C">
        <w:rPr>
          <w:rFonts w:asciiTheme="minorHAnsi" w:hAnsiTheme="minorHAnsi" w:cstheme="minorHAnsi"/>
          <w:i/>
          <w:iCs/>
        </w:rPr>
        <w:t xml:space="preserve"> </w:t>
      </w:r>
      <w:r w:rsidR="00E86D9C">
        <w:rPr>
          <w:rFonts w:asciiTheme="minorHAnsi" w:hAnsiTheme="minorHAnsi" w:cstheme="minorHAnsi"/>
        </w:rPr>
        <w:t>(NIAA</w:t>
      </w:r>
      <w:r w:rsidR="00037C3D">
        <w:rPr>
          <w:rFonts w:asciiTheme="minorHAnsi" w:hAnsiTheme="minorHAnsi" w:cstheme="minorHAnsi"/>
        </w:rPr>
        <w:t>,</w:t>
      </w:r>
      <w:r w:rsidR="00E86D9C">
        <w:rPr>
          <w:rFonts w:asciiTheme="minorHAnsi" w:hAnsiTheme="minorHAnsi" w:cstheme="minorHAnsi"/>
        </w:rPr>
        <w:t xml:space="preserve"> </w:t>
      </w:r>
      <w:r w:rsidR="00934232">
        <w:rPr>
          <w:rFonts w:asciiTheme="minorHAnsi" w:hAnsiTheme="minorHAnsi" w:cstheme="minorHAnsi"/>
        </w:rPr>
        <w:t>2020, p. 4)</w:t>
      </w:r>
    </w:p>
    <w:p w14:paraId="6B426359" w14:textId="77777777" w:rsidR="008934DB" w:rsidRDefault="008934DB" w:rsidP="00B06B1A">
      <w:pPr>
        <w:jc w:val="both"/>
        <w:rPr>
          <w:rFonts w:asciiTheme="minorHAnsi" w:hAnsiTheme="minorHAnsi" w:cstheme="minorHAnsi"/>
        </w:rPr>
      </w:pPr>
    </w:p>
    <w:p w14:paraId="083D4A27" w14:textId="247D7C72" w:rsidR="0082066E" w:rsidRDefault="00DA36AA" w:rsidP="00B06B1A">
      <w:pPr>
        <w:jc w:val="both"/>
        <w:rPr>
          <w:rFonts w:asciiTheme="minorHAnsi" w:hAnsiTheme="minorHAnsi" w:cstheme="minorHAnsi"/>
        </w:rPr>
      </w:pPr>
      <w:r>
        <w:rPr>
          <w:rFonts w:asciiTheme="minorHAnsi" w:hAnsiTheme="minorHAnsi" w:cstheme="minorHAnsi"/>
        </w:rPr>
        <w:t>We acknowledge that there is debate about the definition of an Indigenous business</w:t>
      </w:r>
      <w:r w:rsidR="0062060E">
        <w:rPr>
          <w:rFonts w:asciiTheme="minorHAnsi" w:hAnsiTheme="minorHAnsi" w:cstheme="minorHAnsi"/>
        </w:rPr>
        <w:t>,</w:t>
      </w:r>
      <w:r w:rsidR="007E631F">
        <w:rPr>
          <w:rFonts w:asciiTheme="minorHAnsi" w:hAnsiTheme="minorHAnsi" w:cstheme="minorHAnsi"/>
        </w:rPr>
        <w:t xml:space="preserve"> as articulated by</w:t>
      </w:r>
      <w:r w:rsidR="007E631F" w:rsidRPr="007E631F">
        <w:t xml:space="preserve"> </w:t>
      </w:r>
      <w:r w:rsidR="007E631F" w:rsidRPr="007E631F">
        <w:rPr>
          <w:rFonts w:asciiTheme="minorHAnsi" w:hAnsiTheme="minorHAnsi" w:cstheme="minorHAnsi"/>
        </w:rPr>
        <w:t>Foley</w:t>
      </w:r>
      <w:r w:rsidR="007E631F">
        <w:rPr>
          <w:rFonts w:asciiTheme="minorHAnsi" w:hAnsiTheme="minorHAnsi" w:cstheme="minorHAnsi"/>
        </w:rPr>
        <w:t xml:space="preserve"> </w:t>
      </w:r>
      <w:r w:rsidR="00E47419">
        <w:rPr>
          <w:rFonts w:asciiTheme="minorHAnsi" w:hAnsiTheme="minorHAnsi" w:cstheme="minorHAnsi"/>
        </w:rPr>
        <w:t xml:space="preserve">(2013) </w:t>
      </w:r>
      <w:r w:rsidR="007E631F">
        <w:rPr>
          <w:rFonts w:asciiTheme="minorHAnsi" w:hAnsiTheme="minorHAnsi" w:cstheme="minorHAnsi"/>
        </w:rPr>
        <w:t xml:space="preserve">who </w:t>
      </w:r>
      <w:r w:rsidR="007E631F" w:rsidRPr="007E631F">
        <w:rPr>
          <w:rFonts w:asciiTheme="minorHAnsi" w:hAnsiTheme="minorHAnsi" w:cstheme="minorHAnsi"/>
        </w:rPr>
        <w:t>argues that the definition of an Indigenous business should be directly analogous to the legal and governmental definitions of whether a person is accepted as Indigenous</w:t>
      </w:r>
      <w:r w:rsidR="007E631F">
        <w:rPr>
          <w:rFonts w:asciiTheme="minorHAnsi" w:hAnsiTheme="minorHAnsi" w:cstheme="minorHAnsi"/>
        </w:rPr>
        <w:t>. However</w:t>
      </w:r>
      <w:r w:rsidR="0062060E">
        <w:rPr>
          <w:rFonts w:asciiTheme="minorHAnsi" w:hAnsiTheme="minorHAnsi" w:cstheme="minorHAnsi"/>
        </w:rPr>
        <w:t>,</w:t>
      </w:r>
      <w:r w:rsidR="007E631F">
        <w:rPr>
          <w:rFonts w:asciiTheme="minorHAnsi" w:hAnsiTheme="minorHAnsi" w:cstheme="minorHAnsi"/>
        </w:rPr>
        <w:t xml:space="preserve"> as stated by Shirodkar, Hunter and Foley (2018)</w:t>
      </w:r>
      <w:r w:rsidR="0062060E">
        <w:rPr>
          <w:rFonts w:asciiTheme="minorHAnsi" w:hAnsiTheme="minorHAnsi" w:cstheme="minorHAnsi"/>
        </w:rPr>
        <w:t>,</w:t>
      </w:r>
      <w:r w:rsidR="007E631F">
        <w:rPr>
          <w:rFonts w:asciiTheme="minorHAnsi" w:hAnsiTheme="minorHAnsi" w:cstheme="minorHAnsi"/>
        </w:rPr>
        <w:t xml:space="preserve"> applying this definition to quantitative datasets is inaccessible due to the qualitative processes required to verify Indigenous identity. </w:t>
      </w:r>
      <w:r>
        <w:rPr>
          <w:rFonts w:asciiTheme="minorHAnsi" w:hAnsiTheme="minorHAnsi" w:cstheme="minorHAnsi"/>
        </w:rPr>
        <w:t>In I-BLADE 1.0</w:t>
      </w:r>
      <w:r w:rsidR="00103865">
        <w:rPr>
          <w:rFonts w:asciiTheme="minorHAnsi" w:hAnsiTheme="minorHAnsi" w:cstheme="minorHAnsi"/>
        </w:rPr>
        <w:t>,</w:t>
      </w:r>
      <w:r>
        <w:rPr>
          <w:rFonts w:asciiTheme="minorHAnsi" w:hAnsiTheme="minorHAnsi" w:cstheme="minorHAnsi"/>
        </w:rPr>
        <w:t xml:space="preserve"> we use </w:t>
      </w:r>
      <w:r w:rsidR="00103865">
        <w:rPr>
          <w:rFonts w:asciiTheme="minorHAnsi" w:hAnsiTheme="minorHAnsi" w:cstheme="minorHAnsi"/>
        </w:rPr>
        <w:t xml:space="preserve">the </w:t>
      </w:r>
      <w:r>
        <w:rPr>
          <w:rFonts w:asciiTheme="minorHAnsi" w:hAnsiTheme="minorHAnsi" w:cstheme="minorHAnsi"/>
        </w:rPr>
        <w:t xml:space="preserve">50% ownership </w:t>
      </w:r>
      <w:r w:rsidR="00103865">
        <w:rPr>
          <w:rFonts w:asciiTheme="minorHAnsi" w:hAnsiTheme="minorHAnsi" w:cstheme="minorHAnsi"/>
        </w:rPr>
        <w:t>criterion</w:t>
      </w:r>
      <w:r w:rsidR="00975D44">
        <w:rPr>
          <w:rFonts w:asciiTheme="minorHAnsi" w:hAnsiTheme="minorHAnsi" w:cstheme="minorHAnsi"/>
        </w:rPr>
        <w:t xml:space="preserve">, </w:t>
      </w:r>
      <w:r>
        <w:rPr>
          <w:rFonts w:asciiTheme="minorHAnsi" w:hAnsiTheme="minorHAnsi" w:cstheme="minorHAnsi"/>
        </w:rPr>
        <w:t xml:space="preserve">as this is the generally accepted definition across all </w:t>
      </w:r>
      <w:r w:rsidR="00330FAD">
        <w:rPr>
          <w:rFonts w:asciiTheme="minorHAnsi" w:hAnsiTheme="minorHAnsi" w:cstheme="minorHAnsi"/>
        </w:rPr>
        <w:t>four</w:t>
      </w:r>
      <w:r>
        <w:rPr>
          <w:rFonts w:asciiTheme="minorHAnsi" w:hAnsiTheme="minorHAnsi" w:cstheme="minorHAnsi"/>
        </w:rPr>
        <w:t xml:space="preserve"> business registries.</w:t>
      </w:r>
    </w:p>
    <w:p w14:paraId="1F6A82EF" w14:textId="77777777" w:rsidR="0082066E" w:rsidRDefault="0082066E" w:rsidP="00B06B1A">
      <w:pPr>
        <w:jc w:val="both"/>
        <w:rPr>
          <w:rFonts w:asciiTheme="minorHAnsi" w:hAnsiTheme="minorHAnsi" w:cstheme="minorHAnsi"/>
        </w:rPr>
      </w:pPr>
    </w:p>
    <w:p w14:paraId="748198C4" w14:textId="7CDD25A1" w:rsidR="00B06B1A" w:rsidRPr="00B06B1A" w:rsidRDefault="00B06B1A" w:rsidP="00B06B1A">
      <w:pPr>
        <w:jc w:val="both"/>
        <w:rPr>
          <w:rFonts w:asciiTheme="minorHAnsi" w:hAnsiTheme="minorHAnsi" w:cstheme="minorHAnsi"/>
        </w:rPr>
      </w:pPr>
      <w:r w:rsidRPr="00CE315D">
        <w:rPr>
          <w:rFonts w:asciiTheme="minorHAnsi" w:hAnsiTheme="minorHAnsi" w:cstheme="minorHAnsi"/>
          <w:b/>
          <w:bCs/>
        </w:rPr>
        <w:t>This is an ambitious multi-year project that will involve extensive data development and annual data updates through a partnership involving government, data custodians and researchers.</w:t>
      </w:r>
      <w:r w:rsidRPr="00B06B1A">
        <w:rPr>
          <w:rFonts w:asciiTheme="minorHAnsi" w:hAnsiTheme="minorHAnsi" w:cstheme="minorHAnsi"/>
        </w:rPr>
        <w:t xml:space="preserve"> This section describes the construction of I-BLADE</w:t>
      </w:r>
      <w:r w:rsidR="00DA36AA">
        <w:rPr>
          <w:rFonts w:asciiTheme="minorHAnsi" w:hAnsiTheme="minorHAnsi" w:cstheme="minorHAnsi"/>
        </w:rPr>
        <w:t xml:space="preserve"> 1.0</w:t>
      </w:r>
      <w:r w:rsidRPr="00B06B1A">
        <w:rPr>
          <w:rFonts w:asciiTheme="minorHAnsi" w:hAnsiTheme="minorHAnsi" w:cstheme="minorHAnsi"/>
        </w:rPr>
        <w:t xml:space="preserve">, which is a first step along the path to reaching the objective. </w:t>
      </w:r>
    </w:p>
    <w:p w14:paraId="35FC2F59" w14:textId="77777777" w:rsidR="008934DB" w:rsidRDefault="008934DB" w:rsidP="00B06B1A">
      <w:pPr>
        <w:jc w:val="both"/>
        <w:rPr>
          <w:rFonts w:asciiTheme="minorHAnsi" w:hAnsiTheme="minorHAnsi" w:cstheme="minorHAnsi"/>
        </w:rPr>
      </w:pPr>
    </w:p>
    <w:p w14:paraId="6FDCC7D5" w14:textId="515186A8" w:rsidR="00A379D5" w:rsidRPr="00B06B1A" w:rsidRDefault="00B06B1A" w:rsidP="00A379D5">
      <w:pPr>
        <w:jc w:val="both"/>
        <w:rPr>
          <w:rFonts w:asciiTheme="minorHAnsi" w:hAnsiTheme="minorHAnsi" w:cstheme="minorHAnsi"/>
        </w:rPr>
      </w:pPr>
      <w:r w:rsidRPr="00B06B1A">
        <w:rPr>
          <w:rFonts w:asciiTheme="minorHAnsi" w:hAnsiTheme="minorHAnsi" w:cstheme="minorHAnsi"/>
        </w:rPr>
        <w:t>In I-BLADE</w:t>
      </w:r>
      <w:r w:rsidR="00DA36AA">
        <w:rPr>
          <w:rFonts w:asciiTheme="minorHAnsi" w:hAnsiTheme="minorHAnsi" w:cstheme="minorHAnsi"/>
        </w:rPr>
        <w:t xml:space="preserve"> 1.0</w:t>
      </w:r>
      <w:r w:rsidRPr="00B06B1A">
        <w:rPr>
          <w:rFonts w:asciiTheme="minorHAnsi" w:hAnsiTheme="minorHAnsi" w:cstheme="minorHAnsi"/>
        </w:rPr>
        <w:t xml:space="preserve">, the focus has been on integrating Indigenous business information from </w:t>
      </w:r>
      <w:r w:rsidR="00330FAD">
        <w:rPr>
          <w:rFonts w:asciiTheme="minorHAnsi" w:hAnsiTheme="minorHAnsi" w:cstheme="minorHAnsi"/>
        </w:rPr>
        <w:t>four</w:t>
      </w:r>
      <w:r w:rsidR="00804CB7">
        <w:rPr>
          <w:rFonts w:asciiTheme="minorHAnsi" w:hAnsiTheme="minorHAnsi" w:cstheme="minorHAnsi"/>
        </w:rPr>
        <w:t xml:space="preserve"> </w:t>
      </w:r>
      <w:r w:rsidRPr="00B06B1A">
        <w:rPr>
          <w:rFonts w:asciiTheme="minorHAnsi" w:hAnsiTheme="minorHAnsi" w:cstheme="minorHAnsi"/>
        </w:rPr>
        <w:t>Indigenous business registries</w:t>
      </w:r>
      <w:r w:rsidR="00463F34">
        <w:rPr>
          <w:rFonts w:asciiTheme="minorHAnsi" w:hAnsiTheme="minorHAnsi" w:cstheme="minorHAnsi"/>
        </w:rPr>
        <w:t xml:space="preserve">, that generally require 50% Indigenous ownership for registration, </w:t>
      </w:r>
      <w:r w:rsidRPr="00B06B1A">
        <w:rPr>
          <w:rFonts w:asciiTheme="minorHAnsi" w:hAnsiTheme="minorHAnsi" w:cstheme="minorHAnsi"/>
        </w:rPr>
        <w:t xml:space="preserve">with </w:t>
      </w:r>
      <w:r w:rsidR="008C106A">
        <w:rPr>
          <w:rFonts w:asciiTheme="minorHAnsi" w:hAnsiTheme="minorHAnsi" w:cstheme="minorHAnsi"/>
        </w:rPr>
        <w:t>Australian Taxation Office</w:t>
      </w:r>
      <w:r w:rsidR="00A379D5">
        <w:rPr>
          <w:rFonts w:asciiTheme="minorHAnsi" w:hAnsiTheme="minorHAnsi" w:cstheme="minorHAnsi"/>
        </w:rPr>
        <w:t xml:space="preserve"> (ATO)</w:t>
      </w:r>
      <w:r w:rsidR="008C106A">
        <w:rPr>
          <w:rFonts w:asciiTheme="minorHAnsi" w:hAnsiTheme="minorHAnsi" w:cstheme="minorHAnsi"/>
        </w:rPr>
        <w:t xml:space="preserve"> financial </w:t>
      </w:r>
      <w:r w:rsidR="00A379D5">
        <w:rPr>
          <w:rFonts w:asciiTheme="minorHAnsi" w:hAnsiTheme="minorHAnsi" w:cstheme="minorHAnsi"/>
        </w:rPr>
        <w:t xml:space="preserve">business </w:t>
      </w:r>
      <w:r w:rsidRPr="00B06B1A">
        <w:rPr>
          <w:rFonts w:asciiTheme="minorHAnsi" w:hAnsiTheme="minorHAnsi" w:cstheme="minorHAnsi"/>
        </w:rPr>
        <w:t xml:space="preserve">data </w:t>
      </w:r>
      <w:r w:rsidR="00A379D5">
        <w:rPr>
          <w:rFonts w:asciiTheme="minorHAnsi" w:hAnsiTheme="minorHAnsi" w:cstheme="minorHAnsi"/>
        </w:rPr>
        <w:t xml:space="preserve">known as </w:t>
      </w:r>
      <w:r w:rsidRPr="00B06B1A">
        <w:rPr>
          <w:rFonts w:asciiTheme="minorHAnsi" w:hAnsiTheme="minorHAnsi" w:cstheme="minorHAnsi"/>
        </w:rPr>
        <w:t>Business Longitudinal Analysis Data Environment (BLADE)</w:t>
      </w:r>
      <w:r w:rsidR="00A379D5">
        <w:rPr>
          <w:rFonts w:asciiTheme="minorHAnsi" w:hAnsiTheme="minorHAnsi" w:cstheme="minorHAnsi"/>
        </w:rPr>
        <w:t xml:space="preserve"> that is compiled and warehoused by the ABS</w:t>
      </w:r>
      <w:r w:rsidRPr="00B06B1A">
        <w:rPr>
          <w:rFonts w:asciiTheme="minorHAnsi" w:hAnsiTheme="minorHAnsi" w:cstheme="minorHAnsi"/>
        </w:rPr>
        <w:t xml:space="preserve">. </w:t>
      </w:r>
      <w:r w:rsidR="00A379D5" w:rsidRPr="00B06B1A">
        <w:rPr>
          <w:rFonts w:asciiTheme="minorHAnsi" w:hAnsiTheme="minorHAnsi" w:cstheme="minorHAnsi"/>
        </w:rPr>
        <w:t>The core BLADE includes annual financial information from the following</w:t>
      </w:r>
      <w:r w:rsidR="00A379D5">
        <w:rPr>
          <w:rFonts w:asciiTheme="minorHAnsi" w:hAnsiTheme="minorHAnsi" w:cstheme="minorHAnsi"/>
        </w:rPr>
        <w:t xml:space="preserve"> ATO</w:t>
      </w:r>
      <w:r w:rsidR="00A379D5" w:rsidRPr="00B06B1A">
        <w:rPr>
          <w:rFonts w:asciiTheme="minorHAnsi" w:hAnsiTheme="minorHAnsi" w:cstheme="minorHAnsi"/>
        </w:rPr>
        <w:t xml:space="preserve"> sources:</w:t>
      </w:r>
    </w:p>
    <w:p w14:paraId="03EB231B" w14:textId="77777777" w:rsidR="00A379D5" w:rsidRPr="00B06B1A" w:rsidRDefault="00A379D5" w:rsidP="00A379D5">
      <w:pPr>
        <w:pStyle w:val="ListParagraph"/>
        <w:numPr>
          <w:ilvl w:val="0"/>
          <w:numId w:val="4"/>
        </w:numPr>
        <w:spacing w:after="160" w:line="259" w:lineRule="auto"/>
        <w:jc w:val="both"/>
        <w:rPr>
          <w:rFonts w:asciiTheme="minorHAnsi" w:hAnsiTheme="minorHAnsi" w:cstheme="minorHAnsi"/>
        </w:rPr>
      </w:pPr>
      <w:r w:rsidRPr="00B06B1A">
        <w:rPr>
          <w:rFonts w:asciiTheme="minorHAnsi" w:hAnsiTheme="minorHAnsi" w:cstheme="minorHAnsi"/>
        </w:rPr>
        <w:t xml:space="preserve">Business Activity Statements (BAS), </w:t>
      </w:r>
    </w:p>
    <w:p w14:paraId="6EAE657F" w14:textId="77777777" w:rsidR="00A379D5" w:rsidRPr="00B06B1A" w:rsidRDefault="00A379D5" w:rsidP="00A379D5">
      <w:pPr>
        <w:pStyle w:val="ListParagraph"/>
        <w:numPr>
          <w:ilvl w:val="0"/>
          <w:numId w:val="4"/>
        </w:numPr>
        <w:spacing w:after="160" w:line="259" w:lineRule="auto"/>
        <w:jc w:val="both"/>
        <w:rPr>
          <w:rFonts w:asciiTheme="minorHAnsi" w:hAnsiTheme="minorHAnsi" w:cstheme="minorHAnsi"/>
        </w:rPr>
      </w:pPr>
      <w:r w:rsidRPr="00B06B1A">
        <w:rPr>
          <w:rFonts w:asciiTheme="minorHAnsi" w:hAnsiTheme="minorHAnsi" w:cstheme="minorHAnsi"/>
        </w:rPr>
        <w:t xml:space="preserve">Business Income Tax (BIT) forms, and </w:t>
      </w:r>
    </w:p>
    <w:p w14:paraId="3378BD29" w14:textId="77777777" w:rsidR="00A379D5" w:rsidRPr="00EA6A4A" w:rsidRDefault="00A379D5" w:rsidP="00A379D5">
      <w:pPr>
        <w:pStyle w:val="ListParagraph"/>
        <w:numPr>
          <w:ilvl w:val="0"/>
          <w:numId w:val="4"/>
        </w:numPr>
        <w:spacing w:after="160" w:line="259" w:lineRule="auto"/>
        <w:jc w:val="both"/>
        <w:rPr>
          <w:rFonts w:asciiTheme="minorHAnsi" w:hAnsiTheme="minorHAnsi" w:cstheme="minorHAnsi"/>
        </w:rPr>
      </w:pPr>
      <w:r w:rsidRPr="00B06B1A">
        <w:rPr>
          <w:rFonts w:asciiTheme="minorHAnsi" w:hAnsiTheme="minorHAnsi" w:cstheme="minorHAnsi"/>
        </w:rPr>
        <w:t xml:space="preserve">Pay as You Go (PAYG) wage summaries. </w:t>
      </w:r>
    </w:p>
    <w:p w14:paraId="5B12B34E" w14:textId="3A0D756C" w:rsidR="00A379D5" w:rsidRDefault="008B20AD" w:rsidP="00B06B1A">
      <w:pPr>
        <w:jc w:val="both"/>
        <w:rPr>
          <w:rFonts w:asciiTheme="minorHAnsi" w:hAnsiTheme="minorHAnsi" w:cstheme="minorHAnsi"/>
        </w:rPr>
      </w:pPr>
      <w:r>
        <w:rPr>
          <w:rFonts w:asciiTheme="minorHAnsi" w:hAnsiTheme="minorHAnsi" w:cstheme="minorHAnsi"/>
        </w:rPr>
        <w:t>The</w:t>
      </w:r>
      <w:r w:rsidR="00A379D5">
        <w:rPr>
          <w:rFonts w:asciiTheme="minorHAnsi" w:hAnsiTheme="minorHAnsi" w:cstheme="minorHAnsi"/>
        </w:rPr>
        <w:t xml:space="preserve"> </w:t>
      </w:r>
      <w:r w:rsidR="00330FAD">
        <w:rPr>
          <w:rFonts w:asciiTheme="minorHAnsi" w:hAnsiTheme="minorHAnsi" w:cstheme="minorHAnsi"/>
        </w:rPr>
        <w:t>four</w:t>
      </w:r>
      <w:r w:rsidR="00A379D5">
        <w:rPr>
          <w:rFonts w:asciiTheme="minorHAnsi" w:hAnsiTheme="minorHAnsi" w:cstheme="minorHAnsi"/>
        </w:rPr>
        <w:t xml:space="preserve"> </w:t>
      </w:r>
      <w:r>
        <w:rPr>
          <w:rFonts w:asciiTheme="minorHAnsi" w:hAnsiTheme="minorHAnsi" w:cstheme="minorHAnsi"/>
        </w:rPr>
        <w:t xml:space="preserve">business registries </w:t>
      </w:r>
      <w:r w:rsidR="00A379D5">
        <w:rPr>
          <w:rFonts w:asciiTheme="minorHAnsi" w:hAnsiTheme="minorHAnsi" w:cstheme="minorHAnsi"/>
        </w:rPr>
        <w:t xml:space="preserve">incorporated into I-BLADE </w:t>
      </w:r>
      <w:r w:rsidR="0072340D">
        <w:rPr>
          <w:rFonts w:asciiTheme="minorHAnsi" w:hAnsiTheme="minorHAnsi" w:cstheme="minorHAnsi"/>
        </w:rPr>
        <w:t>1.0</w:t>
      </w:r>
      <w:r w:rsidR="00A379D5">
        <w:rPr>
          <w:rFonts w:asciiTheme="minorHAnsi" w:hAnsiTheme="minorHAnsi" w:cstheme="minorHAnsi"/>
        </w:rPr>
        <w:t xml:space="preserve"> </w:t>
      </w:r>
      <w:r>
        <w:rPr>
          <w:rFonts w:asciiTheme="minorHAnsi" w:hAnsiTheme="minorHAnsi" w:cstheme="minorHAnsi"/>
        </w:rPr>
        <w:t xml:space="preserve">are </w:t>
      </w:r>
      <w:r w:rsidR="00B06B1A" w:rsidRPr="00B06B1A">
        <w:rPr>
          <w:rFonts w:asciiTheme="minorHAnsi" w:hAnsiTheme="minorHAnsi" w:cstheme="minorHAnsi"/>
        </w:rPr>
        <w:t>Supply Nation Registry, Office of Registrar of Indigenous Corporations (ORIC) Database, Industry Capability Network (ICN) Gateway and the Victorian Aboriginal Business Directory (VABD)</w:t>
      </w:r>
      <w:r>
        <w:rPr>
          <w:rFonts w:asciiTheme="minorHAnsi" w:hAnsiTheme="minorHAnsi" w:cstheme="minorHAnsi"/>
        </w:rPr>
        <w:t xml:space="preserve">. </w:t>
      </w:r>
      <w:r w:rsidR="00B06B1A" w:rsidRPr="00B06B1A">
        <w:rPr>
          <w:rFonts w:asciiTheme="minorHAnsi" w:hAnsiTheme="minorHAnsi" w:cstheme="minorHAnsi"/>
        </w:rPr>
        <w:t>In this section</w:t>
      </w:r>
      <w:r w:rsidR="005E4B0A">
        <w:rPr>
          <w:rFonts w:asciiTheme="minorHAnsi" w:hAnsiTheme="minorHAnsi" w:cstheme="minorHAnsi"/>
        </w:rPr>
        <w:t>,</w:t>
      </w:r>
      <w:r w:rsidR="00B06B1A" w:rsidRPr="00B06B1A">
        <w:rPr>
          <w:rFonts w:asciiTheme="minorHAnsi" w:hAnsiTheme="minorHAnsi" w:cstheme="minorHAnsi"/>
        </w:rPr>
        <w:t xml:space="preserve"> we </w:t>
      </w:r>
      <w:r w:rsidR="00536765">
        <w:rPr>
          <w:rFonts w:asciiTheme="minorHAnsi" w:hAnsiTheme="minorHAnsi" w:cstheme="minorHAnsi"/>
        </w:rPr>
        <w:t xml:space="preserve">discuss registry and BLADE data and </w:t>
      </w:r>
      <w:r w:rsidR="00B06B1A" w:rsidRPr="00B06B1A">
        <w:rPr>
          <w:rFonts w:asciiTheme="minorHAnsi" w:hAnsiTheme="minorHAnsi" w:cstheme="minorHAnsi"/>
        </w:rPr>
        <w:t>spell out the process undertaken</w:t>
      </w:r>
      <w:r w:rsidR="00536765">
        <w:rPr>
          <w:rFonts w:asciiTheme="minorHAnsi" w:hAnsiTheme="minorHAnsi" w:cstheme="minorHAnsi"/>
        </w:rPr>
        <w:t xml:space="preserve"> to develop I-BLADE</w:t>
      </w:r>
      <w:r w:rsidR="0072340D">
        <w:rPr>
          <w:rFonts w:asciiTheme="minorHAnsi" w:hAnsiTheme="minorHAnsi" w:cstheme="minorHAnsi"/>
        </w:rPr>
        <w:t xml:space="preserve"> 1.0</w:t>
      </w:r>
      <w:r w:rsidR="00536765">
        <w:rPr>
          <w:rFonts w:asciiTheme="minorHAnsi" w:hAnsiTheme="minorHAnsi" w:cstheme="minorHAnsi"/>
        </w:rPr>
        <w:t>.</w:t>
      </w:r>
      <w:r w:rsidR="00A379D5">
        <w:rPr>
          <w:rFonts w:asciiTheme="minorHAnsi" w:hAnsiTheme="minorHAnsi" w:cstheme="minorHAnsi"/>
        </w:rPr>
        <w:t xml:space="preserve"> For details of the process for integrating Indigenous business registries and BLADE, see the Technical Appendix.</w:t>
      </w:r>
    </w:p>
    <w:p w14:paraId="63527B66" w14:textId="77777777" w:rsidR="001A44E5" w:rsidRPr="00B06B1A" w:rsidRDefault="001A44E5" w:rsidP="00B06B1A">
      <w:pPr>
        <w:jc w:val="both"/>
        <w:rPr>
          <w:rFonts w:asciiTheme="minorHAnsi" w:hAnsiTheme="minorHAnsi" w:cstheme="minorHAnsi"/>
        </w:rPr>
      </w:pPr>
    </w:p>
    <w:p w14:paraId="515710C1" w14:textId="77777777" w:rsidR="00B06B1A" w:rsidRPr="00B06B1A" w:rsidRDefault="00B06B1A" w:rsidP="00B06B1A">
      <w:pPr>
        <w:pStyle w:val="Heading2"/>
        <w:jc w:val="both"/>
        <w:rPr>
          <w:rFonts w:asciiTheme="minorHAnsi" w:hAnsiTheme="minorHAnsi" w:cstheme="minorHAnsi"/>
        </w:rPr>
      </w:pPr>
      <w:r w:rsidRPr="00B06B1A">
        <w:rPr>
          <w:rFonts w:asciiTheme="minorHAnsi" w:hAnsiTheme="minorHAnsi" w:cstheme="minorHAnsi"/>
        </w:rPr>
        <w:t>Indigenous businesses registries</w:t>
      </w:r>
    </w:p>
    <w:p w14:paraId="142A956E" w14:textId="69BB9D9C" w:rsidR="00B06B1A" w:rsidRPr="00B06B1A" w:rsidRDefault="00B06B1A" w:rsidP="00B06B1A">
      <w:pPr>
        <w:jc w:val="both"/>
        <w:rPr>
          <w:rFonts w:asciiTheme="minorHAnsi" w:hAnsiTheme="minorHAnsi" w:cstheme="minorHAnsi"/>
        </w:rPr>
      </w:pPr>
      <w:r w:rsidRPr="00B06B1A">
        <w:rPr>
          <w:rFonts w:asciiTheme="minorHAnsi" w:hAnsiTheme="minorHAnsi" w:cstheme="minorHAnsi"/>
        </w:rPr>
        <w:t>In the main, these registries are held to promote Indigenous businesses through searchable online datasets</w:t>
      </w:r>
      <w:r w:rsidR="00356D82">
        <w:rPr>
          <w:rFonts w:asciiTheme="minorHAnsi" w:hAnsiTheme="minorHAnsi" w:cstheme="minorHAnsi"/>
        </w:rPr>
        <w:t xml:space="preserve"> </w:t>
      </w:r>
      <w:r w:rsidRPr="00B06B1A">
        <w:rPr>
          <w:rFonts w:asciiTheme="minorHAnsi" w:hAnsiTheme="minorHAnsi" w:cstheme="minorHAnsi"/>
        </w:rPr>
        <w:t xml:space="preserve">except in the case of the </w:t>
      </w:r>
      <w:r w:rsidRPr="00356D82">
        <w:rPr>
          <w:rFonts w:asciiTheme="minorHAnsi" w:hAnsiTheme="minorHAnsi" w:cstheme="minorHAnsi"/>
        </w:rPr>
        <w:t>ORIC Database</w:t>
      </w:r>
      <w:r w:rsidRPr="00B06B1A">
        <w:rPr>
          <w:rFonts w:asciiTheme="minorHAnsi" w:hAnsiTheme="minorHAnsi" w:cstheme="minorHAnsi"/>
        </w:rPr>
        <w:t xml:space="preserve"> which is held primarily for governance purposes.</w:t>
      </w:r>
      <w:r w:rsidRPr="00CE315D">
        <w:rPr>
          <w:rFonts w:asciiTheme="minorHAnsi" w:hAnsiTheme="minorHAnsi" w:cstheme="minorHAnsi"/>
        </w:rPr>
        <w:t xml:space="preserve"> </w:t>
      </w:r>
      <w:r w:rsidR="00E67E09" w:rsidRPr="00CE315D">
        <w:rPr>
          <w:rFonts w:asciiTheme="minorHAnsi" w:hAnsiTheme="minorHAnsi" w:cstheme="minorHAnsi"/>
        </w:rPr>
        <w:t>B</w:t>
      </w:r>
      <w:r w:rsidRPr="00CE315D">
        <w:rPr>
          <w:rFonts w:asciiTheme="minorHAnsi" w:hAnsiTheme="minorHAnsi" w:cstheme="minorHAnsi"/>
        </w:rPr>
        <w:t xml:space="preserve">usiness registration is free and requires at least 50% Indigenous ownership, although ownership information is not always verified equally across these registries. </w:t>
      </w:r>
      <w:r w:rsidRPr="00B06B1A">
        <w:rPr>
          <w:rFonts w:asciiTheme="minorHAnsi" w:hAnsiTheme="minorHAnsi" w:cstheme="minorHAnsi"/>
        </w:rPr>
        <w:t xml:space="preserve">Except for Australian Business Numbers (ABNs), which is vital for integration with BLADE, the information in the registries varies markedly and, as a result, is not </w:t>
      </w:r>
      <w:r w:rsidR="000A3A67">
        <w:rPr>
          <w:rFonts w:asciiTheme="minorHAnsi" w:hAnsiTheme="minorHAnsi" w:cstheme="minorHAnsi"/>
        </w:rPr>
        <w:t xml:space="preserve">of </w:t>
      </w:r>
      <w:r w:rsidRPr="00B06B1A">
        <w:rPr>
          <w:rFonts w:asciiTheme="minorHAnsi" w:hAnsiTheme="minorHAnsi" w:cstheme="minorHAnsi"/>
        </w:rPr>
        <w:t xml:space="preserve">much value to I-BLADE. In future </w:t>
      </w:r>
      <w:r w:rsidR="0072340D">
        <w:rPr>
          <w:rFonts w:asciiTheme="minorHAnsi" w:hAnsiTheme="minorHAnsi" w:cstheme="minorHAnsi"/>
        </w:rPr>
        <w:t>versions</w:t>
      </w:r>
      <w:r w:rsidR="0072340D" w:rsidRPr="00B06B1A">
        <w:rPr>
          <w:rFonts w:asciiTheme="minorHAnsi" w:hAnsiTheme="minorHAnsi" w:cstheme="minorHAnsi"/>
        </w:rPr>
        <w:t xml:space="preserve"> </w:t>
      </w:r>
      <w:r w:rsidRPr="00B06B1A">
        <w:rPr>
          <w:rFonts w:asciiTheme="minorHAnsi" w:hAnsiTheme="minorHAnsi" w:cstheme="minorHAnsi"/>
        </w:rPr>
        <w:t xml:space="preserve">of </w:t>
      </w:r>
      <w:r w:rsidR="00E67E09">
        <w:rPr>
          <w:rFonts w:asciiTheme="minorHAnsi" w:hAnsiTheme="minorHAnsi" w:cstheme="minorHAnsi"/>
        </w:rPr>
        <w:t>I-</w:t>
      </w:r>
      <w:r w:rsidRPr="00B06B1A">
        <w:rPr>
          <w:rFonts w:asciiTheme="minorHAnsi" w:hAnsiTheme="minorHAnsi" w:cstheme="minorHAnsi"/>
        </w:rPr>
        <w:t xml:space="preserve">BLADE, it is hoped this project will enable co-ordination of registry data collection, especially data on verification of </w:t>
      </w:r>
      <w:r w:rsidRPr="00B06B1A">
        <w:rPr>
          <w:rFonts w:asciiTheme="minorHAnsi" w:hAnsiTheme="minorHAnsi" w:cstheme="minorHAnsi"/>
        </w:rPr>
        <w:lastRenderedPageBreak/>
        <w:t>Indigenous ownership, that would allow for deeper insights into the sector. In total, there are 11,409 records (not all unique) in these registries.</w:t>
      </w:r>
    </w:p>
    <w:p w14:paraId="3DAE75F3" w14:textId="77777777" w:rsidR="00975762" w:rsidRDefault="00975762" w:rsidP="00B06B1A">
      <w:pPr>
        <w:jc w:val="both"/>
        <w:rPr>
          <w:rFonts w:asciiTheme="minorHAnsi" w:hAnsiTheme="minorHAnsi" w:cstheme="minorHAnsi"/>
        </w:rPr>
      </w:pPr>
    </w:p>
    <w:p w14:paraId="40B36438" w14:textId="50B64434" w:rsidR="00B06B1A" w:rsidRDefault="000029B7" w:rsidP="00B06B1A">
      <w:pPr>
        <w:jc w:val="both"/>
        <w:rPr>
          <w:rFonts w:asciiTheme="minorHAnsi" w:hAnsiTheme="minorHAnsi" w:cstheme="minorHAnsi"/>
        </w:rPr>
      </w:pPr>
      <w:r>
        <w:rPr>
          <w:rFonts w:asciiTheme="minorHAnsi" w:hAnsiTheme="minorHAnsi" w:cstheme="minorHAnsi"/>
        </w:rPr>
        <w:t>T</w:t>
      </w:r>
      <w:r w:rsidR="00B06B1A" w:rsidRPr="00B06B1A">
        <w:rPr>
          <w:rFonts w:asciiTheme="minorHAnsi" w:hAnsiTheme="minorHAnsi" w:cstheme="minorHAnsi"/>
        </w:rPr>
        <w:t xml:space="preserve">o register with </w:t>
      </w:r>
      <w:r w:rsidR="00B06B1A" w:rsidRPr="00CE315D">
        <w:rPr>
          <w:rFonts w:asciiTheme="minorHAnsi" w:hAnsiTheme="minorHAnsi" w:cstheme="minorHAnsi"/>
          <w:b/>
          <w:bCs/>
        </w:rPr>
        <w:t>Supply Nation</w:t>
      </w:r>
      <w:r w:rsidR="00B06B1A" w:rsidRPr="00B06B1A">
        <w:rPr>
          <w:rFonts w:asciiTheme="minorHAnsi" w:hAnsiTheme="minorHAnsi" w:cstheme="minorHAnsi"/>
        </w:rPr>
        <w:t xml:space="preserve">, businesses are required to provide Confirmation of Aboriginality documents and are required to prove at least 50% Indigenous ownership of the business. Verification is conducted before registration occurs. Supply Nation also conducts annual audits and spot checks to make sure that businesses remain compliant, including continual improvement process check via Australian Securities Investment Commission. Registered businesses that are majority (51% or more) owned, controlled and managed by Indigenous people are eligible for Supply Nation Certification. Data provided by Supply Nation for integration is for existing membership of registered businesses as </w:t>
      </w:r>
      <w:r w:rsidR="00C448AF" w:rsidRPr="00B06B1A">
        <w:rPr>
          <w:rFonts w:asciiTheme="minorHAnsi" w:hAnsiTheme="minorHAnsi" w:cstheme="minorHAnsi"/>
        </w:rPr>
        <w:t>of</w:t>
      </w:r>
      <w:r w:rsidR="00B06B1A" w:rsidRPr="00B06B1A">
        <w:rPr>
          <w:rFonts w:asciiTheme="minorHAnsi" w:hAnsiTheme="minorHAnsi" w:cstheme="minorHAnsi"/>
        </w:rPr>
        <w:t xml:space="preserve"> 23 June 2020 (2,463 businesses). The data provided by Supply Nation for I-BLADE</w:t>
      </w:r>
      <w:r w:rsidR="0072340D">
        <w:rPr>
          <w:rFonts w:asciiTheme="minorHAnsi" w:hAnsiTheme="minorHAnsi" w:cstheme="minorHAnsi"/>
        </w:rPr>
        <w:t xml:space="preserve"> 1.0</w:t>
      </w:r>
      <w:r w:rsidR="00B06B1A" w:rsidRPr="00B06B1A">
        <w:rPr>
          <w:rFonts w:asciiTheme="minorHAnsi" w:hAnsiTheme="minorHAnsi" w:cstheme="minorHAnsi"/>
        </w:rPr>
        <w:t xml:space="preserve"> excludes businesses that were previously registered (back to 2013) but are </w:t>
      </w:r>
      <w:r w:rsidR="003E0B48">
        <w:rPr>
          <w:rFonts w:asciiTheme="minorHAnsi" w:hAnsiTheme="minorHAnsi" w:cstheme="minorHAnsi"/>
        </w:rPr>
        <w:t>not</w:t>
      </w:r>
      <w:r w:rsidR="00B06B1A" w:rsidRPr="00B06B1A">
        <w:rPr>
          <w:rFonts w:asciiTheme="minorHAnsi" w:hAnsiTheme="minorHAnsi" w:cstheme="minorHAnsi"/>
        </w:rPr>
        <w:t xml:space="preserve"> in the database because they are no longer active or because the business no longer meets the requirement for registration. </w:t>
      </w:r>
    </w:p>
    <w:p w14:paraId="532154EE" w14:textId="76EC4BD1" w:rsidR="00B06B1A" w:rsidRPr="00B06B1A" w:rsidRDefault="00B06B1A" w:rsidP="00B06B1A">
      <w:pPr>
        <w:jc w:val="both"/>
        <w:rPr>
          <w:rFonts w:asciiTheme="minorHAnsi" w:hAnsiTheme="minorHAnsi" w:cstheme="minorHAnsi"/>
        </w:rPr>
      </w:pPr>
    </w:p>
    <w:p w14:paraId="3D188838" w14:textId="5D9A54D1" w:rsidR="00B06B1A" w:rsidRPr="00B06B1A" w:rsidRDefault="00B06B1A" w:rsidP="00B06B1A">
      <w:pPr>
        <w:jc w:val="both"/>
        <w:rPr>
          <w:rFonts w:asciiTheme="minorHAnsi" w:hAnsiTheme="minorHAnsi" w:cstheme="minorHAnsi"/>
        </w:rPr>
      </w:pPr>
      <w:r w:rsidRPr="00CE315D">
        <w:rPr>
          <w:rFonts w:asciiTheme="minorHAnsi" w:hAnsiTheme="minorHAnsi" w:cstheme="minorHAnsi"/>
          <w:b/>
          <w:bCs/>
        </w:rPr>
        <w:t>ICN Gateway</w:t>
      </w:r>
      <w:r w:rsidRPr="00B06B1A">
        <w:rPr>
          <w:rFonts w:asciiTheme="minorHAnsi" w:hAnsiTheme="minorHAnsi" w:cstheme="minorHAnsi"/>
        </w:rPr>
        <w:t xml:space="preserve"> data is an online business networking platform established in 2003 that contains a searchable database of more than 80,000 suppliers, with an aim of streamlining project procurement that meets local and Australian industry procurement policy and participation requirements. Indigenous businesses registered in the ICN Gateway can originate from two sources. First, Indigenous businesses can voluntarily register their own profile for free and are asked to identify whether their business is Indigenous owned, and if so, whether the ownership has been verified and the level of ownership (%). Alternatively, Indigenous businesses registered with the Aboriginal Business Directory WA (ABDWA) (Chamber of Commerce and Industry WA) and Black Business Finder (Developed by ICN for the Queensland Government) are automatically included in the ICN Gateway.</w:t>
      </w:r>
      <w:r w:rsidRPr="00B06B1A">
        <w:rPr>
          <w:rStyle w:val="FootnoteReference"/>
          <w:rFonts w:asciiTheme="minorHAnsi" w:hAnsiTheme="minorHAnsi" w:cstheme="minorHAnsi"/>
        </w:rPr>
        <w:footnoteReference w:id="1"/>
      </w:r>
      <w:r w:rsidRPr="00B06B1A">
        <w:rPr>
          <w:rFonts w:asciiTheme="minorHAnsi" w:hAnsiTheme="minorHAnsi" w:cstheme="minorHAnsi"/>
        </w:rPr>
        <w:t xml:space="preserve"> Both of these registries were launched with state government support in 2012. To be registered in </w:t>
      </w:r>
      <w:r w:rsidRPr="00356D82">
        <w:rPr>
          <w:rFonts w:asciiTheme="minorHAnsi" w:hAnsiTheme="minorHAnsi" w:cstheme="minorHAnsi"/>
        </w:rPr>
        <w:t>ABDWA</w:t>
      </w:r>
      <w:r w:rsidRPr="00B06B1A">
        <w:rPr>
          <w:rFonts w:asciiTheme="minorHAnsi" w:hAnsiTheme="minorHAnsi" w:cstheme="minorHAnsi"/>
        </w:rPr>
        <w:t xml:space="preserve">, Indigenous businesses must be at least 50% Aboriginal owned and the Aboriginal interests are represented in management and operation of the entity. The ABDWA also includes incorporated Aboriginal Organisations, which requires at least 50% of the controlling board of management be Aboriginal and Aboriginal interests represented in the operation of the entity. Businesses in Black Business Finder must </w:t>
      </w:r>
      <w:r w:rsidR="004A4600" w:rsidRPr="00B06B1A">
        <w:rPr>
          <w:rFonts w:asciiTheme="minorHAnsi" w:hAnsiTheme="minorHAnsi" w:cstheme="minorHAnsi"/>
        </w:rPr>
        <w:t>be</w:t>
      </w:r>
      <w:r w:rsidRPr="00B06B1A">
        <w:rPr>
          <w:rFonts w:asciiTheme="minorHAnsi" w:hAnsiTheme="minorHAnsi" w:cstheme="minorHAnsi"/>
        </w:rPr>
        <w:t xml:space="preserve"> at least 50% Indigenous owned, a non-Indigenous business with at least 75% Indigenous employees or an equal joint venture agreement with a majority owned Indigenous entity. Indigenous ownership of businesses on Black Business Finder and ABDWA are not always verified. ICN Gateway data provided for integration into I-BLADE</w:t>
      </w:r>
      <w:r w:rsidR="0072340D">
        <w:rPr>
          <w:rFonts w:asciiTheme="minorHAnsi" w:hAnsiTheme="minorHAnsi" w:cstheme="minorHAnsi"/>
        </w:rPr>
        <w:t xml:space="preserve"> 1.0</w:t>
      </w:r>
      <w:r w:rsidRPr="00B06B1A">
        <w:rPr>
          <w:rFonts w:asciiTheme="minorHAnsi" w:hAnsiTheme="minorHAnsi" w:cstheme="minorHAnsi"/>
        </w:rPr>
        <w:t xml:space="preserve"> included all registered Indigenous businesses (2,268) as </w:t>
      </w:r>
      <w:r w:rsidR="00D62C54" w:rsidRPr="00B06B1A">
        <w:rPr>
          <w:rFonts w:asciiTheme="minorHAnsi" w:hAnsiTheme="minorHAnsi" w:cstheme="minorHAnsi"/>
        </w:rPr>
        <w:t>of</w:t>
      </w:r>
      <w:r w:rsidRPr="00B06B1A">
        <w:rPr>
          <w:rFonts w:asciiTheme="minorHAnsi" w:hAnsiTheme="minorHAnsi" w:cstheme="minorHAnsi"/>
        </w:rPr>
        <w:t xml:space="preserve"> 20 August 2020, including businesses that are no longer trading. Future waves of I-BLADE will include identifiers for whether the businesses originate from ABDWA and Black Business Finder. </w:t>
      </w:r>
    </w:p>
    <w:p w14:paraId="506A0D14" w14:textId="77777777" w:rsidR="00975762" w:rsidRDefault="00975762" w:rsidP="00B06B1A">
      <w:pPr>
        <w:jc w:val="both"/>
        <w:rPr>
          <w:rFonts w:asciiTheme="minorHAnsi" w:hAnsiTheme="minorHAnsi" w:cstheme="minorHAnsi"/>
        </w:rPr>
      </w:pPr>
    </w:p>
    <w:p w14:paraId="712E97F2" w14:textId="69BD29AA" w:rsidR="00B06B1A" w:rsidRPr="00B06B1A" w:rsidRDefault="00B06B1A" w:rsidP="00B06B1A">
      <w:pPr>
        <w:jc w:val="both"/>
        <w:rPr>
          <w:rFonts w:asciiTheme="minorHAnsi" w:hAnsiTheme="minorHAnsi" w:cstheme="minorHAnsi"/>
        </w:rPr>
      </w:pPr>
      <w:r w:rsidRPr="00B06B1A">
        <w:rPr>
          <w:rFonts w:asciiTheme="minorHAnsi" w:hAnsiTheme="minorHAnsi" w:cstheme="minorHAnsi"/>
        </w:rPr>
        <w:t xml:space="preserve">The </w:t>
      </w:r>
      <w:r w:rsidRPr="00CE315D">
        <w:rPr>
          <w:rFonts w:asciiTheme="minorHAnsi" w:hAnsiTheme="minorHAnsi" w:cstheme="minorHAnsi"/>
          <w:b/>
          <w:bCs/>
        </w:rPr>
        <w:t>Victorian Aboriginal Business Directory</w:t>
      </w:r>
      <w:r w:rsidRPr="00B06B1A">
        <w:rPr>
          <w:rFonts w:asciiTheme="minorHAnsi" w:hAnsiTheme="minorHAnsi" w:cstheme="minorHAnsi"/>
        </w:rPr>
        <w:t xml:space="preserve"> (VABD) is managed by the Victorian Department of Jobs Precincts and Regions.</w:t>
      </w:r>
      <w:r w:rsidRPr="00B06B1A">
        <w:rPr>
          <w:rStyle w:val="FootnoteReference"/>
          <w:rFonts w:asciiTheme="minorHAnsi" w:hAnsiTheme="minorHAnsi" w:cstheme="minorHAnsi"/>
        </w:rPr>
        <w:footnoteReference w:id="2"/>
      </w:r>
      <w:r w:rsidRPr="00B06B1A">
        <w:rPr>
          <w:rFonts w:asciiTheme="minorHAnsi" w:hAnsiTheme="minorHAnsi" w:cstheme="minorHAnsi"/>
        </w:rPr>
        <w:t xml:space="preserve"> To register online, the requirement is that the business is at least 50% Indigenous owned, although ownership is not automatically verified. VABD mostly contains businesses that are registered with the Victorian Aboriginal Chamber of Commerce (Kinaway) Directory, which was established in 2018. To be registered on the Kinaway Directory, business</w:t>
      </w:r>
      <w:r w:rsidR="00BD5202">
        <w:rPr>
          <w:rFonts w:asciiTheme="minorHAnsi" w:hAnsiTheme="minorHAnsi" w:cstheme="minorHAnsi"/>
        </w:rPr>
        <w:t>es</w:t>
      </w:r>
      <w:r w:rsidRPr="00B06B1A">
        <w:rPr>
          <w:rFonts w:asciiTheme="minorHAnsi" w:hAnsiTheme="minorHAnsi" w:cstheme="minorHAnsi"/>
        </w:rPr>
        <w:t xml:space="preserve"> must provide Aboriginality documents and documents of ownership.</w:t>
      </w:r>
      <w:r w:rsidRPr="00B06B1A">
        <w:rPr>
          <w:rStyle w:val="FootnoteReference"/>
          <w:rFonts w:asciiTheme="minorHAnsi" w:hAnsiTheme="minorHAnsi" w:cstheme="minorHAnsi"/>
        </w:rPr>
        <w:footnoteReference w:id="3"/>
      </w:r>
      <w:r w:rsidRPr="00B06B1A">
        <w:rPr>
          <w:rFonts w:asciiTheme="minorHAnsi" w:hAnsiTheme="minorHAnsi" w:cstheme="minorHAnsi"/>
        </w:rPr>
        <w:t xml:space="preserve"> Data provided by DJPR were for 331 registered businesses </w:t>
      </w:r>
      <w:r w:rsidR="00BD5202">
        <w:rPr>
          <w:rFonts w:asciiTheme="minorHAnsi" w:hAnsiTheme="minorHAnsi" w:cstheme="minorHAnsi"/>
        </w:rPr>
        <w:t xml:space="preserve">as </w:t>
      </w:r>
      <w:r w:rsidR="00E36F93">
        <w:rPr>
          <w:rFonts w:asciiTheme="minorHAnsi" w:hAnsiTheme="minorHAnsi" w:cstheme="minorHAnsi"/>
        </w:rPr>
        <w:t>of</w:t>
      </w:r>
      <w:r w:rsidR="00E36F93" w:rsidRPr="00B06B1A">
        <w:rPr>
          <w:rFonts w:asciiTheme="minorHAnsi" w:hAnsiTheme="minorHAnsi" w:cstheme="minorHAnsi"/>
        </w:rPr>
        <w:t xml:space="preserve"> </w:t>
      </w:r>
      <w:r w:rsidRPr="00B06B1A">
        <w:rPr>
          <w:rFonts w:asciiTheme="minorHAnsi" w:hAnsiTheme="minorHAnsi" w:cstheme="minorHAnsi"/>
        </w:rPr>
        <w:t xml:space="preserve">24 July 2020. In future </w:t>
      </w:r>
      <w:r w:rsidR="0072340D">
        <w:rPr>
          <w:rFonts w:asciiTheme="minorHAnsi" w:hAnsiTheme="minorHAnsi" w:cstheme="minorHAnsi"/>
        </w:rPr>
        <w:t>versions</w:t>
      </w:r>
      <w:r w:rsidR="0072340D" w:rsidRPr="00B06B1A">
        <w:rPr>
          <w:rFonts w:asciiTheme="minorHAnsi" w:hAnsiTheme="minorHAnsi" w:cstheme="minorHAnsi"/>
        </w:rPr>
        <w:t xml:space="preserve"> </w:t>
      </w:r>
      <w:r w:rsidRPr="00B06B1A">
        <w:rPr>
          <w:rFonts w:asciiTheme="minorHAnsi" w:hAnsiTheme="minorHAnsi" w:cstheme="minorHAnsi"/>
        </w:rPr>
        <w:t xml:space="preserve">of I-BLADE, businesses in VABD that originate from Kinaway will be separately identified from businesses that are registered directly online. </w:t>
      </w:r>
    </w:p>
    <w:p w14:paraId="6F0DA323" w14:textId="77777777" w:rsidR="00975762" w:rsidRDefault="00975762" w:rsidP="00B06B1A">
      <w:pPr>
        <w:jc w:val="both"/>
        <w:rPr>
          <w:rFonts w:asciiTheme="minorHAnsi" w:hAnsiTheme="minorHAnsi" w:cstheme="minorHAnsi"/>
        </w:rPr>
      </w:pPr>
    </w:p>
    <w:p w14:paraId="23880352" w14:textId="09278CE5" w:rsidR="00B06B1A" w:rsidRDefault="00B06B1A" w:rsidP="00B06B1A">
      <w:pPr>
        <w:jc w:val="both"/>
        <w:rPr>
          <w:rFonts w:asciiTheme="minorHAnsi" w:hAnsiTheme="minorHAnsi" w:cstheme="minorHAnsi"/>
        </w:rPr>
      </w:pPr>
      <w:r w:rsidRPr="00B06B1A">
        <w:rPr>
          <w:rFonts w:asciiTheme="minorHAnsi" w:hAnsiTheme="minorHAnsi" w:cstheme="minorHAnsi"/>
        </w:rPr>
        <w:lastRenderedPageBreak/>
        <w:t xml:space="preserve">The </w:t>
      </w:r>
      <w:r w:rsidRPr="00CE315D">
        <w:rPr>
          <w:rFonts w:asciiTheme="minorHAnsi" w:hAnsiTheme="minorHAnsi" w:cstheme="minorHAnsi"/>
          <w:b/>
          <w:bCs/>
        </w:rPr>
        <w:t>ORIC database</w:t>
      </w:r>
      <w:r w:rsidRPr="00B06B1A">
        <w:rPr>
          <w:rFonts w:asciiTheme="minorHAnsi" w:hAnsiTheme="minorHAnsi" w:cstheme="minorHAnsi"/>
        </w:rPr>
        <w:t xml:space="preserve"> contains information on all Indigenous Corporations back to 1979 under the </w:t>
      </w:r>
      <w:r w:rsidRPr="00B06B1A">
        <w:rPr>
          <w:rFonts w:asciiTheme="minorHAnsi" w:hAnsiTheme="minorHAnsi" w:cstheme="minorHAnsi"/>
          <w:i/>
          <w:iCs/>
        </w:rPr>
        <w:t>Corporations (Aboriginal and Torres Strait Islander) Act 2006</w:t>
      </w:r>
      <w:r w:rsidRPr="00B06B1A">
        <w:rPr>
          <w:rFonts w:asciiTheme="minorHAnsi" w:hAnsiTheme="minorHAnsi" w:cstheme="minorHAnsi"/>
        </w:rPr>
        <w:t xml:space="preserve"> (CATSI Act) or its predecessor, the </w:t>
      </w:r>
      <w:r w:rsidRPr="00B06B1A">
        <w:rPr>
          <w:rFonts w:asciiTheme="minorHAnsi" w:hAnsiTheme="minorHAnsi" w:cstheme="minorHAnsi"/>
          <w:i/>
          <w:iCs/>
        </w:rPr>
        <w:t>Aboriginal Councils and Associations Act 1976 (</w:t>
      </w:r>
      <w:r w:rsidRPr="00B06B1A">
        <w:rPr>
          <w:rFonts w:asciiTheme="minorHAnsi" w:hAnsiTheme="minorHAnsi" w:cstheme="minorHAnsi"/>
        </w:rPr>
        <w:t>the ACA Act).</w:t>
      </w:r>
      <w:r w:rsidRPr="00B06B1A">
        <w:rPr>
          <w:rStyle w:val="FootnoteReference"/>
          <w:rFonts w:asciiTheme="minorHAnsi" w:hAnsiTheme="minorHAnsi" w:cstheme="minorHAnsi"/>
        </w:rPr>
        <w:footnoteReference w:id="4"/>
      </w:r>
      <w:r w:rsidRPr="00B06B1A">
        <w:rPr>
          <w:rFonts w:asciiTheme="minorHAnsi" w:hAnsiTheme="minorHAnsi" w:cstheme="minorHAnsi"/>
        </w:rPr>
        <w:t xml:space="preserve"> However, the ORIC database does not include all Indigenous Corporations. Indigenous </w:t>
      </w:r>
      <w:r w:rsidR="006D2B5F">
        <w:rPr>
          <w:rFonts w:asciiTheme="minorHAnsi" w:hAnsiTheme="minorHAnsi" w:cstheme="minorHAnsi"/>
        </w:rPr>
        <w:t>C</w:t>
      </w:r>
      <w:r w:rsidR="006D2B5F" w:rsidRPr="00B06B1A">
        <w:rPr>
          <w:rFonts w:asciiTheme="minorHAnsi" w:hAnsiTheme="minorHAnsi" w:cstheme="minorHAnsi"/>
        </w:rPr>
        <w:t xml:space="preserve">orporations </w:t>
      </w:r>
      <w:r w:rsidRPr="00B06B1A">
        <w:rPr>
          <w:rFonts w:asciiTheme="minorHAnsi" w:hAnsiTheme="minorHAnsi" w:cstheme="minorHAnsi"/>
        </w:rPr>
        <w:t xml:space="preserve">can still be registered under the </w:t>
      </w:r>
      <w:r w:rsidRPr="00B06B1A">
        <w:rPr>
          <w:rFonts w:asciiTheme="minorHAnsi" w:hAnsiTheme="minorHAnsi" w:cstheme="minorHAnsi"/>
          <w:i/>
          <w:iCs/>
        </w:rPr>
        <w:t>Corporations Act 2001</w:t>
      </w:r>
      <w:r w:rsidRPr="00B06B1A">
        <w:rPr>
          <w:rFonts w:asciiTheme="minorHAnsi" w:hAnsiTheme="minorHAnsi" w:cstheme="minorHAnsi"/>
        </w:rPr>
        <w:t>, which is managed by the Australian Securities and Investment Commission, or under state/territory legislation. Indigenous Corporations are commonly not-for-profit or charitable organisations that are established for the benefits of its members that are spelt out in individual corporation rules. Members of corporations have limited liability if the company is wound-up and cannot issue dividends or shares and must re-invest all surplus funds to the company in accordance with the company’s purpose. The data provided for integration into I-BLADE was the complete dataset on 21 May 2020, which contained information for 6,348 corporations. For each company an Indigenous Corporation Numbers (ICNs) was provided, and in some cases, an ABN as well (where they exist). At present only ABN is used for linkage in BLADE. The implications are discussed in later sections.</w:t>
      </w:r>
    </w:p>
    <w:p w14:paraId="1562B5F3" w14:textId="77777777" w:rsidR="00030336" w:rsidRPr="00B06B1A" w:rsidRDefault="00030336" w:rsidP="00030336">
      <w:pPr>
        <w:jc w:val="both"/>
        <w:rPr>
          <w:rFonts w:asciiTheme="minorHAnsi" w:hAnsiTheme="minorHAnsi" w:cstheme="minorHAnsi"/>
        </w:rPr>
      </w:pPr>
    </w:p>
    <w:p w14:paraId="0E9A2B45" w14:textId="5BC07FF7" w:rsidR="00B06B1A" w:rsidRPr="00B06B1A" w:rsidRDefault="00B06B1A" w:rsidP="00B06B1A">
      <w:pPr>
        <w:pStyle w:val="Heading2"/>
        <w:jc w:val="both"/>
        <w:rPr>
          <w:rFonts w:asciiTheme="minorHAnsi" w:hAnsiTheme="minorHAnsi" w:cstheme="minorHAnsi"/>
        </w:rPr>
      </w:pPr>
      <w:r w:rsidRPr="00B06B1A">
        <w:rPr>
          <w:rFonts w:asciiTheme="minorHAnsi" w:hAnsiTheme="minorHAnsi" w:cstheme="minorHAnsi"/>
        </w:rPr>
        <w:t>Sample of analysis</w:t>
      </w:r>
    </w:p>
    <w:p w14:paraId="783C7333" w14:textId="6B04A07A" w:rsidR="00B06E6C" w:rsidRDefault="00A379D5" w:rsidP="00B06B1A">
      <w:pPr>
        <w:jc w:val="both"/>
        <w:rPr>
          <w:rFonts w:asciiTheme="minorHAnsi" w:hAnsiTheme="minorHAnsi" w:cstheme="minorHAnsi"/>
        </w:rPr>
      </w:pPr>
      <w:r>
        <w:rPr>
          <w:rFonts w:asciiTheme="minorHAnsi" w:hAnsiTheme="minorHAnsi" w:cstheme="minorHAnsi"/>
        </w:rPr>
        <w:t xml:space="preserve">The final I-BLADE sample for analysis is presented in Table 1. </w:t>
      </w:r>
      <w:r w:rsidR="008C497A">
        <w:rPr>
          <w:rFonts w:asciiTheme="minorHAnsi" w:hAnsiTheme="minorHAnsi" w:cstheme="minorHAnsi"/>
        </w:rPr>
        <w:t>B</w:t>
      </w:r>
      <w:r w:rsidR="00B06B1A" w:rsidRPr="00B06B1A">
        <w:rPr>
          <w:rFonts w:asciiTheme="minorHAnsi" w:hAnsiTheme="minorHAnsi" w:cstheme="minorHAnsi"/>
        </w:rPr>
        <w:t>ecause in all years of BLADE all ABNs are represented, we observe a consistent match rate in every year. However, when describing the Indigenous business sector in this report, we restrict the analysis to businesses that are alive (their date of birth, from the ABS Registry, falls on or before the given year) and active (registered as active in the ABS Business Registry for tax purposes)</w:t>
      </w:r>
      <w:r w:rsidR="00B83756">
        <w:rPr>
          <w:rFonts w:asciiTheme="minorHAnsi" w:hAnsiTheme="minorHAnsi" w:cstheme="minorHAnsi"/>
        </w:rPr>
        <w:t xml:space="preserve"> in a given year</w:t>
      </w:r>
      <w:r w:rsidR="00B06B1A" w:rsidRPr="00B06B1A">
        <w:rPr>
          <w:rFonts w:asciiTheme="minorHAnsi" w:hAnsiTheme="minorHAnsi" w:cstheme="minorHAnsi"/>
        </w:rPr>
        <w:t xml:space="preserve">. </w:t>
      </w:r>
    </w:p>
    <w:p w14:paraId="0B297463" w14:textId="77777777" w:rsidR="00B06E6C" w:rsidRDefault="00B06E6C" w:rsidP="00B06B1A">
      <w:pPr>
        <w:jc w:val="both"/>
        <w:rPr>
          <w:rFonts w:asciiTheme="minorHAnsi" w:hAnsiTheme="minorHAnsi" w:cstheme="minorHAnsi"/>
        </w:rPr>
      </w:pPr>
    </w:p>
    <w:p w14:paraId="7A751294" w14:textId="77777777" w:rsidR="00B06E6C" w:rsidRDefault="00B06B1A" w:rsidP="00B06B1A">
      <w:pPr>
        <w:jc w:val="both"/>
        <w:rPr>
          <w:rFonts w:asciiTheme="minorHAnsi" w:hAnsiTheme="minorHAnsi" w:cstheme="minorHAnsi"/>
        </w:rPr>
      </w:pPr>
      <w:r w:rsidRPr="00B06B1A">
        <w:rPr>
          <w:rFonts w:asciiTheme="minorHAnsi" w:hAnsiTheme="minorHAnsi" w:cstheme="minorHAnsi"/>
        </w:rPr>
        <w:t xml:space="preserve">In 2018, around 60% of Indigenous businesses that are alive are also active (Table 1), a rate that is comparable to non-Indigenous businesses. Among Indigenous businesses that are inactive in any one year, around a quarter are inactive in all years. These businesses may either be not trading or are trading </w:t>
      </w:r>
      <w:r w:rsidR="00B32018">
        <w:rPr>
          <w:rFonts w:asciiTheme="minorHAnsi" w:hAnsiTheme="minorHAnsi" w:cstheme="minorHAnsi"/>
        </w:rPr>
        <w:t xml:space="preserve">at </w:t>
      </w:r>
      <w:r w:rsidRPr="00B06B1A">
        <w:rPr>
          <w:rFonts w:asciiTheme="minorHAnsi" w:hAnsiTheme="minorHAnsi" w:cstheme="minorHAnsi"/>
        </w:rPr>
        <w:t>a level that is below the thresholds for GST/PAYG wage reporting or may be part of a group of businesses that have centralised ownership (e.g.</w:t>
      </w:r>
      <w:r w:rsidR="00F47CA4">
        <w:rPr>
          <w:rFonts w:asciiTheme="minorHAnsi" w:hAnsiTheme="minorHAnsi" w:cstheme="minorHAnsi"/>
        </w:rPr>
        <w:t>,</w:t>
      </w:r>
      <w:r w:rsidRPr="00B06B1A">
        <w:rPr>
          <w:rFonts w:asciiTheme="minorHAnsi" w:hAnsiTheme="minorHAnsi" w:cstheme="minorHAnsi"/>
        </w:rPr>
        <w:t xml:space="preserve"> part of a trustee firm) where reporting on behalf of all business is through a single ABN. </w:t>
      </w:r>
    </w:p>
    <w:p w14:paraId="671D3E2C" w14:textId="77777777" w:rsidR="00B06E6C" w:rsidRDefault="00B06E6C" w:rsidP="00B06B1A">
      <w:pPr>
        <w:jc w:val="both"/>
        <w:rPr>
          <w:rFonts w:asciiTheme="minorHAnsi" w:hAnsiTheme="minorHAnsi" w:cstheme="minorHAnsi"/>
        </w:rPr>
      </w:pPr>
    </w:p>
    <w:p w14:paraId="774EC150" w14:textId="6528BE66" w:rsidR="00B06B1A" w:rsidRDefault="00B06B1A" w:rsidP="00B06B1A">
      <w:pPr>
        <w:jc w:val="both"/>
        <w:rPr>
          <w:rFonts w:asciiTheme="minorHAnsi" w:hAnsiTheme="minorHAnsi" w:cstheme="minorHAnsi"/>
        </w:rPr>
      </w:pPr>
      <w:r w:rsidRPr="00B06B1A">
        <w:rPr>
          <w:rFonts w:asciiTheme="minorHAnsi" w:hAnsiTheme="minorHAnsi" w:cstheme="minorHAnsi"/>
        </w:rPr>
        <w:t xml:space="preserve">For the remaining three-quarters of inactive businesses, their activity status has changed over time, which may represent changes in the ABN that owners report tax through, changes in trading status or reduced business activity. This is consistent with the notion that activity is a measure of tax reporting, not a measure of business termination — it is not uncommon in the data for inactive businesses in one year to be re-activated in the following year. </w:t>
      </w:r>
    </w:p>
    <w:p w14:paraId="10244788" w14:textId="77777777" w:rsidR="00A379D5" w:rsidRDefault="00A379D5" w:rsidP="00A379D5">
      <w:pPr>
        <w:jc w:val="both"/>
        <w:rPr>
          <w:rFonts w:asciiTheme="minorHAnsi" w:hAnsiTheme="minorHAnsi" w:cstheme="minorHAnsi"/>
        </w:rPr>
      </w:pPr>
    </w:p>
    <w:p w14:paraId="5AD8F862" w14:textId="77777777" w:rsidR="00A379D5" w:rsidRPr="00B06B1A" w:rsidRDefault="00A379D5" w:rsidP="00A379D5">
      <w:pPr>
        <w:jc w:val="both"/>
        <w:rPr>
          <w:rFonts w:asciiTheme="minorHAnsi" w:hAnsiTheme="minorHAnsi" w:cstheme="minorHAnsi"/>
          <w:b/>
        </w:rPr>
      </w:pPr>
      <w:r w:rsidRPr="00B06B1A">
        <w:rPr>
          <w:rFonts w:asciiTheme="minorHAnsi" w:hAnsiTheme="minorHAnsi" w:cstheme="minorHAnsi"/>
          <w:b/>
        </w:rPr>
        <w:t>Table 1: Number of alive businesses in I-BLADE</w:t>
      </w:r>
    </w:p>
    <w:tbl>
      <w:tblPr>
        <w:tblW w:w="5000" w:type="pct"/>
        <w:tblLook w:val="04A0" w:firstRow="1" w:lastRow="0" w:firstColumn="1" w:lastColumn="0" w:noHBand="0" w:noVBand="1"/>
      </w:tblPr>
      <w:tblGrid>
        <w:gridCol w:w="799"/>
        <w:gridCol w:w="1468"/>
        <w:gridCol w:w="1387"/>
        <w:gridCol w:w="1039"/>
        <w:gridCol w:w="1081"/>
        <w:gridCol w:w="1081"/>
        <w:gridCol w:w="1081"/>
        <w:gridCol w:w="1084"/>
      </w:tblGrid>
      <w:tr w:rsidR="00A379D5" w:rsidRPr="00B06B1A" w14:paraId="60D3F7D2" w14:textId="77777777" w:rsidTr="00E464A0">
        <w:trPr>
          <w:trHeight w:val="1385"/>
        </w:trPr>
        <w:tc>
          <w:tcPr>
            <w:tcW w:w="443" w:type="pct"/>
            <w:tcBorders>
              <w:top w:val="single" w:sz="4" w:space="0" w:color="auto"/>
              <w:left w:val="nil"/>
              <w:bottom w:val="single" w:sz="4" w:space="0" w:color="auto"/>
              <w:right w:val="nil"/>
            </w:tcBorders>
            <w:shd w:val="clear" w:color="auto" w:fill="auto"/>
            <w:noWrap/>
            <w:vAlign w:val="bottom"/>
            <w:hideMark/>
          </w:tcPr>
          <w:p w14:paraId="50BDA87C"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Year</w:t>
            </w:r>
          </w:p>
        </w:tc>
        <w:tc>
          <w:tcPr>
            <w:tcW w:w="814" w:type="pct"/>
            <w:tcBorders>
              <w:top w:val="single" w:sz="4" w:space="0" w:color="auto"/>
              <w:left w:val="nil"/>
              <w:bottom w:val="single" w:sz="4" w:space="0" w:color="auto"/>
              <w:right w:val="nil"/>
            </w:tcBorders>
            <w:shd w:val="clear" w:color="auto" w:fill="auto"/>
            <w:vAlign w:val="bottom"/>
            <w:hideMark/>
          </w:tcPr>
          <w:p w14:paraId="16F57192"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 xml:space="preserve">Numbers of Indigenous businesses that are matched </w:t>
            </w:r>
          </w:p>
        </w:tc>
        <w:tc>
          <w:tcPr>
            <w:tcW w:w="769" w:type="pct"/>
            <w:tcBorders>
              <w:top w:val="single" w:sz="4" w:space="0" w:color="auto"/>
              <w:left w:val="nil"/>
              <w:bottom w:val="single" w:sz="4" w:space="0" w:color="auto"/>
              <w:right w:val="nil"/>
            </w:tcBorders>
            <w:shd w:val="clear" w:color="auto" w:fill="auto"/>
            <w:vAlign w:val="bottom"/>
            <w:hideMark/>
          </w:tcPr>
          <w:p w14:paraId="61129D51"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Numbers of business that are matched, alive and active</w:t>
            </w:r>
          </w:p>
        </w:tc>
        <w:tc>
          <w:tcPr>
            <w:tcW w:w="2974" w:type="pct"/>
            <w:gridSpan w:val="5"/>
            <w:tcBorders>
              <w:top w:val="single" w:sz="4" w:space="0" w:color="auto"/>
              <w:left w:val="nil"/>
              <w:bottom w:val="single" w:sz="4" w:space="0" w:color="auto"/>
              <w:right w:val="nil"/>
            </w:tcBorders>
            <w:shd w:val="clear" w:color="auto" w:fill="auto"/>
            <w:vAlign w:val="bottom"/>
            <w:hideMark/>
          </w:tcPr>
          <w:p w14:paraId="222A1DDF" w14:textId="77777777" w:rsidR="00A379D5" w:rsidRPr="00B06B1A" w:rsidRDefault="00A379D5" w:rsidP="00E464A0">
            <w:pPr>
              <w:jc w:val="cente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 xml:space="preserve">Registry of origin for </w:t>
            </w:r>
          </w:p>
          <w:p w14:paraId="44C8A7A3" w14:textId="50962FEA" w:rsidR="00A379D5" w:rsidRPr="00B06B1A" w:rsidRDefault="00A379D5" w:rsidP="00E464A0">
            <w:pPr>
              <w:jc w:val="cente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 xml:space="preserve">matched and alive businesses </w:t>
            </w:r>
          </w:p>
        </w:tc>
      </w:tr>
      <w:tr w:rsidR="00A379D5" w:rsidRPr="00B06B1A" w14:paraId="27422255" w14:textId="77777777" w:rsidTr="00E464A0">
        <w:trPr>
          <w:trHeight w:val="642"/>
        </w:trPr>
        <w:tc>
          <w:tcPr>
            <w:tcW w:w="443" w:type="pct"/>
            <w:tcBorders>
              <w:top w:val="nil"/>
              <w:left w:val="nil"/>
              <w:bottom w:val="nil"/>
              <w:right w:val="nil"/>
            </w:tcBorders>
            <w:shd w:val="clear" w:color="auto" w:fill="auto"/>
            <w:noWrap/>
            <w:vAlign w:val="bottom"/>
            <w:hideMark/>
          </w:tcPr>
          <w:p w14:paraId="3ED72ACD" w14:textId="77777777" w:rsidR="00A379D5" w:rsidRPr="00B06B1A" w:rsidRDefault="00A379D5" w:rsidP="00E464A0">
            <w:pPr>
              <w:jc w:val="center"/>
              <w:rPr>
                <w:rFonts w:asciiTheme="minorHAnsi" w:eastAsia="Times New Roman" w:hAnsiTheme="minorHAnsi" w:cstheme="minorHAnsi"/>
                <w:sz w:val="20"/>
                <w:szCs w:val="20"/>
                <w:lang w:val="en-US"/>
              </w:rPr>
            </w:pPr>
          </w:p>
        </w:tc>
        <w:tc>
          <w:tcPr>
            <w:tcW w:w="814" w:type="pct"/>
            <w:tcBorders>
              <w:top w:val="nil"/>
              <w:left w:val="nil"/>
              <w:bottom w:val="nil"/>
              <w:right w:val="nil"/>
            </w:tcBorders>
            <w:shd w:val="clear" w:color="auto" w:fill="auto"/>
            <w:vAlign w:val="bottom"/>
            <w:hideMark/>
          </w:tcPr>
          <w:p w14:paraId="5F91C972" w14:textId="77777777" w:rsidR="00A379D5" w:rsidRPr="00B06B1A" w:rsidRDefault="00A379D5" w:rsidP="00E464A0">
            <w:pPr>
              <w:rPr>
                <w:rFonts w:asciiTheme="minorHAnsi" w:eastAsia="Times New Roman" w:hAnsiTheme="minorHAnsi" w:cstheme="minorHAnsi"/>
                <w:sz w:val="20"/>
                <w:szCs w:val="20"/>
                <w:lang w:val="en-US"/>
              </w:rPr>
            </w:pPr>
          </w:p>
        </w:tc>
        <w:tc>
          <w:tcPr>
            <w:tcW w:w="769" w:type="pct"/>
            <w:tcBorders>
              <w:top w:val="nil"/>
              <w:left w:val="nil"/>
              <w:bottom w:val="nil"/>
              <w:right w:val="nil"/>
            </w:tcBorders>
            <w:shd w:val="clear" w:color="auto" w:fill="auto"/>
            <w:vAlign w:val="bottom"/>
            <w:hideMark/>
          </w:tcPr>
          <w:p w14:paraId="76EA057C" w14:textId="77777777" w:rsidR="00A379D5" w:rsidRPr="00B06B1A" w:rsidRDefault="00A379D5" w:rsidP="00E464A0">
            <w:pPr>
              <w:rPr>
                <w:rFonts w:asciiTheme="minorHAnsi" w:eastAsia="Times New Roman" w:hAnsiTheme="minorHAnsi" w:cstheme="minorHAnsi"/>
                <w:sz w:val="20"/>
                <w:szCs w:val="20"/>
                <w:lang w:val="en-US"/>
              </w:rPr>
            </w:pPr>
          </w:p>
        </w:tc>
        <w:tc>
          <w:tcPr>
            <w:tcW w:w="576" w:type="pct"/>
            <w:tcBorders>
              <w:top w:val="nil"/>
              <w:left w:val="nil"/>
              <w:bottom w:val="nil"/>
              <w:right w:val="nil"/>
            </w:tcBorders>
            <w:shd w:val="clear" w:color="auto" w:fill="auto"/>
            <w:vAlign w:val="bottom"/>
            <w:hideMark/>
          </w:tcPr>
          <w:p w14:paraId="0AE1558B"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Multiple registries</w:t>
            </w:r>
          </w:p>
        </w:tc>
        <w:tc>
          <w:tcPr>
            <w:tcW w:w="599" w:type="pct"/>
            <w:tcBorders>
              <w:top w:val="nil"/>
              <w:left w:val="nil"/>
              <w:bottom w:val="nil"/>
              <w:right w:val="nil"/>
            </w:tcBorders>
            <w:shd w:val="clear" w:color="auto" w:fill="auto"/>
            <w:noWrap/>
            <w:vAlign w:val="bottom"/>
            <w:hideMark/>
          </w:tcPr>
          <w:p w14:paraId="019B73C4"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ICN</w:t>
            </w:r>
          </w:p>
        </w:tc>
        <w:tc>
          <w:tcPr>
            <w:tcW w:w="599" w:type="pct"/>
            <w:tcBorders>
              <w:top w:val="nil"/>
              <w:left w:val="nil"/>
              <w:bottom w:val="nil"/>
              <w:right w:val="nil"/>
            </w:tcBorders>
            <w:shd w:val="clear" w:color="auto" w:fill="auto"/>
            <w:noWrap/>
            <w:vAlign w:val="bottom"/>
            <w:hideMark/>
          </w:tcPr>
          <w:p w14:paraId="43B4D782"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DJPR</w:t>
            </w:r>
          </w:p>
        </w:tc>
        <w:tc>
          <w:tcPr>
            <w:tcW w:w="599" w:type="pct"/>
            <w:tcBorders>
              <w:top w:val="nil"/>
              <w:left w:val="nil"/>
              <w:bottom w:val="nil"/>
              <w:right w:val="nil"/>
            </w:tcBorders>
            <w:shd w:val="clear" w:color="auto" w:fill="auto"/>
            <w:noWrap/>
            <w:vAlign w:val="bottom"/>
            <w:hideMark/>
          </w:tcPr>
          <w:p w14:paraId="0BBC5DA3"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SN</w:t>
            </w:r>
          </w:p>
        </w:tc>
        <w:tc>
          <w:tcPr>
            <w:tcW w:w="602" w:type="pct"/>
            <w:tcBorders>
              <w:top w:val="nil"/>
              <w:left w:val="nil"/>
              <w:bottom w:val="nil"/>
              <w:right w:val="nil"/>
            </w:tcBorders>
            <w:shd w:val="clear" w:color="auto" w:fill="auto"/>
            <w:noWrap/>
            <w:vAlign w:val="bottom"/>
            <w:hideMark/>
          </w:tcPr>
          <w:p w14:paraId="5460F920"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ORIC</w:t>
            </w:r>
          </w:p>
        </w:tc>
      </w:tr>
      <w:tr w:rsidR="00A379D5" w:rsidRPr="00B06B1A" w14:paraId="499FC6B3" w14:textId="77777777" w:rsidTr="00E464A0">
        <w:trPr>
          <w:trHeight w:val="300"/>
        </w:trPr>
        <w:tc>
          <w:tcPr>
            <w:tcW w:w="443" w:type="pct"/>
            <w:tcBorders>
              <w:top w:val="nil"/>
              <w:left w:val="nil"/>
              <w:bottom w:val="nil"/>
              <w:right w:val="nil"/>
            </w:tcBorders>
            <w:shd w:val="clear" w:color="auto" w:fill="auto"/>
            <w:noWrap/>
            <w:vAlign w:val="bottom"/>
            <w:hideMark/>
          </w:tcPr>
          <w:p w14:paraId="2F2BEB53"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2006</w:t>
            </w:r>
          </w:p>
        </w:tc>
        <w:tc>
          <w:tcPr>
            <w:tcW w:w="814" w:type="pct"/>
            <w:tcBorders>
              <w:top w:val="nil"/>
              <w:left w:val="nil"/>
              <w:bottom w:val="nil"/>
              <w:right w:val="nil"/>
            </w:tcBorders>
            <w:shd w:val="clear" w:color="auto" w:fill="auto"/>
            <w:noWrap/>
            <w:vAlign w:val="bottom"/>
            <w:hideMark/>
          </w:tcPr>
          <w:p w14:paraId="42EF9DD4"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6,236</w:t>
            </w:r>
          </w:p>
        </w:tc>
        <w:tc>
          <w:tcPr>
            <w:tcW w:w="769" w:type="pct"/>
            <w:tcBorders>
              <w:top w:val="nil"/>
              <w:left w:val="nil"/>
              <w:bottom w:val="nil"/>
              <w:right w:val="nil"/>
            </w:tcBorders>
            <w:shd w:val="clear" w:color="auto" w:fill="auto"/>
            <w:noWrap/>
            <w:vAlign w:val="bottom"/>
            <w:hideMark/>
          </w:tcPr>
          <w:p w14:paraId="7D869D36"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2,178</w:t>
            </w:r>
          </w:p>
        </w:tc>
        <w:tc>
          <w:tcPr>
            <w:tcW w:w="576" w:type="pct"/>
            <w:tcBorders>
              <w:top w:val="nil"/>
              <w:left w:val="nil"/>
              <w:bottom w:val="nil"/>
              <w:right w:val="nil"/>
            </w:tcBorders>
            <w:shd w:val="clear" w:color="auto" w:fill="auto"/>
            <w:noWrap/>
            <w:vAlign w:val="bottom"/>
            <w:hideMark/>
          </w:tcPr>
          <w:p w14:paraId="304A2099"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490</w:t>
            </w:r>
          </w:p>
        </w:tc>
        <w:tc>
          <w:tcPr>
            <w:tcW w:w="599" w:type="pct"/>
            <w:tcBorders>
              <w:top w:val="nil"/>
              <w:left w:val="nil"/>
              <w:bottom w:val="nil"/>
              <w:right w:val="nil"/>
            </w:tcBorders>
            <w:shd w:val="clear" w:color="auto" w:fill="auto"/>
            <w:noWrap/>
            <w:vAlign w:val="bottom"/>
            <w:hideMark/>
          </w:tcPr>
          <w:p w14:paraId="26D14A5A"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309</w:t>
            </w:r>
          </w:p>
        </w:tc>
        <w:tc>
          <w:tcPr>
            <w:tcW w:w="599" w:type="pct"/>
            <w:tcBorders>
              <w:top w:val="nil"/>
              <w:left w:val="nil"/>
              <w:bottom w:val="nil"/>
              <w:right w:val="nil"/>
            </w:tcBorders>
            <w:shd w:val="clear" w:color="auto" w:fill="auto"/>
            <w:noWrap/>
            <w:vAlign w:val="bottom"/>
            <w:hideMark/>
          </w:tcPr>
          <w:p w14:paraId="461E1E16"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w:t>
            </w:r>
          </w:p>
        </w:tc>
        <w:tc>
          <w:tcPr>
            <w:tcW w:w="599" w:type="pct"/>
            <w:tcBorders>
              <w:top w:val="nil"/>
              <w:left w:val="nil"/>
              <w:bottom w:val="nil"/>
              <w:right w:val="nil"/>
            </w:tcBorders>
            <w:shd w:val="clear" w:color="auto" w:fill="auto"/>
            <w:noWrap/>
            <w:vAlign w:val="bottom"/>
            <w:hideMark/>
          </w:tcPr>
          <w:p w14:paraId="0C74FF19"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141</w:t>
            </w:r>
          </w:p>
        </w:tc>
        <w:tc>
          <w:tcPr>
            <w:tcW w:w="602" w:type="pct"/>
            <w:tcBorders>
              <w:top w:val="nil"/>
              <w:left w:val="nil"/>
              <w:bottom w:val="nil"/>
              <w:right w:val="nil"/>
            </w:tcBorders>
            <w:shd w:val="clear" w:color="auto" w:fill="auto"/>
            <w:noWrap/>
            <w:vAlign w:val="bottom"/>
            <w:hideMark/>
          </w:tcPr>
          <w:p w14:paraId="7F6B1208"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1,218</w:t>
            </w:r>
          </w:p>
        </w:tc>
      </w:tr>
      <w:tr w:rsidR="00A379D5" w:rsidRPr="00B06B1A" w14:paraId="30DD6E00" w14:textId="77777777" w:rsidTr="00E464A0">
        <w:trPr>
          <w:trHeight w:val="300"/>
        </w:trPr>
        <w:tc>
          <w:tcPr>
            <w:tcW w:w="443" w:type="pct"/>
            <w:tcBorders>
              <w:top w:val="nil"/>
              <w:left w:val="nil"/>
              <w:bottom w:val="nil"/>
              <w:right w:val="nil"/>
            </w:tcBorders>
            <w:shd w:val="clear" w:color="auto" w:fill="auto"/>
            <w:noWrap/>
            <w:vAlign w:val="bottom"/>
            <w:hideMark/>
          </w:tcPr>
          <w:p w14:paraId="11969C5E"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2007</w:t>
            </w:r>
          </w:p>
        </w:tc>
        <w:tc>
          <w:tcPr>
            <w:tcW w:w="814" w:type="pct"/>
            <w:tcBorders>
              <w:top w:val="nil"/>
              <w:left w:val="nil"/>
              <w:bottom w:val="nil"/>
              <w:right w:val="nil"/>
            </w:tcBorders>
            <w:shd w:val="clear" w:color="auto" w:fill="auto"/>
            <w:noWrap/>
            <w:vAlign w:val="bottom"/>
            <w:hideMark/>
          </w:tcPr>
          <w:p w14:paraId="59F985BC"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6,239</w:t>
            </w:r>
          </w:p>
        </w:tc>
        <w:tc>
          <w:tcPr>
            <w:tcW w:w="769" w:type="pct"/>
            <w:tcBorders>
              <w:top w:val="nil"/>
              <w:left w:val="nil"/>
              <w:bottom w:val="nil"/>
              <w:right w:val="nil"/>
            </w:tcBorders>
            <w:shd w:val="clear" w:color="auto" w:fill="auto"/>
            <w:noWrap/>
            <w:vAlign w:val="bottom"/>
            <w:hideMark/>
          </w:tcPr>
          <w:p w14:paraId="548C50FE"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2,062</w:t>
            </w:r>
          </w:p>
        </w:tc>
        <w:tc>
          <w:tcPr>
            <w:tcW w:w="576" w:type="pct"/>
            <w:tcBorders>
              <w:top w:val="nil"/>
              <w:left w:val="nil"/>
              <w:bottom w:val="nil"/>
              <w:right w:val="nil"/>
            </w:tcBorders>
            <w:shd w:val="clear" w:color="auto" w:fill="auto"/>
            <w:noWrap/>
            <w:vAlign w:val="bottom"/>
            <w:hideMark/>
          </w:tcPr>
          <w:p w14:paraId="260BF5FE"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453</w:t>
            </w:r>
          </w:p>
        </w:tc>
        <w:tc>
          <w:tcPr>
            <w:tcW w:w="599" w:type="pct"/>
            <w:tcBorders>
              <w:top w:val="nil"/>
              <w:left w:val="nil"/>
              <w:bottom w:val="nil"/>
              <w:right w:val="nil"/>
            </w:tcBorders>
            <w:shd w:val="clear" w:color="auto" w:fill="auto"/>
            <w:noWrap/>
            <w:vAlign w:val="bottom"/>
            <w:hideMark/>
          </w:tcPr>
          <w:p w14:paraId="33E8E352"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310</w:t>
            </w:r>
          </w:p>
        </w:tc>
        <w:tc>
          <w:tcPr>
            <w:tcW w:w="599" w:type="pct"/>
            <w:tcBorders>
              <w:top w:val="nil"/>
              <w:left w:val="nil"/>
              <w:bottom w:val="nil"/>
              <w:right w:val="nil"/>
            </w:tcBorders>
            <w:shd w:val="clear" w:color="auto" w:fill="auto"/>
            <w:noWrap/>
            <w:vAlign w:val="bottom"/>
            <w:hideMark/>
          </w:tcPr>
          <w:p w14:paraId="086596A9"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16</w:t>
            </w:r>
          </w:p>
        </w:tc>
        <w:tc>
          <w:tcPr>
            <w:tcW w:w="599" w:type="pct"/>
            <w:tcBorders>
              <w:top w:val="nil"/>
              <w:left w:val="nil"/>
              <w:bottom w:val="nil"/>
              <w:right w:val="nil"/>
            </w:tcBorders>
            <w:shd w:val="clear" w:color="auto" w:fill="auto"/>
            <w:noWrap/>
            <w:vAlign w:val="bottom"/>
            <w:hideMark/>
          </w:tcPr>
          <w:p w14:paraId="3C518B04"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128</w:t>
            </w:r>
          </w:p>
        </w:tc>
        <w:tc>
          <w:tcPr>
            <w:tcW w:w="602" w:type="pct"/>
            <w:tcBorders>
              <w:top w:val="nil"/>
              <w:left w:val="nil"/>
              <w:bottom w:val="nil"/>
              <w:right w:val="nil"/>
            </w:tcBorders>
            <w:shd w:val="clear" w:color="auto" w:fill="auto"/>
            <w:noWrap/>
            <w:vAlign w:val="bottom"/>
            <w:hideMark/>
          </w:tcPr>
          <w:p w14:paraId="1F4EE615"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1,155</w:t>
            </w:r>
          </w:p>
        </w:tc>
      </w:tr>
      <w:tr w:rsidR="00A379D5" w:rsidRPr="00B06B1A" w14:paraId="2E70D101" w14:textId="77777777" w:rsidTr="00E464A0">
        <w:trPr>
          <w:trHeight w:val="300"/>
        </w:trPr>
        <w:tc>
          <w:tcPr>
            <w:tcW w:w="443" w:type="pct"/>
            <w:tcBorders>
              <w:top w:val="nil"/>
              <w:left w:val="nil"/>
              <w:bottom w:val="nil"/>
              <w:right w:val="nil"/>
            </w:tcBorders>
            <w:shd w:val="clear" w:color="auto" w:fill="auto"/>
            <w:noWrap/>
            <w:vAlign w:val="bottom"/>
            <w:hideMark/>
          </w:tcPr>
          <w:p w14:paraId="39D1BC95"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2008</w:t>
            </w:r>
          </w:p>
        </w:tc>
        <w:tc>
          <w:tcPr>
            <w:tcW w:w="814" w:type="pct"/>
            <w:tcBorders>
              <w:top w:val="nil"/>
              <w:left w:val="nil"/>
              <w:bottom w:val="nil"/>
              <w:right w:val="nil"/>
            </w:tcBorders>
            <w:shd w:val="clear" w:color="auto" w:fill="auto"/>
            <w:noWrap/>
            <w:vAlign w:val="bottom"/>
            <w:hideMark/>
          </w:tcPr>
          <w:p w14:paraId="3E3C7E04"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6,241</w:t>
            </w:r>
          </w:p>
        </w:tc>
        <w:tc>
          <w:tcPr>
            <w:tcW w:w="769" w:type="pct"/>
            <w:tcBorders>
              <w:top w:val="nil"/>
              <w:left w:val="nil"/>
              <w:bottom w:val="nil"/>
              <w:right w:val="nil"/>
            </w:tcBorders>
            <w:shd w:val="clear" w:color="auto" w:fill="auto"/>
            <w:noWrap/>
            <w:vAlign w:val="bottom"/>
            <w:hideMark/>
          </w:tcPr>
          <w:p w14:paraId="31BB29C8"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2,120</w:t>
            </w:r>
          </w:p>
        </w:tc>
        <w:tc>
          <w:tcPr>
            <w:tcW w:w="576" w:type="pct"/>
            <w:tcBorders>
              <w:top w:val="nil"/>
              <w:left w:val="nil"/>
              <w:bottom w:val="nil"/>
              <w:right w:val="nil"/>
            </w:tcBorders>
            <w:shd w:val="clear" w:color="auto" w:fill="auto"/>
            <w:noWrap/>
            <w:vAlign w:val="bottom"/>
            <w:hideMark/>
          </w:tcPr>
          <w:p w14:paraId="743EBEAF"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480</w:t>
            </w:r>
          </w:p>
        </w:tc>
        <w:tc>
          <w:tcPr>
            <w:tcW w:w="599" w:type="pct"/>
            <w:tcBorders>
              <w:top w:val="nil"/>
              <w:left w:val="nil"/>
              <w:bottom w:val="nil"/>
              <w:right w:val="nil"/>
            </w:tcBorders>
            <w:shd w:val="clear" w:color="auto" w:fill="auto"/>
            <w:noWrap/>
            <w:vAlign w:val="bottom"/>
            <w:hideMark/>
          </w:tcPr>
          <w:p w14:paraId="26264865"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364</w:t>
            </w:r>
          </w:p>
        </w:tc>
        <w:tc>
          <w:tcPr>
            <w:tcW w:w="599" w:type="pct"/>
            <w:tcBorders>
              <w:top w:val="nil"/>
              <w:left w:val="nil"/>
              <w:bottom w:val="nil"/>
              <w:right w:val="nil"/>
            </w:tcBorders>
            <w:shd w:val="clear" w:color="auto" w:fill="auto"/>
            <w:noWrap/>
            <w:vAlign w:val="bottom"/>
            <w:hideMark/>
          </w:tcPr>
          <w:p w14:paraId="25B4183E"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19</w:t>
            </w:r>
          </w:p>
        </w:tc>
        <w:tc>
          <w:tcPr>
            <w:tcW w:w="599" w:type="pct"/>
            <w:tcBorders>
              <w:top w:val="nil"/>
              <w:left w:val="nil"/>
              <w:bottom w:val="nil"/>
              <w:right w:val="nil"/>
            </w:tcBorders>
            <w:shd w:val="clear" w:color="auto" w:fill="auto"/>
            <w:noWrap/>
            <w:vAlign w:val="bottom"/>
            <w:hideMark/>
          </w:tcPr>
          <w:p w14:paraId="0912DC4B"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144</w:t>
            </w:r>
          </w:p>
        </w:tc>
        <w:tc>
          <w:tcPr>
            <w:tcW w:w="602" w:type="pct"/>
            <w:tcBorders>
              <w:top w:val="nil"/>
              <w:left w:val="nil"/>
              <w:bottom w:val="nil"/>
              <w:right w:val="nil"/>
            </w:tcBorders>
            <w:shd w:val="clear" w:color="auto" w:fill="auto"/>
            <w:noWrap/>
            <w:vAlign w:val="bottom"/>
            <w:hideMark/>
          </w:tcPr>
          <w:p w14:paraId="3399CD96"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1,113</w:t>
            </w:r>
          </w:p>
        </w:tc>
      </w:tr>
      <w:tr w:rsidR="00A379D5" w:rsidRPr="00B06B1A" w14:paraId="74E282AD" w14:textId="77777777" w:rsidTr="00E464A0">
        <w:trPr>
          <w:trHeight w:val="300"/>
        </w:trPr>
        <w:tc>
          <w:tcPr>
            <w:tcW w:w="443" w:type="pct"/>
            <w:tcBorders>
              <w:top w:val="nil"/>
              <w:left w:val="nil"/>
              <w:bottom w:val="nil"/>
              <w:right w:val="nil"/>
            </w:tcBorders>
            <w:shd w:val="clear" w:color="auto" w:fill="auto"/>
            <w:noWrap/>
            <w:vAlign w:val="bottom"/>
            <w:hideMark/>
          </w:tcPr>
          <w:p w14:paraId="390EE137"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2009</w:t>
            </w:r>
          </w:p>
        </w:tc>
        <w:tc>
          <w:tcPr>
            <w:tcW w:w="814" w:type="pct"/>
            <w:tcBorders>
              <w:top w:val="nil"/>
              <w:left w:val="nil"/>
              <w:bottom w:val="nil"/>
              <w:right w:val="nil"/>
            </w:tcBorders>
            <w:shd w:val="clear" w:color="auto" w:fill="auto"/>
            <w:noWrap/>
            <w:vAlign w:val="bottom"/>
            <w:hideMark/>
          </w:tcPr>
          <w:p w14:paraId="0AE2CA42"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6,238</w:t>
            </w:r>
          </w:p>
        </w:tc>
        <w:tc>
          <w:tcPr>
            <w:tcW w:w="769" w:type="pct"/>
            <w:tcBorders>
              <w:top w:val="nil"/>
              <w:left w:val="nil"/>
              <w:bottom w:val="nil"/>
              <w:right w:val="nil"/>
            </w:tcBorders>
            <w:shd w:val="clear" w:color="auto" w:fill="auto"/>
            <w:noWrap/>
            <w:vAlign w:val="bottom"/>
            <w:hideMark/>
          </w:tcPr>
          <w:p w14:paraId="39760032"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2,165</w:t>
            </w:r>
          </w:p>
        </w:tc>
        <w:tc>
          <w:tcPr>
            <w:tcW w:w="576" w:type="pct"/>
            <w:tcBorders>
              <w:top w:val="nil"/>
              <w:left w:val="nil"/>
              <w:bottom w:val="nil"/>
              <w:right w:val="nil"/>
            </w:tcBorders>
            <w:shd w:val="clear" w:color="auto" w:fill="auto"/>
            <w:noWrap/>
            <w:vAlign w:val="bottom"/>
            <w:hideMark/>
          </w:tcPr>
          <w:p w14:paraId="7EF25D2B"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502</w:t>
            </w:r>
          </w:p>
        </w:tc>
        <w:tc>
          <w:tcPr>
            <w:tcW w:w="599" w:type="pct"/>
            <w:tcBorders>
              <w:top w:val="nil"/>
              <w:left w:val="nil"/>
              <w:bottom w:val="nil"/>
              <w:right w:val="nil"/>
            </w:tcBorders>
            <w:shd w:val="clear" w:color="auto" w:fill="auto"/>
            <w:noWrap/>
            <w:vAlign w:val="bottom"/>
            <w:hideMark/>
          </w:tcPr>
          <w:p w14:paraId="32ED471D"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409</w:t>
            </w:r>
          </w:p>
        </w:tc>
        <w:tc>
          <w:tcPr>
            <w:tcW w:w="599" w:type="pct"/>
            <w:tcBorders>
              <w:top w:val="nil"/>
              <w:left w:val="nil"/>
              <w:bottom w:val="nil"/>
              <w:right w:val="nil"/>
            </w:tcBorders>
            <w:shd w:val="clear" w:color="auto" w:fill="auto"/>
            <w:noWrap/>
            <w:vAlign w:val="bottom"/>
            <w:hideMark/>
          </w:tcPr>
          <w:p w14:paraId="53CDED30"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26</w:t>
            </w:r>
          </w:p>
        </w:tc>
        <w:tc>
          <w:tcPr>
            <w:tcW w:w="599" w:type="pct"/>
            <w:tcBorders>
              <w:top w:val="nil"/>
              <w:left w:val="nil"/>
              <w:bottom w:val="nil"/>
              <w:right w:val="nil"/>
            </w:tcBorders>
            <w:shd w:val="clear" w:color="auto" w:fill="auto"/>
            <w:noWrap/>
            <w:vAlign w:val="bottom"/>
            <w:hideMark/>
          </w:tcPr>
          <w:p w14:paraId="1E11397C"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158</w:t>
            </w:r>
          </w:p>
        </w:tc>
        <w:tc>
          <w:tcPr>
            <w:tcW w:w="602" w:type="pct"/>
            <w:tcBorders>
              <w:top w:val="nil"/>
              <w:left w:val="nil"/>
              <w:bottom w:val="nil"/>
              <w:right w:val="nil"/>
            </w:tcBorders>
            <w:shd w:val="clear" w:color="auto" w:fill="auto"/>
            <w:noWrap/>
            <w:vAlign w:val="bottom"/>
            <w:hideMark/>
          </w:tcPr>
          <w:p w14:paraId="15D704DE"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1,070</w:t>
            </w:r>
          </w:p>
        </w:tc>
      </w:tr>
      <w:tr w:rsidR="00A379D5" w:rsidRPr="00B06B1A" w14:paraId="7A957683" w14:textId="77777777" w:rsidTr="00E464A0">
        <w:trPr>
          <w:trHeight w:val="300"/>
        </w:trPr>
        <w:tc>
          <w:tcPr>
            <w:tcW w:w="443" w:type="pct"/>
            <w:tcBorders>
              <w:top w:val="nil"/>
              <w:left w:val="nil"/>
              <w:bottom w:val="nil"/>
              <w:right w:val="nil"/>
            </w:tcBorders>
            <w:shd w:val="clear" w:color="auto" w:fill="auto"/>
            <w:noWrap/>
            <w:vAlign w:val="bottom"/>
            <w:hideMark/>
          </w:tcPr>
          <w:p w14:paraId="30BC125F"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lastRenderedPageBreak/>
              <w:t>2010</w:t>
            </w:r>
          </w:p>
        </w:tc>
        <w:tc>
          <w:tcPr>
            <w:tcW w:w="814" w:type="pct"/>
            <w:tcBorders>
              <w:top w:val="nil"/>
              <w:left w:val="nil"/>
              <w:bottom w:val="nil"/>
              <w:right w:val="nil"/>
            </w:tcBorders>
            <w:shd w:val="clear" w:color="auto" w:fill="auto"/>
            <w:noWrap/>
            <w:vAlign w:val="bottom"/>
            <w:hideMark/>
          </w:tcPr>
          <w:p w14:paraId="3A19932A"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6,239</w:t>
            </w:r>
          </w:p>
        </w:tc>
        <w:tc>
          <w:tcPr>
            <w:tcW w:w="769" w:type="pct"/>
            <w:tcBorders>
              <w:top w:val="nil"/>
              <w:left w:val="nil"/>
              <w:bottom w:val="nil"/>
              <w:right w:val="nil"/>
            </w:tcBorders>
            <w:shd w:val="clear" w:color="auto" w:fill="auto"/>
            <w:noWrap/>
            <w:vAlign w:val="bottom"/>
            <w:hideMark/>
          </w:tcPr>
          <w:p w14:paraId="022F8522"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2,293</w:t>
            </w:r>
          </w:p>
        </w:tc>
        <w:tc>
          <w:tcPr>
            <w:tcW w:w="576" w:type="pct"/>
            <w:tcBorders>
              <w:top w:val="nil"/>
              <w:left w:val="nil"/>
              <w:bottom w:val="nil"/>
              <w:right w:val="nil"/>
            </w:tcBorders>
            <w:shd w:val="clear" w:color="auto" w:fill="auto"/>
            <w:noWrap/>
            <w:vAlign w:val="bottom"/>
            <w:hideMark/>
          </w:tcPr>
          <w:p w14:paraId="741318C7"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534</w:t>
            </w:r>
          </w:p>
        </w:tc>
        <w:tc>
          <w:tcPr>
            <w:tcW w:w="599" w:type="pct"/>
            <w:tcBorders>
              <w:top w:val="nil"/>
              <w:left w:val="nil"/>
              <w:bottom w:val="nil"/>
              <w:right w:val="nil"/>
            </w:tcBorders>
            <w:shd w:val="clear" w:color="auto" w:fill="auto"/>
            <w:noWrap/>
            <w:vAlign w:val="bottom"/>
            <w:hideMark/>
          </w:tcPr>
          <w:p w14:paraId="1BAA89AD"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463</w:t>
            </w:r>
          </w:p>
        </w:tc>
        <w:tc>
          <w:tcPr>
            <w:tcW w:w="599" w:type="pct"/>
            <w:tcBorders>
              <w:top w:val="nil"/>
              <w:left w:val="nil"/>
              <w:bottom w:val="nil"/>
              <w:right w:val="nil"/>
            </w:tcBorders>
            <w:shd w:val="clear" w:color="auto" w:fill="auto"/>
            <w:noWrap/>
            <w:vAlign w:val="bottom"/>
            <w:hideMark/>
          </w:tcPr>
          <w:p w14:paraId="7870744E"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30</w:t>
            </w:r>
          </w:p>
        </w:tc>
        <w:tc>
          <w:tcPr>
            <w:tcW w:w="599" w:type="pct"/>
            <w:tcBorders>
              <w:top w:val="nil"/>
              <w:left w:val="nil"/>
              <w:bottom w:val="nil"/>
              <w:right w:val="nil"/>
            </w:tcBorders>
            <w:shd w:val="clear" w:color="auto" w:fill="auto"/>
            <w:noWrap/>
            <w:vAlign w:val="bottom"/>
            <w:hideMark/>
          </w:tcPr>
          <w:p w14:paraId="0D2AD8F6"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176</w:t>
            </w:r>
          </w:p>
        </w:tc>
        <w:tc>
          <w:tcPr>
            <w:tcW w:w="602" w:type="pct"/>
            <w:tcBorders>
              <w:top w:val="nil"/>
              <w:left w:val="nil"/>
              <w:bottom w:val="nil"/>
              <w:right w:val="nil"/>
            </w:tcBorders>
            <w:shd w:val="clear" w:color="auto" w:fill="auto"/>
            <w:noWrap/>
            <w:vAlign w:val="bottom"/>
            <w:hideMark/>
          </w:tcPr>
          <w:p w14:paraId="3FD21C53"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1,090</w:t>
            </w:r>
          </w:p>
        </w:tc>
      </w:tr>
      <w:tr w:rsidR="00A379D5" w:rsidRPr="00B06B1A" w14:paraId="6A150262" w14:textId="77777777" w:rsidTr="00E464A0">
        <w:trPr>
          <w:trHeight w:val="300"/>
        </w:trPr>
        <w:tc>
          <w:tcPr>
            <w:tcW w:w="443" w:type="pct"/>
            <w:tcBorders>
              <w:top w:val="nil"/>
              <w:left w:val="nil"/>
              <w:bottom w:val="nil"/>
              <w:right w:val="nil"/>
            </w:tcBorders>
            <w:shd w:val="clear" w:color="auto" w:fill="auto"/>
            <w:noWrap/>
            <w:vAlign w:val="bottom"/>
            <w:hideMark/>
          </w:tcPr>
          <w:p w14:paraId="52F0820A"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2011</w:t>
            </w:r>
          </w:p>
        </w:tc>
        <w:tc>
          <w:tcPr>
            <w:tcW w:w="814" w:type="pct"/>
            <w:tcBorders>
              <w:top w:val="nil"/>
              <w:left w:val="nil"/>
              <w:bottom w:val="nil"/>
              <w:right w:val="nil"/>
            </w:tcBorders>
            <w:shd w:val="clear" w:color="auto" w:fill="auto"/>
            <w:noWrap/>
            <w:vAlign w:val="bottom"/>
            <w:hideMark/>
          </w:tcPr>
          <w:p w14:paraId="6FB99C9C"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6,240</w:t>
            </w:r>
          </w:p>
        </w:tc>
        <w:tc>
          <w:tcPr>
            <w:tcW w:w="769" w:type="pct"/>
            <w:tcBorders>
              <w:top w:val="nil"/>
              <w:left w:val="nil"/>
              <w:bottom w:val="nil"/>
              <w:right w:val="nil"/>
            </w:tcBorders>
            <w:shd w:val="clear" w:color="auto" w:fill="auto"/>
            <w:noWrap/>
            <w:vAlign w:val="bottom"/>
            <w:hideMark/>
          </w:tcPr>
          <w:p w14:paraId="3EBA0ADA"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2,411</w:t>
            </w:r>
          </w:p>
        </w:tc>
        <w:tc>
          <w:tcPr>
            <w:tcW w:w="576" w:type="pct"/>
            <w:tcBorders>
              <w:top w:val="nil"/>
              <w:left w:val="nil"/>
              <w:bottom w:val="nil"/>
              <w:right w:val="nil"/>
            </w:tcBorders>
            <w:shd w:val="clear" w:color="auto" w:fill="auto"/>
            <w:noWrap/>
            <w:vAlign w:val="bottom"/>
            <w:hideMark/>
          </w:tcPr>
          <w:p w14:paraId="023F228B"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566</w:t>
            </w:r>
          </w:p>
        </w:tc>
        <w:tc>
          <w:tcPr>
            <w:tcW w:w="599" w:type="pct"/>
            <w:tcBorders>
              <w:top w:val="nil"/>
              <w:left w:val="nil"/>
              <w:bottom w:val="nil"/>
              <w:right w:val="nil"/>
            </w:tcBorders>
            <w:shd w:val="clear" w:color="auto" w:fill="auto"/>
            <w:noWrap/>
            <w:vAlign w:val="bottom"/>
            <w:hideMark/>
          </w:tcPr>
          <w:p w14:paraId="4B1CDDB3"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520</w:t>
            </w:r>
          </w:p>
        </w:tc>
        <w:tc>
          <w:tcPr>
            <w:tcW w:w="599" w:type="pct"/>
            <w:tcBorders>
              <w:top w:val="nil"/>
              <w:left w:val="nil"/>
              <w:bottom w:val="nil"/>
              <w:right w:val="nil"/>
            </w:tcBorders>
            <w:shd w:val="clear" w:color="auto" w:fill="auto"/>
            <w:noWrap/>
            <w:vAlign w:val="bottom"/>
            <w:hideMark/>
          </w:tcPr>
          <w:p w14:paraId="2D720681"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32</w:t>
            </w:r>
          </w:p>
        </w:tc>
        <w:tc>
          <w:tcPr>
            <w:tcW w:w="599" w:type="pct"/>
            <w:tcBorders>
              <w:top w:val="nil"/>
              <w:left w:val="nil"/>
              <w:bottom w:val="nil"/>
              <w:right w:val="nil"/>
            </w:tcBorders>
            <w:shd w:val="clear" w:color="auto" w:fill="auto"/>
            <w:noWrap/>
            <w:vAlign w:val="bottom"/>
            <w:hideMark/>
          </w:tcPr>
          <w:p w14:paraId="0A70519E"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217</w:t>
            </w:r>
          </w:p>
        </w:tc>
        <w:tc>
          <w:tcPr>
            <w:tcW w:w="602" w:type="pct"/>
            <w:tcBorders>
              <w:top w:val="nil"/>
              <w:left w:val="nil"/>
              <w:bottom w:val="nil"/>
              <w:right w:val="nil"/>
            </w:tcBorders>
            <w:shd w:val="clear" w:color="auto" w:fill="auto"/>
            <w:noWrap/>
            <w:vAlign w:val="bottom"/>
            <w:hideMark/>
          </w:tcPr>
          <w:p w14:paraId="11F7CA35"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1,076</w:t>
            </w:r>
          </w:p>
        </w:tc>
      </w:tr>
      <w:tr w:rsidR="00A379D5" w:rsidRPr="00B06B1A" w14:paraId="4FDE5269" w14:textId="77777777" w:rsidTr="00E464A0">
        <w:trPr>
          <w:trHeight w:val="300"/>
        </w:trPr>
        <w:tc>
          <w:tcPr>
            <w:tcW w:w="443" w:type="pct"/>
            <w:tcBorders>
              <w:top w:val="nil"/>
              <w:left w:val="nil"/>
              <w:bottom w:val="nil"/>
              <w:right w:val="nil"/>
            </w:tcBorders>
            <w:shd w:val="clear" w:color="auto" w:fill="auto"/>
            <w:noWrap/>
            <w:vAlign w:val="bottom"/>
            <w:hideMark/>
          </w:tcPr>
          <w:p w14:paraId="43094D1B"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2012</w:t>
            </w:r>
          </w:p>
        </w:tc>
        <w:tc>
          <w:tcPr>
            <w:tcW w:w="814" w:type="pct"/>
            <w:tcBorders>
              <w:top w:val="nil"/>
              <w:left w:val="nil"/>
              <w:bottom w:val="nil"/>
              <w:right w:val="nil"/>
            </w:tcBorders>
            <w:shd w:val="clear" w:color="auto" w:fill="auto"/>
            <w:noWrap/>
            <w:vAlign w:val="bottom"/>
            <w:hideMark/>
          </w:tcPr>
          <w:p w14:paraId="56DFE70A"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6,240</w:t>
            </w:r>
          </w:p>
        </w:tc>
        <w:tc>
          <w:tcPr>
            <w:tcW w:w="769" w:type="pct"/>
            <w:tcBorders>
              <w:top w:val="nil"/>
              <w:left w:val="nil"/>
              <w:bottom w:val="nil"/>
              <w:right w:val="nil"/>
            </w:tcBorders>
            <w:shd w:val="clear" w:color="auto" w:fill="auto"/>
            <w:noWrap/>
            <w:vAlign w:val="bottom"/>
            <w:hideMark/>
          </w:tcPr>
          <w:p w14:paraId="66AF497D"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2,526</w:t>
            </w:r>
          </w:p>
        </w:tc>
        <w:tc>
          <w:tcPr>
            <w:tcW w:w="576" w:type="pct"/>
            <w:tcBorders>
              <w:top w:val="nil"/>
              <w:left w:val="nil"/>
              <w:bottom w:val="nil"/>
              <w:right w:val="nil"/>
            </w:tcBorders>
            <w:shd w:val="clear" w:color="auto" w:fill="auto"/>
            <w:noWrap/>
            <w:vAlign w:val="bottom"/>
            <w:hideMark/>
          </w:tcPr>
          <w:p w14:paraId="6DA33EF6"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588</w:t>
            </w:r>
          </w:p>
        </w:tc>
        <w:tc>
          <w:tcPr>
            <w:tcW w:w="599" w:type="pct"/>
            <w:tcBorders>
              <w:top w:val="nil"/>
              <w:left w:val="nil"/>
              <w:bottom w:val="nil"/>
              <w:right w:val="nil"/>
            </w:tcBorders>
            <w:shd w:val="clear" w:color="auto" w:fill="auto"/>
            <w:noWrap/>
            <w:vAlign w:val="bottom"/>
            <w:hideMark/>
          </w:tcPr>
          <w:p w14:paraId="2AB35B8E"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577</w:t>
            </w:r>
          </w:p>
        </w:tc>
        <w:tc>
          <w:tcPr>
            <w:tcW w:w="599" w:type="pct"/>
            <w:tcBorders>
              <w:top w:val="nil"/>
              <w:left w:val="nil"/>
              <w:bottom w:val="nil"/>
              <w:right w:val="nil"/>
            </w:tcBorders>
            <w:shd w:val="clear" w:color="auto" w:fill="auto"/>
            <w:noWrap/>
            <w:vAlign w:val="bottom"/>
            <w:hideMark/>
          </w:tcPr>
          <w:p w14:paraId="3DCC178D"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31</w:t>
            </w:r>
          </w:p>
        </w:tc>
        <w:tc>
          <w:tcPr>
            <w:tcW w:w="599" w:type="pct"/>
            <w:tcBorders>
              <w:top w:val="nil"/>
              <w:left w:val="nil"/>
              <w:bottom w:val="nil"/>
              <w:right w:val="nil"/>
            </w:tcBorders>
            <w:shd w:val="clear" w:color="auto" w:fill="auto"/>
            <w:noWrap/>
            <w:vAlign w:val="bottom"/>
            <w:hideMark/>
          </w:tcPr>
          <w:p w14:paraId="59B04234"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247</w:t>
            </w:r>
          </w:p>
        </w:tc>
        <w:tc>
          <w:tcPr>
            <w:tcW w:w="602" w:type="pct"/>
            <w:tcBorders>
              <w:top w:val="nil"/>
              <w:left w:val="nil"/>
              <w:bottom w:val="nil"/>
              <w:right w:val="nil"/>
            </w:tcBorders>
            <w:shd w:val="clear" w:color="auto" w:fill="auto"/>
            <w:noWrap/>
            <w:vAlign w:val="bottom"/>
            <w:hideMark/>
          </w:tcPr>
          <w:p w14:paraId="59E8B7C1"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1,083</w:t>
            </w:r>
          </w:p>
        </w:tc>
      </w:tr>
      <w:tr w:rsidR="00A379D5" w:rsidRPr="00B06B1A" w14:paraId="114234D7" w14:textId="77777777" w:rsidTr="00E464A0">
        <w:trPr>
          <w:trHeight w:val="300"/>
        </w:trPr>
        <w:tc>
          <w:tcPr>
            <w:tcW w:w="443" w:type="pct"/>
            <w:tcBorders>
              <w:top w:val="nil"/>
              <w:left w:val="nil"/>
              <w:bottom w:val="nil"/>
              <w:right w:val="nil"/>
            </w:tcBorders>
            <w:shd w:val="clear" w:color="auto" w:fill="auto"/>
            <w:noWrap/>
            <w:vAlign w:val="bottom"/>
            <w:hideMark/>
          </w:tcPr>
          <w:p w14:paraId="1F0C642F"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2013</w:t>
            </w:r>
          </w:p>
        </w:tc>
        <w:tc>
          <w:tcPr>
            <w:tcW w:w="814" w:type="pct"/>
            <w:tcBorders>
              <w:top w:val="nil"/>
              <w:left w:val="nil"/>
              <w:bottom w:val="nil"/>
              <w:right w:val="nil"/>
            </w:tcBorders>
            <w:shd w:val="clear" w:color="auto" w:fill="auto"/>
            <w:noWrap/>
            <w:vAlign w:val="bottom"/>
            <w:hideMark/>
          </w:tcPr>
          <w:p w14:paraId="396C10FA"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6,251</w:t>
            </w:r>
          </w:p>
        </w:tc>
        <w:tc>
          <w:tcPr>
            <w:tcW w:w="769" w:type="pct"/>
            <w:tcBorders>
              <w:top w:val="nil"/>
              <w:left w:val="nil"/>
              <w:bottom w:val="nil"/>
              <w:right w:val="nil"/>
            </w:tcBorders>
            <w:shd w:val="clear" w:color="auto" w:fill="auto"/>
            <w:noWrap/>
            <w:vAlign w:val="bottom"/>
            <w:hideMark/>
          </w:tcPr>
          <w:p w14:paraId="01D41F9D"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2,625</w:t>
            </w:r>
          </w:p>
        </w:tc>
        <w:tc>
          <w:tcPr>
            <w:tcW w:w="576" w:type="pct"/>
            <w:tcBorders>
              <w:top w:val="nil"/>
              <w:left w:val="nil"/>
              <w:bottom w:val="nil"/>
              <w:right w:val="nil"/>
            </w:tcBorders>
            <w:shd w:val="clear" w:color="auto" w:fill="auto"/>
            <w:noWrap/>
            <w:vAlign w:val="bottom"/>
            <w:hideMark/>
          </w:tcPr>
          <w:p w14:paraId="41CD86E1"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622</w:t>
            </w:r>
          </w:p>
        </w:tc>
        <w:tc>
          <w:tcPr>
            <w:tcW w:w="599" w:type="pct"/>
            <w:tcBorders>
              <w:top w:val="nil"/>
              <w:left w:val="nil"/>
              <w:bottom w:val="nil"/>
              <w:right w:val="nil"/>
            </w:tcBorders>
            <w:shd w:val="clear" w:color="auto" w:fill="auto"/>
            <w:noWrap/>
            <w:vAlign w:val="bottom"/>
            <w:hideMark/>
          </w:tcPr>
          <w:p w14:paraId="04BC2C1A"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620</w:t>
            </w:r>
          </w:p>
        </w:tc>
        <w:tc>
          <w:tcPr>
            <w:tcW w:w="599" w:type="pct"/>
            <w:tcBorders>
              <w:top w:val="nil"/>
              <w:left w:val="nil"/>
              <w:bottom w:val="nil"/>
              <w:right w:val="nil"/>
            </w:tcBorders>
            <w:shd w:val="clear" w:color="auto" w:fill="auto"/>
            <w:noWrap/>
            <w:vAlign w:val="bottom"/>
            <w:hideMark/>
          </w:tcPr>
          <w:p w14:paraId="41F49B11"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36</w:t>
            </w:r>
          </w:p>
        </w:tc>
        <w:tc>
          <w:tcPr>
            <w:tcW w:w="599" w:type="pct"/>
            <w:tcBorders>
              <w:top w:val="nil"/>
              <w:left w:val="nil"/>
              <w:bottom w:val="nil"/>
              <w:right w:val="nil"/>
            </w:tcBorders>
            <w:shd w:val="clear" w:color="auto" w:fill="auto"/>
            <w:noWrap/>
            <w:vAlign w:val="bottom"/>
            <w:hideMark/>
          </w:tcPr>
          <w:p w14:paraId="5FEDA8CD"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261</w:t>
            </w:r>
          </w:p>
        </w:tc>
        <w:tc>
          <w:tcPr>
            <w:tcW w:w="602" w:type="pct"/>
            <w:tcBorders>
              <w:top w:val="nil"/>
              <w:left w:val="nil"/>
              <w:bottom w:val="nil"/>
              <w:right w:val="nil"/>
            </w:tcBorders>
            <w:shd w:val="clear" w:color="auto" w:fill="auto"/>
            <w:noWrap/>
            <w:vAlign w:val="bottom"/>
            <w:hideMark/>
          </w:tcPr>
          <w:p w14:paraId="3B71A135"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1,086</w:t>
            </w:r>
          </w:p>
        </w:tc>
      </w:tr>
      <w:tr w:rsidR="00A379D5" w:rsidRPr="00B06B1A" w14:paraId="79A98236" w14:textId="77777777" w:rsidTr="00E464A0">
        <w:trPr>
          <w:trHeight w:val="300"/>
        </w:trPr>
        <w:tc>
          <w:tcPr>
            <w:tcW w:w="443" w:type="pct"/>
            <w:tcBorders>
              <w:top w:val="nil"/>
              <w:left w:val="nil"/>
              <w:bottom w:val="nil"/>
              <w:right w:val="nil"/>
            </w:tcBorders>
            <w:shd w:val="clear" w:color="auto" w:fill="auto"/>
            <w:noWrap/>
            <w:vAlign w:val="bottom"/>
            <w:hideMark/>
          </w:tcPr>
          <w:p w14:paraId="33F1D3A1"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2014</w:t>
            </w:r>
          </w:p>
        </w:tc>
        <w:tc>
          <w:tcPr>
            <w:tcW w:w="814" w:type="pct"/>
            <w:tcBorders>
              <w:top w:val="nil"/>
              <w:left w:val="nil"/>
              <w:bottom w:val="nil"/>
              <w:right w:val="nil"/>
            </w:tcBorders>
            <w:shd w:val="clear" w:color="auto" w:fill="auto"/>
            <w:noWrap/>
            <w:vAlign w:val="bottom"/>
            <w:hideMark/>
          </w:tcPr>
          <w:p w14:paraId="5F5091D1"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6,256</w:t>
            </w:r>
          </w:p>
        </w:tc>
        <w:tc>
          <w:tcPr>
            <w:tcW w:w="769" w:type="pct"/>
            <w:tcBorders>
              <w:top w:val="nil"/>
              <w:left w:val="nil"/>
              <w:bottom w:val="nil"/>
              <w:right w:val="nil"/>
            </w:tcBorders>
            <w:shd w:val="clear" w:color="auto" w:fill="auto"/>
            <w:noWrap/>
            <w:vAlign w:val="bottom"/>
            <w:hideMark/>
          </w:tcPr>
          <w:p w14:paraId="30F6DFF6"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2,804</w:t>
            </w:r>
          </w:p>
        </w:tc>
        <w:tc>
          <w:tcPr>
            <w:tcW w:w="576" w:type="pct"/>
            <w:tcBorders>
              <w:top w:val="nil"/>
              <w:left w:val="nil"/>
              <w:bottom w:val="nil"/>
              <w:right w:val="nil"/>
            </w:tcBorders>
            <w:shd w:val="clear" w:color="auto" w:fill="auto"/>
            <w:noWrap/>
            <w:vAlign w:val="bottom"/>
            <w:hideMark/>
          </w:tcPr>
          <w:p w14:paraId="09FA9C77"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676</w:t>
            </w:r>
          </w:p>
        </w:tc>
        <w:tc>
          <w:tcPr>
            <w:tcW w:w="599" w:type="pct"/>
            <w:tcBorders>
              <w:top w:val="nil"/>
              <w:left w:val="nil"/>
              <w:bottom w:val="nil"/>
              <w:right w:val="nil"/>
            </w:tcBorders>
            <w:shd w:val="clear" w:color="auto" w:fill="auto"/>
            <w:noWrap/>
            <w:vAlign w:val="bottom"/>
            <w:hideMark/>
          </w:tcPr>
          <w:p w14:paraId="6E512844"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685</w:t>
            </w:r>
          </w:p>
        </w:tc>
        <w:tc>
          <w:tcPr>
            <w:tcW w:w="599" w:type="pct"/>
            <w:tcBorders>
              <w:top w:val="nil"/>
              <w:left w:val="nil"/>
              <w:bottom w:val="nil"/>
              <w:right w:val="nil"/>
            </w:tcBorders>
            <w:shd w:val="clear" w:color="auto" w:fill="auto"/>
            <w:noWrap/>
            <w:vAlign w:val="bottom"/>
            <w:hideMark/>
          </w:tcPr>
          <w:p w14:paraId="3A82AAE5"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43</w:t>
            </w:r>
          </w:p>
        </w:tc>
        <w:tc>
          <w:tcPr>
            <w:tcW w:w="599" w:type="pct"/>
            <w:tcBorders>
              <w:top w:val="nil"/>
              <w:left w:val="nil"/>
              <w:bottom w:val="nil"/>
              <w:right w:val="nil"/>
            </w:tcBorders>
            <w:shd w:val="clear" w:color="auto" w:fill="auto"/>
            <w:noWrap/>
            <w:vAlign w:val="bottom"/>
            <w:hideMark/>
          </w:tcPr>
          <w:p w14:paraId="41E2E623"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326</w:t>
            </w:r>
          </w:p>
        </w:tc>
        <w:tc>
          <w:tcPr>
            <w:tcW w:w="602" w:type="pct"/>
            <w:tcBorders>
              <w:top w:val="nil"/>
              <w:left w:val="nil"/>
              <w:bottom w:val="nil"/>
              <w:right w:val="nil"/>
            </w:tcBorders>
            <w:shd w:val="clear" w:color="auto" w:fill="auto"/>
            <w:noWrap/>
            <w:vAlign w:val="bottom"/>
            <w:hideMark/>
          </w:tcPr>
          <w:p w14:paraId="38A3A97A"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1,074</w:t>
            </w:r>
          </w:p>
        </w:tc>
      </w:tr>
      <w:tr w:rsidR="00A379D5" w:rsidRPr="00B06B1A" w14:paraId="4915946B" w14:textId="77777777" w:rsidTr="00E464A0">
        <w:trPr>
          <w:trHeight w:val="300"/>
        </w:trPr>
        <w:tc>
          <w:tcPr>
            <w:tcW w:w="443" w:type="pct"/>
            <w:tcBorders>
              <w:top w:val="nil"/>
              <w:left w:val="nil"/>
              <w:bottom w:val="nil"/>
              <w:right w:val="nil"/>
            </w:tcBorders>
            <w:shd w:val="clear" w:color="auto" w:fill="auto"/>
            <w:noWrap/>
            <w:vAlign w:val="bottom"/>
            <w:hideMark/>
          </w:tcPr>
          <w:p w14:paraId="76F54A19"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2015</w:t>
            </w:r>
          </w:p>
        </w:tc>
        <w:tc>
          <w:tcPr>
            <w:tcW w:w="814" w:type="pct"/>
            <w:tcBorders>
              <w:top w:val="nil"/>
              <w:left w:val="nil"/>
              <w:bottom w:val="nil"/>
              <w:right w:val="nil"/>
            </w:tcBorders>
            <w:shd w:val="clear" w:color="auto" w:fill="auto"/>
            <w:noWrap/>
            <w:vAlign w:val="bottom"/>
            <w:hideMark/>
          </w:tcPr>
          <w:p w14:paraId="3B28A448"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6,254</w:t>
            </w:r>
          </w:p>
        </w:tc>
        <w:tc>
          <w:tcPr>
            <w:tcW w:w="769" w:type="pct"/>
            <w:tcBorders>
              <w:top w:val="nil"/>
              <w:left w:val="nil"/>
              <w:bottom w:val="nil"/>
              <w:right w:val="nil"/>
            </w:tcBorders>
            <w:shd w:val="clear" w:color="auto" w:fill="auto"/>
            <w:noWrap/>
            <w:vAlign w:val="bottom"/>
            <w:hideMark/>
          </w:tcPr>
          <w:p w14:paraId="21333A18"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2,949</w:t>
            </w:r>
          </w:p>
        </w:tc>
        <w:tc>
          <w:tcPr>
            <w:tcW w:w="576" w:type="pct"/>
            <w:tcBorders>
              <w:top w:val="nil"/>
              <w:left w:val="nil"/>
              <w:bottom w:val="nil"/>
              <w:right w:val="nil"/>
            </w:tcBorders>
            <w:shd w:val="clear" w:color="auto" w:fill="auto"/>
            <w:noWrap/>
            <w:vAlign w:val="bottom"/>
            <w:hideMark/>
          </w:tcPr>
          <w:p w14:paraId="45487FB0"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727</w:t>
            </w:r>
          </w:p>
        </w:tc>
        <w:tc>
          <w:tcPr>
            <w:tcW w:w="599" w:type="pct"/>
            <w:tcBorders>
              <w:top w:val="nil"/>
              <w:left w:val="nil"/>
              <w:bottom w:val="nil"/>
              <w:right w:val="nil"/>
            </w:tcBorders>
            <w:shd w:val="clear" w:color="auto" w:fill="auto"/>
            <w:noWrap/>
            <w:vAlign w:val="bottom"/>
            <w:hideMark/>
          </w:tcPr>
          <w:p w14:paraId="09575C08"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695</w:t>
            </w:r>
          </w:p>
        </w:tc>
        <w:tc>
          <w:tcPr>
            <w:tcW w:w="599" w:type="pct"/>
            <w:tcBorders>
              <w:top w:val="nil"/>
              <w:left w:val="nil"/>
              <w:bottom w:val="nil"/>
              <w:right w:val="nil"/>
            </w:tcBorders>
            <w:shd w:val="clear" w:color="auto" w:fill="auto"/>
            <w:noWrap/>
            <w:vAlign w:val="bottom"/>
            <w:hideMark/>
          </w:tcPr>
          <w:p w14:paraId="77725141"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47</w:t>
            </w:r>
          </w:p>
        </w:tc>
        <w:tc>
          <w:tcPr>
            <w:tcW w:w="599" w:type="pct"/>
            <w:tcBorders>
              <w:top w:val="nil"/>
              <w:left w:val="nil"/>
              <w:bottom w:val="nil"/>
              <w:right w:val="nil"/>
            </w:tcBorders>
            <w:shd w:val="clear" w:color="auto" w:fill="auto"/>
            <w:noWrap/>
            <w:vAlign w:val="bottom"/>
            <w:hideMark/>
          </w:tcPr>
          <w:p w14:paraId="77A42D36"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390</w:t>
            </w:r>
          </w:p>
        </w:tc>
        <w:tc>
          <w:tcPr>
            <w:tcW w:w="602" w:type="pct"/>
            <w:tcBorders>
              <w:top w:val="nil"/>
              <w:left w:val="nil"/>
              <w:bottom w:val="nil"/>
              <w:right w:val="nil"/>
            </w:tcBorders>
            <w:shd w:val="clear" w:color="auto" w:fill="auto"/>
            <w:noWrap/>
            <w:vAlign w:val="bottom"/>
            <w:hideMark/>
          </w:tcPr>
          <w:p w14:paraId="70676188"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1,090</w:t>
            </w:r>
          </w:p>
        </w:tc>
      </w:tr>
      <w:tr w:rsidR="00A379D5" w:rsidRPr="00B06B1A" w14:paraId="098BEEFA" w14:textId="77777777" w:rsidTr="00E464A0">
        <w:trPr>
          <w:trHeight w:val="300"/>
        </w:trPr>
        <w:tc>
          <w:tcPr>
            <w:tcW w:w="443" w:type="pct"/>
            <w:tcBorders>
              <w:top w:val="nil"/>
              <w:left w:val="nil"/>
              <w:bottom w:val="nil"/>
              <w:right w:val="nil"/>
            </w:tcBorders>
            <w:shd w:val="clear" w:color="auto" w:fill="auto"/>
            <w:noWrap/>
            <w:vAlign w:val="bottom"/>
            <w:hideMark/>
          </w:tcPr>
          <w:p w14:paraId="5BEBAA01"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2016</w:t>
            </w:r>
          </w:p>
        </w:tc>
        <w:tc>
          <w:tcPr>
            <w:tcW w:w="814" w:type="pct"/>
            <w:tcBorders>
              <w:top w:val="nil"/>
              <w:left w:val="nil"/>
              <w:bottom w:val="nil"/>
              <w:right w:val="nil"/>
            </w:tcBorders>
            <w:shd w:val="clear" w:color="auto" w:fill="auto"/>
            <w:noWrap/>
            <w:vAlign w:val="bottom"/>
            <w:hideMark/>
          </w:tcPr>
          <w:p w14:paraId="7AE5E018"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6,254</w:t>
            </w:r>
          </w:p>
        </w:tc>
        <w:tc>
          <w:tcPr>
            <w:tcW w:w="769" w:type="pct"/>
            <w:tcBorders>
              <w:top w:val="nil"/>
              <w:left w:val="nil"/>
              <w:bottom w:val="nil"/>
              <w:right w:val="nil"/>
            </w:tcBorders>
            <w:shd w:val="clear" w:color="auto" w:fill="auto"/>
            <w:noWrap/>
            <w:vAlign w:val="bottom"/>
            <w:hideMark/>
          </w:tcPr>
          <w:p w14:paraId="5FD302F6"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3,166</w:t>
            </w:r>
          </w:p>
        </w:tc>
        <w:tc>
          <w:tcPr>
            <w:tcW w:w="576" w:type="pct"/>
            <w:tcBorders>
              <w:top w:val="nil"/>
              <w:left w:val="nil"/>
              <w:bottom w:val="nil"/>
              <w:right w:val="nil"/>
            </w:tcBorders>
            <w:shd w:val="clear" w:color="auto" w:fill="auto"/>
            <w:noWrap/>
            <w:vAlign w:val="bottom"/>
            <w:hideMark/>
          </w:tcPr>
          <w:p w14:paraId="3D257627"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821</w:t>
            </w:r>
          </w:p>
        </w:tc>
        <w:tc>
          <w:tcPr>
            <w:tcW w:w="599" w:type="pct"/>
            <w:tcBorders>
              <w:top w:val="nil"/>
              <w:left w:val="nil"/>
              <w:bottom w:val="nil"/>
              <w:right w:val="nil"/>
            </w:tcBorders>
            <w:shd w:val="clear" w:color="auto" w:fill="auto"/>
            <w:noWrap/>
            <w:vAlign w:val="bottom"/>
            <w:hideMark/>
          </w:tcPr>
          <w:p w14:paraId="61328763"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694</w:t>
            </w:r>
          </w:p>
        </w:tc>
        <w:tc>
          <w:tcPr>
            <w:tcW w:w="599" w:type="pct"/>
            <w:tcBorders>
              <w:top w:val="nil"/>
              <w:left w:val="nil"/>
              <w:bottom w:val="nil"/>
              <w:right w:val="nil"/>
            </w:tcBorders>
            <w:shd w:val="clear" w:color="auto" w:fill="auto"/>
            <w:noWrap/>
            <w:vAlign w:val="bottom"/>
            <w:hideMark/>
          </w:tcPr>
          <w:p w14:paraId="6A80DD45"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55</w:t>
            </w:r>
          </w:p>
        </w:tc>
        <w:tc>
          <w:tcPr>
            <w:tcW w:w="599" w:type="pct"/>
            <w:tcBorders>
              <w:top w:val="nil"/>
              <w:left w:val="nil"/>
              <w:bottom w:val="nil"/>
              <w:right w:val="nil"/>
            </w:tcBorders>
            <w:shd w:val="clear" w:color="auto" w:fill="auto"/>
            <w:noWrap/>
            <w:vAlign w:val="bottom"/>
            <w:hideMark/>
          </w:tcPr>
          <w:p w14:paraId="6CB58704"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486</w:t>
            </w:r>
          </w:p>
        </w:tc>
        <w:tc>
          <w:tcPr>
            <w:tcW w:w="602" w:type="pct"/>
            <w:tcBorders>
              <w:top w:val="nil"/>
              <w:left w:val="nil"/>
              <w:bottom w:val="nil"/>
              <w:right w:val="nil"/>
            </w:tcBorders>
            <w:shd w:val="clear" w:color="auto" w:fill="auto"/>
            <w:noWrap/>
            <w:vAlign w:val="bottom"/>
            <w:hideMark/>
          </w:tcPr>
          <w:p w14:paraId="0B099453"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1,110</w:t>
            </w:r>
          </w:p>
        </w:tc>
      </w:tr>
      <w:tr w:rsidR="00A379D5" w:rsidRPr="00B06B1A" w14:paraId="170BB6C6" w14:textId="77777777" w:rsidTr="00E464A0">
        <w:trPr>
          <w:trHeight w:val="300"/>
        </w:trPr>
        <w:tc>
          <w:tcPr>
            <w:tcW w:w="443" w:type="pct"/>
            <w:tcBorders>
              <w:top w:val="nil"/>
              <w:left w:val="nil"/>
              <w:bottom w:val="nil"/>
              <w:right w:val="nil"/>
            </w:tcBorders>
            <w:shd w:val="clear" w:color="auto" w:fill="auto"/>
            <w:noWrap/>
            <w:vAlign w:val="bottom"/>
            <w:hideMark/>
          </w:tcPr>
          <w:p w14:paraId="585B907C"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2017</w:t>
            </w:r>
          </w:p>
        </w:tc>
        <w:tc>
          <w:tcPr>
            <w:tcW w:w="814" w:type="pct"/>
            <w:tcBorders>
              <w:top w:val="nil"/>
              <w:left w:val="nil"/>
              <w:bottom w:val="nil"/>
              <w:right w:val="nil"/>
            </w:tcBorders>
            <w:shd w:val="clear" w:color="auto" w:fill="auto"/>
            <w:noWrap/>
            <w:vAlign w:val="bottom"/>
            <w:hideMark/>
          </w:tcPr>
          <w:p w14:paraId="4BC2D092"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6,261</w:t>
            </w:r>
          </w:p>
        </w:tc>
        <w:tc>
          <w:tcPr>
            <w:tcW w:w="769" w:type="pct"/>
            <w:tcBorders>
              <w:top w:val="nil"/>
              <w:left w:val="nil"/>
              <w:bottom w:val="nil"/>
              <w:right w:val="nil"/>
            </w:tcBorders>
            <w:shd w:val="clear" w:color="auto" w:fill="auto"/>
            <w:noWrap/>
            <w:vAlign w:val="bottom"/>
            <w:hideMark/>
          </w:tcPr>
          <w:p w14:paraId="0BC83D9F"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3,351</w:t>
            </w:r>
          </w:p>
        </w:tc>
        <w:tc>
          <w:tcPr>
            <w:tcW w:w="576" w:type="pct"/>
            <w:tcBorders>
              <w:top w:val="nil"/>
              <w:left w:val="nil"/>
              <w:bottom w:val="nil"/>
              <w:right w:val="nil"/>
            </w:tcBorders>
            <w:shd w:val="clear" w:color="auto" w:fill="auto"/>
            <w:noWrap/>
            <w:vAlign w:val="bottom"/>
            <w:hideMark/>
          </w:tcPr>
          <w:p w14:paraId="1BF0A24E"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914</w:t>
            </w:r>
          </w:p>
        </w:tc>
        <w:tc>
          <w:tcPr>
            <w:tcW w:w="599" w:type="pct"/>
            <w:tcBorders>
              <w:top w:val="nil"/>
              <w:left w:val="nil"/>
              <w:bottom w:val="nil"/>
              <w:right w:val="nil"/>
            </w:tcBorders>
            <w:shd w:val="clear" w:color="auto" w:fill="auto"/>
            <w:noWrap/>
            <w:vAlign w:val="bottom"/>
            <w:hideMark/>
          </w:tcPr>
          <w:p w14:paraId="798F3DE2"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683</w:t>
            </w:r>
          </w:p>
        </w:tc>
        <w:tc>
          <w:tcPr>
            <w:tcW w:w="599" w:type="pct"/>
            <w:tcBorders>
              <w:top w:val="nil"/>
              <w:left w:val="nil"/>
              <w:bottom w:val="nil"/>
              <w:right w:val="nil"/>
            </w:tcBorders>
            <w:shd w:val="clear" w:color="auto" w:fill="auto"/>
            <w:noWrap/>
            <w:vAlign w:val="bottom"/>
            <w:hideMark/>
          </w:tcPr>
          <w:p w14:paraId="0746061C"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65</w:t>
            </w:r>
          </w:p>
        </w:tc>
        <w:tc>
          <w:tcPr>
            <w:tcW w:w="599" w:type="pct"/>
            <w:tcBorders>
              <w:top w:val="nil"/>
              <w:left w:val="nil"/>
              <w:bottom w:val="nil"/>
              <w:right w:val="nil"/>
            </w:tcBorders>
            <w:shd w:val="clear" w:color="auto" w:fill="auto"/>
            <w:noWrap/>
            <w:vAlign w:val="bottom"/>
            <w:hideMark/>
          </w:tcPr>
          <w:p w14:paraId="24650F27"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580</w:t>
            </w:r>
          </w:p>
        </w:tc>
        <w:tc>
          <w:tcPr>
            <w:tcW w:w="602" w:type="pct"/>
            <w:tcBorders>
              <w:top w:val="nil"/>
              <w:left w:val="nil"/>
              <w:bottom w:val="nil"/>
              <w:right w:val="nil"/>
            </w:tcBorders>
            <w:shd w:val="clear" w:color="auto" w:fill="auto"/>
            <w:noWrap/>
            <w:vAlign w:val="bottom"/>
            <w:hideMark/>
          </w:tcPr>
          <w:p w14:paraId="540320BC"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1,109</w:t>
            </w:r>
          </w:p>
        </w:tc>
      </w:tr>
      <w:tr w:rsidR="00A379D5" w:rsidRPr="00B06B1A" w14:paraId="7ACF8D4E" w14:textId="77777777" w:rsidTr="00E464A0">
        <w:trPr>
          <w:trHeight w:val="300"/>
        </w:trPr>
        <w:tc>
          <w:tcPr>
            <w:tcW w:w="443" w:type="pct"/>
            <w:tcBorders>
              <w:top w:val="nil"/>
              <w:left w:val="nil"/>
              <w:bottom w:val="single" w:sz="4" w:space="0" w:color="auto"/>
              <w:right w:val="nil"/>
            </w:tcBorders>
            <w:shd w:val="clear" w:color="auto" w:fill="auto"/>
            <w:noWrap/>
            <w:vAlign w:val="bottom"/>
            <w:hideMark/>
          </w:tcPr>
          <w:p w14:paraId="376F81AD"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2018</w:t>
            </w:r>
          </w:p>
        </w:tc>
        <w:tc>
          <w:tcPr>
            <w:tcW w:w="814" w:type="pct"/>
            <w:tcBorders>
              <w:top w:val="nil"/>
              <w:left w:val="nil"/>
              <w:bottom w:val="single" w:sz="4" w:space="0" w:color="auto"/>
              <w:right w:val="nil"/>
            </w:tcBorders>
            <w:shd w:val="clear" w:color="auto" w:fill="auto"/>
            <w:noWrap/>
            <w:vAlign w:val="bottom"/>
            <w:hideMark/>
          </w:tcPr>
          <w:p w14:paraId="4BCEA915"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6,256</w:t>
            </w:r>
          </w:p>
        </w:tc>
        <w:tc>
          <w:tcPr>
            <w:tcW w:w="769" w:type="pct"/>
            <w:tcBorders>
              <w:top w:val="nil"/>
              <w:left w:val="nil"/>
              <w:bottom w:val="single" w:sz="4" w:space="0" w:color="auto"/>
              <w:right w:val="nil"/>
            </w:tcBorders>
            <w:shd w:val="clear" w:color="auto" w:fill="auto"/>
            <w:noWrap/>
            <w:vAlign w:val="bottom"/>
            <w:hideMark/>
          </w:tcPr>
          <w:p w14:paraId="52395F4C"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3,619</w:t>
            </w:r>
          </w:p>
        </w:tc>
        <w:tc>
          <w:tcPr>
            <w:tcW w:w="576" w:type="pct"/>
            <w:tcBorders>
              <w:top w:val="nil"/>
              <w:left w:val="nil"/>
              <w:bottom w:val="single" w:sz="4" w:space="0" w:color="auto"/>
              <w:right w:val="nil"/>
            </w:tcBorders>
            <w:shd w:val="clear" w:color="auto" w:fill="auto"/>
            <w:noWrap/>
            <w:vAlign w:val="bottom"/>
            <w:hideMark/>
          </w:tcPr>
          <w:p w14:paraId="7E09CA30"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995</w:t>
            </w:r>
          </w:p>
        </w:tc>
        <w:tc>
          <w:tcPr>
            <w:tcW w:w="599" w:type="pct"/>
            <w:tcBorders>
              <w:top w:val="nil"/>
              <w:left w:val="nil"/>
              <w:bottom w:val="single" w:sz="4" w:space="0" w:color="auto"/>
              <w:right w:val="nil"/>
            </w:tcBorders>
            <w:shd w:val="clear" w:color="auto" w:fill="auto"/>
            <w:noWrap/>
            <w:vAlign w:val="bottom"/>
            <w:hideMark/>
          </w:tcPr>
          <w:p w14:paraId="589E7CA3"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675</w:t>
            </w:r>
          </w:p>
        </w:tc>
        <w:tc>
          <w:tcPr>
            <w:tcW w:w="599" w:type="pct"/>
            <w:tcBorders>
              <w:top w:val="nil"/>
              <w:left w:val="nil"/>
              <w:bottom w:val="single" w:sz="4" w:space="0" w:color="auto"/>
              <w:right w:val="nil"/>
            </w:tcBorders>
            <w:shd w:val="clear" w:color="auto" w:fill="auto"/>
            <w:noWrap/>
            <w:vAlign w:val="bottom"/>
            <w:hideMark/>
          </w:tcPr>
          <w:p w14:paraId="532053F4"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74</w:t>
            </w:r>
          </w:p>
        </w:tc>
        <w:tc>
          <w:tcPr>
            <w:tcW w:w="599" w:type="pct"/>
            <w:tcBorders>
              <w:top w:val="nil"/>
              <w:left w:val="nil"/>
              <w:bottom w:val="single" w:sz="4" w:space="0" w:color="auto"/>
              <w:right w:val="nil"/>
            </w:tcBorders>
            <w:shd w:val="clear" w:color="auto" w:fill="auto"/>
            <w:noWrap/>
            <w:vAlign w:val="bottom"/>
            <w:hideMark/>
          </w:tcPr>
          <w:p w14:paraId="1A419035"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728</w:t>
            </w:r>
          </w:p>
        </w:tc>
        <w:tc>
          <w:tcPr>
            <w:tcW w:w="602" w:type="pct"/>
            <w:tcBorders>
              <w:top w:val="nil"/>
              <w:left w:val="nil"/>
              <w:bottom w:val="single" w:sz="4" w:space="0" w:color="auto"/>
              <w:right w:val="nil"/>
            </w:tcBorders>
            <w:shd w:val="clear" w:color="auto" w:fill="auto"/>
            <w:noWrap/>
            <w:vAlign w:val="bottom"/>
            <w:hideMark/>
          </w:tcPr>
          <w:p w14:paraId="60460F8D"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1,147</w:t>
            </w:r>
          </w:p>
        </w:tc>
      </w:tr>
      <w:tr w:rsidR="00A379D5" w:rsidRPr="00B06B1A" w14:paraId="6A54EE79" w14:textId="77777777" w:rsidTr="00E464A0">
        <w:trPr>
          <w:trHeight w:val="300"/>
        </w:trPr>
        <w:tc>
          <w:tcPr>
            <w:tcW w:w="443" w:type="pct"/>
            <w:tcBorders>
              <w:top w:val="single" w:sz="4" w:space="0" w:color="auto"/>
              <w:left w:val="nil"/>
              <w:bottom w:val="single" w:sz="4" w:space="0" w:color="auto"/>
              <w:right w:val="nil"/>
            </w:tcBorders>
            <w:shd w:val="clear" w:color="auto" w:fill="auto"/>
            <w:noWrap/>
            <w:vAlign w:val="bottom"/>
            <w:hideMark/>
          </w:tcPr>
          <w:p w14:paraId="076CD78F"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Total</w:t>
            </w:r>
          </w:p>
        </w:tc>
        <w:tc>
          <w:tcPr>
            <w:tcW w:w="814" w:type="pct"/>
            <w:tcBorders>
              <w:top w:val="single" w:sz="4" w:space="0" w:color="auto"/>
              <w:left w:val="nil"/>
              <w:bottom w:val="single" w:sz="4" w:space="0" w:color="auto"/>
              <w:right w:val="nil"/>
            </w:tcBorders>
            <w:shd w:val="clear" w:color="auto" w:fill="auto"/>
            <w:noWrap/>
            <w:vAlign w:val="bottom"/>
            <w:hideMark/>
          </w:tcPr>
          <w:p w14:paraId="759643EA"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81,205</w:t>
            </w:r>
          </w:p>
        </w:tc>
        <w:tc>
          <w:tcPr>
            <w:tcW w:w="769" w:type="pct"/>
            <w:tcBorders>
              <w:top w:val="single" w:sz="4" w:space="0" w:color="auto"/>
              <w:left w:val="nil"/>
              <w:bottom w:val="single" w:sz="4" w:space="0" w:color="auto"/>
              <w:right w:val="nil"/>
            </w:tcBorders>
            <w:shd w:val="clear" w:color="auto" w:fill="auto"/>
            <w:noWrap/>
            <w:vAlign w:val="bottom"/>
            <w:hideMark/>
          </w:tcPr>
          <w:p w14:paraId="20B86657"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34,269</w:t>
            </w:r>
          </w:p>
        </w:tc>
        <w:tc>
          <w:tcPr>
            <w:tcW w:w="576" w:type="pct"/>
            <w:tcBorders>
              <w:top w:val="single" w:sz="4" w:space="0" w:color="auto"/>
              <w:left w:val="nil"/>
              <w:bottom w:val="single" w:sz="4" w:space="0" w:color="auto"/>
              <w:right w:val="nil"/>
            </w:tcBorders>
            <w:shd w:val="clear" w:color="auto" w:fill="auto"/>
            <w:noWrap/>
            <w:vAlign w:val="bottom"/>
            <w:hideMark/>
          </w:tcPr>
          <w:p w14:paraId="5D3AD4AC"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8,368</w:t>
            </w:r>
          </w:p>
        </w:tc>
        <w:tc>
          <w:tcPr>
            <w:tcW w:w="599" w:type="pct"/>
            <w:tcBorders>
              <w:top w:val="single" w:sz="4" w:space="0" w:color="auto"/>
              <w:left w:val="nil"/>
              <w:bottom w:val="single" w:sz="4" w:space="0" w:color="auto"/>
              <w:right w:val="nil"/>
            </w:tcBorders>
            <w:shd w:val="clear" w:color="auto" w:fill="auto"/>
            <w:noWrap/>
            <w:vAlign w:val="bottom"/>
            <w:hideMark/>
          </w:tcPr>
          <w:p w14:paraId="34FDA5BF"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7,004</w:t>
            </w:r>
          </w:p>
        </w:tc>
        <w:tc>
          <w:tcPr>
            <w:tcW w:w="599" w:type="pct"/>
            <w:tcBorders>
              <w:top w:val="single" w:sz="4" w:space="0" w:color="auto"/>
              <w:left w:val="nil"/>
              <w:bottom w:val="single" w:sz="4" w:space="0" w:color="auto"/>
              <w:right w:val="nil"/>
            </w:tcBorders>
            <w:shd w:val="clear" w:color="auto" w:fill="auto"/>
            <w:noWrap/>
            <w:vAlign w:val="bottom"/>
            <w:hideMark/>
          </w:tcPr>
          <w:p w14:paraId="01CC735F"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494</w:t>
            </w:r>
          </w:p>
        </w:tc>
        <w:tc>
          <w:tcPr>
            <w:tcW w:w="599" w:type="pct"/>
            <w:tcBorders>
              <w:top w:val="single" w:sz="4" w:space="0" w:color="auto"/>
              <w:left w:val="nil"/>
              <w:bottom w:val="single" w:sz="4" w:space="0" w:color="auto"/>
              <w:right w:val="nil"/>
            </w:tcBorders>
            <w:shd w:val="clear" w:color="auto" w:fill="auto"/>
            <w:noWrap/>
            <w:vAlign w:val="bottom"/>
            <w:hideMark/>
          </w:tcPr>
          <w:p w14:paraId="1B72B4F8"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3,982</w:t>
            </w:r>
          </w:p>
        </w:tc>
        <w:tc>
          <w:tcPr>
            <w:tcW w:w="602" w:type="pct"/>
            <w:tcBorders>
              <w:top w:val="single" w:sz="4" w:space="0" w:color="auto"/>
              <w:left w:val="nil"/>
              <w:bottom w:val="single" w:sz="4" w:space="0" w:color="auto"/>
              <w:right w:val="nil"/>
            </w:tcBorders>
            <w:shd w:val="clear" w:color="auto" w:fill="auto"/>
            <w:noWrap/>
            <w:vAlign w:val="bottom"/>
            <w:hideMark/>
          </w:tcPr>
          <w:p w14:paraId="1A953D14" w14:textId="77777777" w:rsidR="00A379D5" w:rsidRPr="00B06B1A" w:rsidRDefault="00A379D5" w:rsidP="00E464A0">
            <w:pPr>
              <w:rPr>
                <w:rFonts w:asciiTheme="minorHAnsi" w:eastAsia="Times New Roman" w:hAnsiTheme="minorHAnsi" w:cstheme="minorHAnsi"/>
                <w:color w:val="000000"/>
                <w:lang w:val="en-US"/>
              </w:rPr>
            </w:pPr>
            <w:r w:rsidRPr="00B06B1A">
              <w:rPr>
                <w:rFonts w:asciiTheme="minorHAnsi" w:eastAsia="Times New Roman" w:hAnsiTheme="minorHAnsi" w:cstheme="minorHAnsi"/>
                <w:color w:val="000000"/>
                <w:lang w:val="en-US"/>
              </w:rPr>
              <w:t>14,421</w:t>
            </w:r>
          </w:p>
        </w:tc>
      </w:tr>
    </w:tbl>
    <w:p w14:paraId="574D795D" w14:textId="4D54D042" w:rsidR="00A379D5" w:rsidRDefault="00A379D5" w:rsidP="00A379D5">
      <w:pPr>
        <w:jc w:val="both"/>
        <w:rPr>
          <w:rFonts w:asciiTheme="minorHAnsi" w:hAnsiTheme="minorHAnsi" w:cstheme="minorHAnsi"/>
          <w:sz w:val="18"/>
          <w:szCs w:val="18"/>
        </w:rPr>
      </w:pPr>
      <w:r w:rsidRPr="00B06B1A">
        <w:rPr>
          <w:rFonts w:asciiTheme="minorHAnsi" w:hAnsiTheme="minorHAnsi" w:cstheme="minorHAnsi"/>
          <w:sz w:val="18"/>
          <w:szCs w:val="18"/>
        </w:rPr>
        <w:t>Note: there were 8,133 unique businesses in the Indigenous business registries</w:t>
      </w:r>
      <w:r w:rsidR="00800E16">
        <w:rPr>
          <w:rFonts w:asciiTheme="minorHAnsi" w:hAnsiTheme="minorHAnsi" w:cstheme="minorHAnsi"/>
          <w:sz w:val="18"/>
          <w:szCs w:val="18"/>
        </w:rPr>
        <w:t xml:space="preserve"> (</w:t>
      </w:r>
      <w:r w:rsidR="00800E16" w:rsidRPr="00800E16">
        <w:rPr>
          <w:rFonts w:asciiTheme="minorHAnsi" w:hAnsiTheme="minorHAnsi" w:cstheme="minorHAnsi"/>
          <w:sz w:val="20"/>
          <w:szCs w:val="20"/>
        </w:rPr>
        <w:t>Supply Nation registry, ICN Gateway data, Victorian Aboriginal Business Directory or the ORIC database</w:t>
      </w:r>
      <w:r w:rsidR="00800E16">
        <w:rPr>
          <w:rFonts w:asciiTheme="minorHAnsi" w:hAnsiTheme="minorHAnsi" w:cstheme="minorHAnsi"/>
        </w:rPr>
        <w:t>)</w:t>
      </w:r>
      <w:r w:rsidRPr="00B06B1A">
        <w:rPr>
          <w:rFonts w:asciiTheme="minorHAnsi" w:hAnsiTheme="minorHAnsi" w:cstheme="minorHAnsi"/>
          <w:sz w:val="18"/>
          <w:szCs w:val="18"/>
        </w:rPr>
        <w:t>. A</w:t>
      </w:r>
      <w:r w:rsidR="005D5A48">
        <w:rPr>
          <w:rFonts w:asciiTheme="minorHAnsi" w:hAnsiTheme="minorHAnsi" w:cstheme="minorHAnsi"/>
          <w:sz w:val="18"/>
          <w:szCs w:val="18"/>
        </w:rPr>
        <w:t>ctive</w:t>
      </w:r>
      <w:r w:rsidRPr="00B06B1A">
        <w:rPr>
          <w:rFonts w:asciiTheme="minorHAnsi" w:hAnsiTheme="minorHAnsi" w:cstheme="minorHAnsi"/>
          <w:sz w:val="18"/>
          <w:szCs w:val="18"/>
        </w:rPr>
        <w:t xml:space="preserve"> businesses are those that appear as active on the ABS Business Registry for tax filing purposes. We exclude those that are non-active. </w:t>
      </w:r>
    </w:p>
    <w:p w14:paraId="243B4073" w14:textId="77777777" w:rsidR="00A379D5" w:rsidRPr="00B06B1A" w:rsidRDefault="00A379D5" w:rsidP="00B06B1A">
      <w:pPr>
        <w:jc w:val="both"/>
        <w:rPr>
          <w:rFonts w:asciiTheme="minorHAnsi" w:hAnsiTheme="minorHAnsi" w:cstheme="minorHAnsi"/>
        </w:rPr>
      </w:pPr>
    </w:p>
    <w:p w14:paraId="74E6C43E" w14:textId="49C64E1D" w:rsidR="00B06B1A" w:rsidRPr="00B06B1A" w:rsidRDefault="00B06B1A" w:rsidP="00B06B1A">
      <w:pPr>
        <w:jc w:val="both"/>
        <w:rPr>
          <w:rFonts w:asciiTheme="minorHAnsi" w:hAnsiTheme="minorHAnsi" w:cstheme="minorHAnsi"/>
        </w:rPr>
      </w:pPr>
      <w:r w:rsidRPr="00B06B1A">
        <w:rPr>
          <w:rFonts w:asciiTheme="minorHAnsi" w:hAnsiTheme="minorHAnsi" w:cstheme="minorHAnsi"/>
        </w:rPr>
        <w:t>We restrict the analysis from 2005-06 although the data is available from 2001-02 because it provides us with at least 5 years of data to be able to measure date of birth for all businesses. Around a quarter of all businesses in BLADE have a notional birth date of 2000-01, which is because the BAS data, which is used to identify birth date, was not collected prior. Over t</w:t>
      </w:r>
      <w:r w:rsidR="00290BF4">
        <w:rPr>
          <w:rFonts w:asciiTheme="minorHAnsi" w:hAnsiTheme="minorHAnsi" w:cstheme="minorHAnsi"/>
        </w:rPr>
        <w:t>he</w:t>
      </w:r>
      <w:r w:rsidRPr="00B06B1A">
        <w:rPr>
          <w:rFonts w:asciiTheme="minorHAnsi" w:hAnsiTheme="minorHAnsi" w:cstheme="minorHAnsi"/>
        </w:rPr>
        <w:t xml:space="preserve"> period 2006-18, the number of alive and active businesses varies from 2,178 to 3,619.</w:t>
      </w:r>
    </w:p>
    <w:p w14:paraId="3EBDE907" w14:textId="235AFE9E" w:rsidR="00B06B1A" w:rsidRDefault="00B06B1A" w:rsidP="00B06B1A">
      <w:pPr>
        <w:jc w:val="both"/>
        <w:rPr>
          <w:rFonts w:asciiTheme="minorHAnsi" w:hAnsiTheme="minorHAnsi" w:cstheme="minorHAnsi"/>
        </w:rPr>
      </w:pPr>
      <w:r w:rsidRPr="00B06B1A">
        <w:rPr>
          <w:rFonts w:asciiTheme="minorHAnsi" w:hAnsiTheme="minorHAnsi" w:cstheme="minorHAnsi"/>
        </w:rPr>
        <w:t xml:space="preserve"> </w:t>
      </w:r>
    </w:p>
    <w:p w14:paraId="0BA2D93B" w14:textId="2D8C3376" w:rsidR="00E707EB" w:rsidRDefault="00B06B1A" w:rsidP="00B06B1A">
      <w:pPr>
        <w:jc w:val="both"/>
        <w:rPr>
          <w:rFonts w:asciiTheme="minorHAnsi" w:hAnsiTheme="minorHAnsi" w:cstheme="minorHAnsi"/>
        </w:rPr>
      </w:pPr>
      <w:r w:rsidRPr="00B06B1A">
        <w:rPr>
          <w:rFonts w:asciiTheme="minorHAnsi" w:hAnsiTheme="minorHAnsi" w:cstheme="minorHAnsi"/>
        </w:rPr>
        <w:t xml:space="preserve">In this report, we </w:t>
      </w:r>
      <w:r w:rsidR="0077170D">
        <w:rPr>
          <w:rFonts w:asciiTheme="minorHAnsi" w:hAnsiTheme="minorHAnsi" w:cstheme="minorHAnsi"/>
        </w:rPr>
        <w:t>analyse</w:t>
      </w:r>
      <w:r w:rsidR="00E34DDA" w:rsidRPr="00B06B1A">
        <w:rPr>
          <w:rFonts w:asciiTheme="minorHAnsi" w:hAnsiTheme="minorHAnsi" w:cstheme="minorHAnsi"/>
        </w:rPr>
        <w:t xml:space="preserve"> </w:t>
      </w:r>
      <w:r w:rsidRPr="00B06B1A">
        <w:rPr>
          <w:rFonts w:asciiTheme="minorHAnsi" w:hAnsiTheme="minorHAnsi" w:cstheme="minorHAnsi"/>
        </w:rPr>
        <w:t xml:space="preserve">a range of business outcomes, the key ones being gross business income, employment numbers, wage cost and average annual wage rate per full-time equivalent. These are chosen mainly because they are items of interest that are available across all business types. Sole traders, registered companies, trusts and partnerships all have different taxation reporting requirements. The PAYG employment data only includes records for a subset of businesses that have employees. When generating measures of business employment, we treat missing records </w:t>
      </w:r>
      <w:r w:rsidR="00452277">
        <w:rPr>
          <w:rFonts w:asciiTheme="minorHAnsi" w:hAnsiTheme="minorHAnsi" w:cstheme="minorHAnsi"/>
        </w:rPr>
        <w:t xml:space="preserve">in the PAYG data </w:t>
      </w:r>
      <w:r w:rsidRPr="00B06B1A">
        <w:rPr>
          <w:rFonts w:asciiTheme="minorHAnsi" w:hAnsiTheme="minorHAnsi" w:cstheme="minorHAnsi"/>
        </w:rPr>
        <w:t xml:space="preserve">as ‘no employees’, but only if the business also records a BIT or BAS (vast majority of cases). </w:t>
      </w:r>
      <w:r w:rsidR="00E707EB">
        <w:rPr>
          <w:rFonts w:asciiTheme="minorHAnsi" w:hAnsiTheme="minorHAnsi" w:cstheme="minorHAnsi"/>
        </w:rPr>
        <w:t xml:space="preserve"> </w:t>
      </w:r>
      <w:r w:rsidRPr="00B06B1A">
        <w:rPr>
          <w:rFonts w:asciiTheme="minorHAnsi" w:hAnsiTheme="minorHAnsi" w:cstheme="minorHAnsi"/>
        </w:rPr>
        <w:t>We exclude cases where there is no BIT or BAS data because the missing PAYG data may reflect missing data (</w:t>
      </w:r>
      <w:r w:rsidR="00356D82" w:rsidRPr="00B06B1A">
        <w:rPr>
          <w:rFonts w:asciiTheme="minorHAnsi" w:hAnsiTheme="minorHAnsi" w:cstheme="minorHAnsi"/>
        </w:rPr>
        <w:t>e.g.,</w:t>
      </w:r>
      <w:r w:rsidRPr="00B06B1A">
        <w:rPr>
          <w:rFonts w:asciiTheme="minorHAnsi" w:hAnsiTheme="minorHAnsi" w:cstheme="minorHAnsi"/>
        </w:rPr>
        <w:t xml:space="preserve"> late tax filing) and not a lack of employees. </w:t>
      </w:r>
    </w:p>
    <w:p w14:paraId="1840F83F" w14:textId="77777777" w:rsidR="00E707EB" w:rsidRDefault="00E707EB" w:rsidP="00B06B1A">
      <w:pPr>
        <w:jc w:val="both"/>
        <w:rPr>
          <w:rFonts w:asciiTheme="minorHAnsi" w:hAnsiTheme="minorHAnsi" w:cstheme="minorHAnsi"/>
        </w:rPr>
      </w:pPr>
    </w:p>
    <w:p w14:paraId="16A17D26" w14:textId="71C443FF" w:rsidR="00B06B1A" w:rsidRDefault="00B06B1A" w:rsidP="00B06B1A">
      <w:pPr>
        <w:jc w:val="both"/>
        <w:rPr>
          <w:rFonts w:asciiTheme="minorHAnsi" w:hAnsiTheme="minorHAnsi" w:cstheme="minorHAnsi"/>
        </w:rPr>
      </w:pPr>
      <w:r w:rsidRPr="00B06B1A">
        <w:rPr>
          <w:rFonts w:asciiTheme="minorHAnsi" w:hAnsiTheme="minorHAnsi" w:cstheme="minorHAnsi"/>
        </w:rPr>
        <w:t xml:space="preserve">For continuous measures of employment and gross income numbers (including averages and total, but not categorical </w:t>
      </w:r>
      <w:r w:rsidR="00356D82" w:rsidRPr="00B06B1A">
        <w:rPr>
          <w:rFonts w:asciiTheme="minorHAnsi" w:hAnsiTheme="minorHAnsi" w:cstheme="minorHAnsi"/>
        </w:rPr>
        <w:t>variables</w:t>
      </w:r>
      <w:r w:rsidR="00356D82">
        <w:rPr>
          <w:rFonts w:asciiTheme="minorHAnsi" w:hAnsiTheme="minorHAnsi" w:cstheme="minorHAnsi"/>
        </w:rPr>
        <w:t>,</w:t>
      </w:r>
      <w:r w:rsidR="00E707EB">
        <w:rPr>
          <w:rFonts w:asciiTheme="minorHAnsi" w:hAnsiTheme="minorHAnsi" w:cstheme="minorHAnsi"/>
        </w:rPr>
        <w:t xml:space="preserve"> </w:t>
      </w:r>
      <w:r w:rsidRPr="00B06B1A">
        <w:rPr>
          <w:rFonts w:asciiTheme="minorHAnsi" w:hAnsiTheme="minorHAnsi" w:cstheme="minorHAnsi"/>
        </w:rPr>
        <w:t>e.g.</w:t>
      </w:r>
      <w:r w:rsidR="00E707EB">
        <w:rPr>
          <w:rFonts w:asciiTheme="minorHAnsi" w:hAnsiTheme="minorHAnsi" w:cstheme="minorHAnsi"/>
        </w:rPr>
        <w:t>,</w:t>
      </w:r>
      <w:r w:rsidRPr="00B06B1A">
        <w:rPr>
          <w:rFonts w:asciiTheme="minorHAnsi" w:hAnsiTheme="minorHAnsi" w:cstheme="minorHAnsi"/>
        </w:rPr>
        <w:t xml:space="preserve"> proportion of businesses that employ more than 200 people), we exclude the top 2% of Indigenous and non-Indigenous businesses. In both sectors, we observe a handful of very large businesses that have undue influence on sector averages and totals, including businesses that have very large year-on-year changes. In practice, whether such large year-on-year changes are real or due to mergers or acquisitions is unclear. Working with ABS partners, we hope to develop measures to better identify mergers/acquisitions in future waves of I-BLADE. </w:t>
      </w:r>
    </w:p>
    <w:p w14:paraId="2513180A" w14:textId="77777777" w:rsidR="00B06B1A" w:rsidRPr="00B06B1A" w:rsidRDefault="00B06B1A" w:rsidP="00B06B1A">
      <w:pPr>
        <w:jc w:val="both"/>
        <w:rPr>
          <w:rFonts w:asciiTheme="minorHAnsi" w:hAnsiTheme="minorHAnsi" w:cstheme="minorHAnsi"/>
        </w:rPr>
      </w:pPr>
    </w:p>
    <w:p w14:paraId="4C4AD8D8" w14:textId="123CDFDB" w:rsidR="00B06B1A" w:rsidRPr="00B06B1A" w:rsidRDefault="00B06B1A" w:rsidP="00B06B1A">
      <w:pPr>
        <w:pStyle w:val="Heading2"/>
        <w:jc w:val="both"/>
        <w:rPr>
          <w:rFonts w:asciiTheme="minorHAnsi" w:hAnsiTheme="minorHAnsi" w:cstheme="minorHAnsi"/>
        </w:rPr>
      </w:pPr>
      <w:r w:rsidRPr="00B06B1A">
        <w:rPr>
          <w:rFonts w:asciiTheme="minorHAnsi" w:hAnsiTheme="minorHAnsi" w:cstheme="minorHAnsi"/>
        </w:rPr>
        <w:t>Limitations of the analysis</w:t>
      </w:r>
    </w:p>
    <w:p w14:paraId="6E6DBF97" w14:textId="4CFCBD84" w:rsidR="00B06B1A" w:rsidRPr="00B06B1A" w:rsidRDefault="00B06B1A" w:rsidP="00B06B1A">
      <w:pPr>
        <w:jc w:val="both"/>
        <w:rPr>
          <w:rFonts w:asciiTheme="minorHAnsi" w:hAnsiTheme="minorHAnsi" w:cstheme="minorHAnsi"/>
        </w:rPr>
      </w:pPr>
      <w:r w:rsidRPr="00B06B1A">
        <w:rPr>
          <w:rFonts w:asciiTheme="minorHAnsi" w:hAnsiTheme="minorHAnsi" w:cstheme="minorHAnsi"/>
        </w:rPr>
        <w:t>Consistent with the preliminary nature of I-BLADE</w:t>
      </w:r>
      <w:r w:rsidR="0072340D">
        <w:rPr>
          <w:rFonts w:asciiTheme="minorHAnsi" w:hAnsiTheme="minorHAnsi" w:cstheme="minorHAnsi"/>
        </w:rPr>
        <w:t xml:space="preserve"> 1.0</w:t>
      </w:r>
      <w:r w:rsidRPr="00B06B1A">
        <w:rPr>
          <w:rFonts w:asciiTheme="minorHAnsi" w:hAnsiTheme="minorHAnsi" w:cstheme="minorHAnsi"/>
        </w:rPr>
        <w:t xml:space="preserve">, there are important caveats to keep in mind when interpreting the results presented in this report. These caveats relate to the Indigenous business data collection, the Integration of the data into </w:t>
      </w:r>
      <w:r w:rsidR="00356D82">
        <w:rPr>
          <w:rFonts w:asciiTheme="minorHAnsi" w:hAnsiTheme="minorHAnsi" w:cstheme="minorHAnsi"/>
        </w:rPr>
        <w:t>I-</w:t>
      </w:r>
      <w:r w:rsidRPr="00B06B1A">
        <w:rPr>
          <w:rFonts w:asciiTheme="minorHAnsi" w:hAnsiTheme="minorHAnsi" w:cstheme="minorHAnsi"/>
        </w:rPr>
        <w:t xml:space="preserve">BLADE and BLADE itself, which represent items for future data development with ABS partners and business registry data custodians. </w:t>
      </w:r>
    </w:p>
    <w:p w14:paraId="01D599BE" w14:textId="77777777" w:rsidR="00B06B1A" w:rsidRPr="00B06B1A" w:rsidRDefault="00B06B1A" w:rsidP="00B06B1A">
      <w:pPr>
        <w:jc w:val="both"/>
        <w:rPr>
          <w:rFonts w:asciiTheme="minorHAnsi" w:hAnsiTheme="minorHAnsi" w:cstheme="minorHAnsi"/>
        </w:rPr>
      </w:pPr>
    </w:p>
    <w:p w14:paraId="035BFDFE" w14:textId="77777777" w:rsidR="00B06B1A" w:rsidRPr="00B06B1A" w:rsidRDefault="00B06B1A" w:rsidP="00B06B1A">
      <w:pPr>
        <w:pStyle w:val="Heading3"/>
        <w:rPr>
          <w:rFonts w:asciiTheme="minorHAnsi" w:hAnsiTheme="minorHAnsi" w:cstheme="minorHAnsi"/>
        </w:rPr>
      </w:pPr>
      <w:r w:rsidRPr="00B06B1A">
        <w:rPr>
          <w:rFonts w:asciiTheme="minorHAnsi" w:hAnsiTheme="minorHAnsi" w:cstheme="minorHAnsi"/>
        </w:rPr>
        <w:t>Business registries</w:t>
      </w:r>
    </w:p>
    <w:p w14:paraId="6C50AF92" w14:textId="5503B9CA" w:rsidR="00FC4EA4" w:rsidRDefault="00B06B1A" w:rsidP="00B06B1A">
      <w:pPr>
        <w:jc w:val="both"/>
        <w:rPr>
          <w:rFonts w:asciiTheme="minorHAnsi" w:hAnsiTheme="minorHAnsi" w:cstheme="minorHAnsi"/>
        </w:rPr>
      </w:pPr>
      <w:r w:rsidRPr="00B06B1A">
        <w:rPr>
          <w:rFonts w:asciiTheme="minorHAnsi" w:hAnsiTheme="minorHAnsi" w:cstheme="minorHAnsi"/>
        </w:rPr>
        <w:t xml:space="preserve">While the goal is to extend I-BLADE to include all Indigenous business that appear on registries, currently we are limited to business from only </w:t>
      </w:r>
      <w:r w:rsidR="00330FAD">
        <w:rPr>
          <w:rFonts w:asciiTheme="minorHAnsi" w:hAnsiTheme="minorHAnsi" w:cstheme="minorHAnsi"/>
        </w:rPr>
        <w:t xml:space="preserve">four </w:t>
      </w:r>
      <w:r w:rsidRPr="00B06B1A">
        <w:rPr>
          <w:rFonts w:asciiTheme="minorHAnsi" w:hAnsiTheme="minorHAnsi" w:cstheme="minorHAnsi"/>
        </w:rPr>
        <w:t xml:space="preserve">registries, and we cannot be sure how representative these are of all business on Indigenous registries. Issues of registry coverage aside, </w:t>
      </w:r>
      <w:r w:rsidR="00634B60">
        <w:rPr>
          <w:rFonts w:asciiTheme="minorHAnsi" w:hAnsiTheme="minorHAnsi" w:cstheme="minorHAnsi"/>
        </w:rPr>
        <w:t>the</w:t>
      </w:r>
      <w:r w:rsidRPr="00B06B1A">
        <w:rPr>
          <w:rFonts w:asciiTheme="minorHAnsi" w:hAnsiTheme="minorHAnsi" w:cstheme="minorHAnsi"/>
        </w:rPr>
        <w:t xml:space="preserve"> bigger issue is whether Indigenous business registries are representative of all businesses with at least </w:t>
      </w:r>
      <w:r w:rsidRPr="00B06B1A">
        <w:rPr>
          <w:rFonts w:asciiTheme="minorHAnsi" w:hAnsiTheme="minorHAnsi" w:cstheme="minorHAnsi"/>
        </w:rPr>
        <w:lastRenderedPageBreak/>
        <w:t xml:space="preserve">50% Indigenous ownership. </w:t>
      </w:r>
      <w:r w:rsidR="00000DAC">
        <w:rPr>
          <w:rFonts w:asciiTheme="minorHAnsi" w:hAnsiTheme="minorHAnsi" w:cstheme="minorHAnsi"/>
        </w:rPr>
        <w:t>In practice, business</w:t>
      </w:r>
      <w:r w:rsidR="00E60B3F">
        <w:rPr>
          <w:rFonts w:asciiTheme="minorHAnsi" w:hAnsiTheme="minorHAnsi" w:cstheme="minorHAnsi"/>
        </w:rPr>
        <w:t>es selection</w:t>
      </w:r>
      <w:r w:rsidR="00000DAC">
        <w:rPr>
          <w:rFonts w:asciiTheme="minorHAnsi" w:hAnsiTheme="minorHAnsi" w:cstheme="minorHAnsi"/>
        </w:rPr>
        <w:t xml:space="preserve">, either self-selected or selected by procures, </w:t>
      </w:r>
      <w:r w:rsidR="00E60B3F">
        <w:rPr>
          <w:rFonts w:asciiTheme="minorHAnsi" w:hAnsiTheme="minorHAnsi" w:cstheme="minorHAnsi"/>
        </w:rPr>
        <w:t xml:space="preserve">for registration is </w:t>
      </w:r>
      <w:r w:rsidR="001C5A44">
        <w:rPr>
          <w:rFonts w:asciiTheme="minorHAnsi" w:hAnsiTheme="minorHAnsi" w:cstheme="minorHAnsi"/>
        </w:rPr>
        <w:t>likely to be related to the benefits and costs of doing so.</w:t>
      </w:r>
    </w:p>
    <w:p w14:paraId="0F631E5C" w14:textId="77777777" w:rsidR="00B06B1A" w:rsidRPr="00B06B1A" w:rsidRDefault="00B06B1A" w:rsidP="00B06B1A">
      <w:pPr>
        <w:jc w:val="both"/>
        <w:rPr>
          <w:rFonts w:asciiTheme="minorHAnsi" w:hAnsiTheme="minorHAnsi" w:cstheme="minorHAnsi"/>
        </w:rPr>
      </w:pPr>
    </w:p>
    <w:p w14:paraId="56020E3F" w14:textId="1CF51A30" w:rsidR="00B06B1A" w:rsidRPr="00B06B1A" w:rsidRDefault="00B06B1A" w:rsidP="00B06B1A">
      <w:pPr>
        <w:jc w:val="both"/>
        <w:rPr>
          <w:rFonts w:asciiTheme="minorHAnsi" w:hAnsiTheme="minorHAnsi" w:cstheme="minorHAnsi"/>
        </w:rPr>
      </w:pPr>
      <w:r w:rsidRPr="00B06B1A">
        <w:rPr>
          <w:rFonts w:asciiTheme="minorHAnsi" w:hAnsiTheme="minorHAnsi" w:cstheme="minorHAnsi"/>
        </w:rPr>
        <w:t xml:space="preserve">As discussed above, business registries include patchy and inconsistently measured business data that, while not core to the registries themselves, can provide important contextual information for I-BLADE that can help support research. Perhaps most important is consistent historical registry information. While the registries themselves commenced at different times, some of the registry data provided only contains current registry members, not past member information. An implication is that any apparent growth in the sector may be exaggerated by more limited coverage as you go back in time. To demonstrate the impact of this, in Table 1 we can see contrasting business numbers over time between ORIC, whose registry includes businesses back to 1979, and Supply Nation, whose supplied business registry only includes currently registered businesses. In contrast to the ORIC numbers, the numbers of linked Supply Nation businesses diminish rapidly in historical years. In future </w:t>
      </w:r>
      <w:r w:rsidR="0072340D">
        <w:rPr>
          <w:rFonts w:asciiTheme="minorHAnsi" w:hAnsiTheme="minorHAnsi" w:cstheme="minorHAnsi"/>
        </w:rPr>
        <w:t>versions</w:t>
      </w:r>
      <w:r w:rsidR="0072340D" w:rsidRPr="00B06B1A">
        <w:rPr>
          <w:rFonts w:asciiTheme="minorHAnsi" w:hAnsiTheme="minorHAnsi" w:cstheme="minorHAnsi"/>
        </w:rPr>
        <w:t xml:space="preserve"> </w:t>
      </w:r>
      <w:r w:rsidRPr="00B06B1A">
        <w:rPr>
          <w:rFonts w:asciiTheme="minorHAnsi" w:hAnsiTheme="minorHAnsi" w:cstheme="minorHAnsi"/>
        </w:rPr>
        <w:t xml:space="preserve">of I-BLADE, we hope to extend coverage of historical data for existing and new registries and incorporate, where possible, dates for entering and exiting the registries, reflecting changes in business ownership. </w:t>
      </w:r>
    </w:p>
    <w:p w14:paraId="0066A720" w14:textId="77777777" w:rsidR="00B06B1A" w:rsidRPr="00B06B1A" w:rsidRDefault="00B06B1A" w:rsidP="00B06B1A">
      <w:pPr>
        <w:jc w:val="both"/>
        <w:rPr>
          <w:rFonts w:asciiTheme="minorHAnsi" w:hAnsiTheme="minorHAnsi" w:cstheme="minorHAnsi"/>
        </w:rPr>
      </w:pPr>
    </w:p>
    <w:p w14:paraId="27E97B67" w14:textId="77777777" w:rsidR="00B06B1A" w:rsidRPr="00B06B1A" w:rsidRDefault="00B06B1A" w:rsidP="00B06B1A">
      <w:pPr>
        <w:pStyle w:val="Heading3"/>
        <w:rPr>
          <w:rFonts w:asciiTheme="minorHAnsi" w:hAnsiTheme="minorHAnsi" w:cstheme="minorHAnsi"/>
        </w:rPr>
      </w:pPr>
      <w:r w:rsidRPr="00B06B1A">
        <w:rPr>
          <w:rFonts w:asciiTheme="minorHAnsi" w:hAnsiTheme="minorHAnsi" w:cstheme="minorHAnsi"/>
        </w:rPr>
        <w:t>BLADE</w:t>
      </w:r>
    </w:p>
    <w:p w14:paraId="77FE064D" w14:textId="6CD2FBCC" w:rsidR="001B2E2E" w:rsidRDefault="00B06B1A" w:rsidP="00B06B1A">
      <w:pPr>
        <w:jc w:val="both"/>
        <w:rPr>
          <w:rFonts w:asciiTheme="minorHAnsi" w:hAnsiTheme="minorHAnsi" w:cstheme="minorHAnsi"/>
        </w:rPr>
      </w:pPr>
      <w:r w:rsidRPr="00B06B1A">
        <w:rPr>
          <w:rFonts w:asciiTheme="minorHAnsi" w:hAnsiTheme="minorHAnsi" w:cstheme="minorHAnsi"/>
        </w:rPr>
        <w:t>Because BLADE comprises linked administrative data, its underlying data is for administrative (tax) purposes and not for research, which means that the data is often constrained by administrative rules. For example, business activity is only available for ABNs through which financial information is reported</w:t>
      </w:r>
      <w:r w:rsidR="00266AED">
        <w:rPr>
          <w:rFonts w:asciiTheme="minorHAnsi" w:hAnsiTheme="minorHAnsi" w:cstheme="minorHAnsi"/>
        </w:rPr>
        <w:t>.</w:t>
      </w:r>
      <w:r w:rsidR="00266AED" w:rsidRPr="00B06B1A">
        <w:rPr>
          <w:rFonts w:asciiTheme="minorHAnsi" w:hAnsiTheme="minorHAnsi" w:cstheme="minorHAnsi"/>
        </w:rPr>
        <w:t xml:space="preserve"> </w:t>
      </w:r>
      <w:r w:rsidR="00266AED">
        <w:rPr>
          <w:rFonts w:asciiTheme="minorHAnsi" w:hAnsiTheme="minorHAnsi" w:cstheme="minorHAnsi"/>
        </w:rPr>
        <w:t>B</w:t>
      </w:r>
      <w:r w:rsidRPr="00B06B1A">
        <w:rPr>
          <w:rFonts w:asciiTheme="minorHAnsi" w:hAnsiTheme="minorHAnsi" w:cstheme="minorHAnsi"/>
        </w:rPr>
        <w:t xml:space="preserve">ecause of centralised reporting, </w:t>
      </w:r>
      <w:r w:rsidR="00B77F42">
        <w:rPr>
          <w:rFonts w:asciiTheme="minorHAnsi" w:hAnsiTheme="minorHAnsi" w:cstheme="minorHAnsi"/>
        </w:rPr>
        <w:t>t</w:t>
      </w:r>
      <w:r w:rsidRPr="00B06B1A">
        <w:rPr>
          <w:rFonts w:asciiTheme="minorHAnsi" w:hAnsiTheme="minorHAnsi" w:cstheme="minorHAnsi"/>
        </w:rPr>
        <w:t>hat financial data may be aggregated over other commonly owned businesses. As is commonly the case, it is possible to get around these limitations through the addition of other administrative sources (e.g.</w:t>
      </w:r>
      <w:r w:rsidR="00E32A08">
        <w:rPr>
          <w:rFonts w:asciiTheme="minorHAnsi" w:hAnsiTheme="minorHAnsi" w:cstheme="minorHAnsi"/>
        </w:rPr>
        <w:t>,</w:t>
      </w:r>
      <w:r w:rsidRPr="00B06B1A">
        <w:rPr>
          <w:rFonts w:asciiTheme="minorHAnsi" w:hAnsiTheme="minorHAnsi" w:cstheme="minorHAnsi"/>
        </w:rPr>
        <w:t xml:space="preserve"> by the inclusion of ownership information to link businesses together), but this takes time. As a research tool, BLADE is still in its infancy, with data only </w:t>
      </w:r>
      <w:r w:rsidR="00B67ACF">
        <w:rPr>
          <w:rFonts w:asciiTheme="minorHAnsi" w:hAnsiTheme="minorHAnsi" w:cstheme="minorHAnsi"/>
        </w:rPr>
        <w:t xml:space="preserve">recently </w:t>
      </w:r>
      <w:r w:rsidRPr="00B06B1A">
        <w:rPr>
          <w:rFonts w:asciiTheme="minorHAnsi" w:hAnsiTheme="minorHAnsi" w:cstheme="minorHAnsi"/>
        </w:rPr>
        <w:t xml:space="preserve">made available outside of government. </w:t>
      </w:r>
    </w:p>
    <w:p w14:paraId="53B91851" w14:textId="77777777" w:rsidR="001B2E2E" w:rsidRDefault="001B2E2E" w:rsidP="00B06B1A">
      <w:pPr>
        <w:jc w:val="both"/>
        <w:rPr>
          <w:rFonts w:asciiTheme="minorHAnsi" w:hAnsiTheme="minorHAnsi" w:cstheme="minorHAnsi"/>
        </w:rPr>
      </w:pPr>
    </w:p>
    <w:p w14:paraId="30B2B84C" w14:textId="77284617" w:rsidR="00B67ACF" w:rsidRDefault="00172F16" w:rsidP="00B06B1A">
      <w:pPr>
        <w:jc w:val="both"/>
        <w:rPr>
          <w:rFonts w:asciiTheme="minorHAnsi" w:hAnsiTheme="minorHAnsi" w:cstheme="minorHAnsi"/>
        </w:rPr>
      </w:pPr>
      <w:r>
        <w:rPr>
          <w:rFonts w:asciiTheme="minorHAnsi" w:hAnsiTheme="minorHAnsi" w:cstheme="minorHAnsi"/>
        </w:rPr>
        <w:t xml:space="preserve">As </w:t>
      </w:r>
      <w:r w:rsidR="001B2E2E" w:rsidRPr="00B06B1A">
        <w:rPr>
          <w:rFonts w:asciiTheme="minorHAnsi" w:hAnsiTheme="minorHAnsi" w:cstheme="minorHAnsi"/>
        </w:rPr>
        <w:t>discussed above</w:t>
      </w:r>
      <w:r>
        <w:rPr>
          <w:rFonts w:asciiTheme="minorHAnsi" w:hAnsiTheme="minorHAnsi" w:cstheme="minorHAnsi"/>
        </w:rPr>
        <w:t>,</w:t>
      </w:r>
      <w:r w:rsidR="001B2E2E" w:rsidRPr="00B06B1A">
        <w:rPr>
          <w:rFonts w:asciiTheme="minorHAnsi" w:hAnsiTheme="minorHAnsi" w:cstheme="minorHAnsi"/>
        </w:rPr>
        <w:t xml:space="preserve"> we exclude businesses that are inactive based on their tax filing status, which may distort business average measures. Some of these ‘tax inactive’ businesses may be active in practice because they are part of a cluster of businesses held by the same owner who centralises tax through one ABN. To the extent that this is true, then business average statistics will be over-inflated to a degree.</w:t>
      </w:r>
      <w:r w:rsidR="001B2E2E">
        <w:rPr>
          <w:rFonts w:asciiTheme="minorHAnsi" w:hAnsiTheme="minorHAnsi" w:cstheme="minorHAnsi"/>
        </w:rPr>
        <w:t xml:space="preserve"> </w:t>
      </w:r>
      <w:r w:rsidR="001B2E2E" w:rsidRPr="00B06B1A">
        <w:rPr>
          <w:rFonts w:asciiTheme="minorHAnsi" w:hAnsiTheme="minorHAnsi" w:cstheme="minorHAnsi"/>
        </w:rPr>
        <w:t>While we need to express caution in interpreting the business average results, from the data available, there is nothing that suggests that this problem may have changed over time or differently affects Indigenous and non-Indigenous businesses.</w:t>
      </w:r>
    </w:p>
    <w:p w14:paraId="60362A91" w14:textId="77777777" w:rsidR="00F06469" w:rsidRDefault="00F06469" w:rsidP="00F0530B">
      <w:pPr>
        <w:pStyle w:val="Heading2"/>
      </w:pPr>
    </w:p>
    <w:p w14:paraId="4A79FACB" w14:textId="77777777" w:rsidR="00975762" w:rsidRDefault="00975762">
      <w:pPr>
        <w:rPr>
          <w:rFonts w:asciiTheme="majorHAnsi" w:eastAsiaTheme="majorEastAsia" w:hAnsiTheme="majorHAnsi" w:cstheme="majorBidi"/>
          <w:color w:val="2F5496" w:themeColor="accent1" w:themeShade="BF"/>
          <w:sz w:val="32"/>
          <w:szCs w:val="32"/>
        </w:rPr>
      </w:pPr>
      <w:r>
        <w:br w:type="page"/>
      </w:r>
    </w:p>
    <w:p w14:paraId="3C90705E" w14:textId="60662A84" w:rsidR="00565F18" w:rsidRPr="00BC656F" w:rsidRDefault="004A4E66" w:rsidP="00BC656F">
      <w:pPr>
        <w:pStyle w:val="Heading1"/>
        <w:rPr>
          <w:sz w:val="26"/>
          <w:szCs w:val="26"/>
        </w:rPr>
      </w:pPr>
      <w:r>
        <w:lastRenderedPageBreak/>
        <w:t>Breadth of the Indigenous Business Sector</w:t>
      </w:r>
    </w:p>
    <w:p w14:paraId="716ED053" w14:textId="385B0139" w:rsidR="00BE3C6E" w:rsidRDefault="002D5761" w:rsidP="009E5754">
      <w:pPr>
        <w:jc w:val="both"/>
        <w:rPr>
          <w:rFonts w:asciiTheme="minorHAnsi" w:hAnsiTheme="minorHAnsi" w:cstheme="minorHAnsi"/>
        </w:rPr>
      </w:pPr>
      <w:r w:rsidRPr="00CE315D">
        <w:rPr>
          <w:rFonts w:asciiTheme="minorHAnsi" w:hAnsiTheme="minorHAnsi" w:cstheme="minorHAnsi"/>
          <w:b/>
          <w:bCs/>
        </w:rPr>
        <w:t xml:space="preserve">The </w:t>
      </w:r>
      <w:r w:rsidR="00111C64" w:rsidRPr="00CE315D">
        <w:rPr>
          <w:rFonts w:asciiTheme="minorHAnsi" w:hAnsiTheme="minorHAnsi" w:cstheme="minorHAnsi"/>
          <w:b/>
          <w:bCs/>
        </w:rPr>
        <w:t>integration</w:t>
      </w:r>
      <w:r w:rsidRPr="00CE315D">
        <w:rPr>
          <w:rFonts w:asciiTheme="minorHAnsi" w:hAnsiTheme="minorHAnsi" w:cstheme="minorHAnsi"/>
          <w:b/>
          <w:bCs/>
        </w:rPr>
        <w:t xml:space="preserve"> </w:t>
      </w:r>
      <w:r w:rsidR="00DF22C2" w:rsidRPr="00CE315D">
        <w:rPr>
          <w:rFonts w:asciiTheme="minorHAnsi" w:hAnsiTheme="minorHAnsi" w:cstheme="minorHAnsi"/>
          <w:b/>
          <w:bCs/>
        </w:rPr>
        <w:t xml:space="preserve">of </w:t>
      </w:r>
      <w:r w:rsidRPr="00CE315D">
        <w:rPr>
          <w:rFonts w:asciiTheme="minorHAnsi" w:hAnsiTheme="minorHAnsi" w:cstheme="minorHAnsi"/>
          <w:b/>
          <w:bCs/>
        </w:rPr>
        <w:t xml:space="preserve">Indigenous businesses </w:t>
      </w:r>
      <w:r w:rsidR="001E50A9" w:rsidRPr="00CE315D">
        <w:rPr>
          <w:rFonts w:asciiTheme="minorHAnsi" w:hAnsiTheme="minorHAnsi" w:cstheme="minorHAnsi"/>
          <w:b/>
          <w:bCs/>
        </w:rPr>
        <w:t xml:space="preserve">from </w:t>
      </w:r>
      <w:r w:rsidR="00330FAD">
        <w:rPr>
          <w:rFonts w:asciiTheme="minorHAnsi" w:hAnsiTheme="minorHAnsi" w:cstheme="minorHAnsi"/>
          <w:b/>
          <w:bCs/>
        </w:rPr>
        <w:t>four</w:t>
      </w:r>
      <w:r w:rsidR="001E50A9" w:rsidRPr="00CE315D">
        <w:rPr>
          <w:rFonts w:asciiTheme="minorHAnsi" w:hAnsiTheme="minorHAnsi" w:cstheme="minorHAnsi"/>
          <w:b/>
          <w:bCs/>
        </w:rPr>
        <w:t xml:space="preserve"> </w:t>
      </w:r>
      <w:r w:rsidR="00966E59" w:rsidRPr="00CE315D">
        <w:rPr>
          <w:rFonts w:asciiTheme="minorHAnsi" w:hAnsiTheme="minorHAnsi" w:cstheme="minorHAnsi"/>
          <w:b/>
          <w:bCs/>
        </w:rPr>
        <w:t>registries</w:t>
      </w:r>
      <w:r w:rsidR="004F644F" w:rsidRPr="00CE315D">
        <w:rPr>
          <w:rFonts w:asciiTheme="minorHAnsi" w:hAnsiTheme="minorHAnsi" w:cstheme="minorHAnsi"/>
          <w:b/>
          <w:bCs/>
        </w:rPr>
        <w:t xml:space="preserve"> </w:t>
      </w:r>
      <w:r w:rsidR="00111C64" w:rsidRPr="00CE315D">
        <w:rPr>
          <w:rFonts w:asciiTheme="minorHAnsi" w:hAnsiTheme="minorHAnsi" w:cstheme="minorHAnsi"/>
          <w:b/>
          <w:bCs/>
        </w:rPr>
        <w:t>with BLADE to create I-BLADE</w:t>
      </w:r>
      <w:r w:rsidR="0072340D" w:rsidRPr="00CE315D">
        <w:rPr>
          <w:rFonts w:asciiTheme="minorHAnsi" w:hAnsiTheme="minorHAnsi" w:cstheme="minorHAnsi"/>
          <w:b/>
          <w:bCs/>
        </w:rPr>
        <w:t xml:space="preserve"> 1.0</w:t>
      </w:r>
      <w:r w:rsidR="004F644F" w:rsidRPr="00CE315D">
        <w:rPr>
          <w:rFonts w:asciiTheme="minorHAnsi" w:hAnsiTheme="minorHAnsi" w:cstheme="minorHAnsi"/>
          <w:b/>
          <w:bCs/>
        </w:rPr>
        <w:t xml:space="preserve"> provides the </w:t>
      </w:r>
      <w:r w:rsidR="001E50A9" w:rsidRPr="00CE315D">
        <w:rPr>
          <w:rFonts w:asciiTheme="minorHAnsi" w:hAnsiTheme="minorHAnsi" w:cstheme="minorHAnsi"/>
          <w:b/>
          <w:bCs/>
        </w:rPr>
        <w:t xml:space="preserve">best </w:t>
      </w:r>
      <w:r w:rsidR="004F644F" w:rsidRPr="00CE315D">
        <w:rPr>
          <w:rFonts w:asciiTheme="minorHAnsi" w:hAnsiTheme="minorHAnsi" w:cstheme="minorHAnsi"/>
          <w:b/>
          <w:bCs/>
        </w:rPr>
        <w:t xml:space="preserve">glimpses of </w:t>
      </w:r>
      <w:r w:rsidR="009D4169" w:rsidRPr="00CE315D">
        <w:rPr>
          <w:rFonts w:asciiTheme="minorHAnsi" w:hAnsiTheme="minorHAnsi" w:cstheme="minorHAnsi"/>
          <w:b/>
          <w:bCs/>
        </w:rPr>
        <w:t>the</w:t>
      </w:r>
      <w:r w:rsidR="00A02B1B" w:rsidRPr="00CE315D">
        <w:rPr>
          <w:rFonts w:asciiTheme="minorHAnsi" w:hAnsiTheme="minorHAnsi" w:cstheme="minorHAnsi"/>
          <w:b/>
          <w:bCs/>
        </w:rPr>
        <w:t xml:space="preserve"> sector</w:t>
      </w:r>
      <w:r w:rsidR="00E63737" w:rsidRPr="00CE315D">
        <w:rPr>
          <w:rFonts w:asciiTheme="minorHAnsi" w:hAnsiTheme="minorHAnsi" w:cstheme="minorHAnsi"/>
          <w:b/>
          <w:bCs/>
        </w:rPr>
        <w:t xml:space="preserve"> that is at least 50% Indigenous owned</w:t>
      </w:r>
      <w:r w:rsidR="003717B8" w:rsidRPr="00CE315D">
        <w:rPr>
          <w:rFonts w:asciiTheme="minorHAnsi" w:hAnsiTheme="minorHAnsi" w:cstheme="minorHAnsi"/>
          <w:b/>
          <w:bCs/>
        </w:rPr>
        <w:t>.</w:t>
      </w:r>
      <w:r w:rsidR="00395FD1">
        <w:rPr>
          <w:rFonts w:asciiTheme="minorHAnsi" w:hAnsiTheme="minorHAnsi" w:cstheme="minorHAnsi"/>
        </w:rPr>
        <w:t xml:space="preserve"> </w:t>
      </w:r>
      <w:r w:rsidR="001E50A9">
        <w:rPr>
          <w:rFonts w:asciiTheme="minorHAnsi" w:hAnsiTheme="minorHAnsi" w:cstheme="minorHAnsi"/>
        </w:rPr>
        <w:t xml:space="preserve">Other studies </w:t>
      </w:r>
      <w:r w:rsidR="00D25B3A">
        <w:rPr>
          <w:rFonts w:asciiTheme="minorHAnsi" w:hAnsiTheme="minorHAnsi" w:cstheme="minorHAnsi"/>
        </w:rPr>
        <w:t xml:space="preserve">have </w:t>
      </w:r>
      <w:r w:rsidR="001E50A9">
        <w:rPr>
          <w:rFonts w:asciiTheme="minorHAnsi" w:hAnsiTheme="minorHAnsi" w:cstheme="minorHAnsi"/>
        </w:rPr>
        <w:t xml:space="preserve">focussed on examining </w:t>
      </w:r>
      <w:r w:rsidR="00E273BF">
        <w:rPr>
          <w:rFonts w:asciiTheme="minorHAnsi" w:hAnsiTheme="minorHAnsi" w:cstheme="minorHAnsi"/>
        </w:rPr>
        <w:t>the nature of</w:t>
      </w:r>
      <w:r w:rsidR="001E50A9">
        <w:rPr>
          <w:rFonts w:asciiTheme="minorHAnsi" w:hAnsiTheme="minorHAnsi" w:cstheme="minorHAnsi"/>
        </w:rPr>
        <w:t xml:space="preserve"> businesses from </w:t>
      </w:r>
      <w:r w:rsidR="00E63737">
        <w:rPr>
          <w:rFonts w:asciiTheme="minorHAnsi" w:hAnsiTheme="minorHAnsi" w:cstheme="minorHAnsi"/>
        </w:rPr>
        <w:t xml:space="preserve">one registry, </w:t>
      </w:r>
      <w:r w:rsidR="00F93101">
        <w:rPr>
          <w:rFonts w:asciiTheme="minorHAnsi" w:hAnsiTheme="minorHAnsi" w:cstheme="minorHAnsi"/>
        </w:rPr>
        <w:t xml:space="preserve">Supply Nation </w:t>
      </w:r>
      <w:r w:rsidR="00D25B3A">
        <w:rPr>
          <w:rFonts w:asciiTheme="minorHAnsi" w:hAnsiTheme="minorHAnsi" w:cstheme="minorHAnsi"/>
        </w:rPr>
        <w:t>(</w:t>
      </w:r>
      <w:r w:rsidR="00660107">
        <w:rPr>
          <w:rFonts w:asciiTheme="minorHAnsi" w:hAnsiTheme="minorHAnsi" w:cstheme="minorHAnsi"/>
        </w:rPr>
        <w:t>Supply Nation 2020</w:t>
      </w:r>
      <w:r w:rsidR="00D25B3A">
        <w:rPr>
          <w:rFonts w:asciiTheme="minorHAnsi" w:hAnsiTheme="minorHAnsi" w:cstheme="minorHAnsi"/>
        </w:rPr>
        <w:t xml:space="preserve">) or </w:t>
      </w:r>
      <w:r w:rsidR="0031029B">
        <w:rPr>
          <w:rFonts w:asciiTheme="minorHAnsi" w:hAnsiTheme="minorHAnsi" w:cstheme="minorHAnsi"/>
        </w:rPr>
        <w:t xml:space="preserve">on </w:t>
      </w:r>
      <w:r w:rsidR="00E273BF">
        <w:rPr>
          <w:rFonts w:asciiTheme="minorHAnsi" w:hAnsiTheme="minorHAnsi" w:cstheme="minorHAnsi"/>
        </w:rPr>
        <w:t>owner-managers</w:t>
      </w:r>
      <w:r w:rsidR="00257A90">
        <w:rPr>
          <w:rFonts w:asciiTheme="minorHAnsi" w:hAnsiTheme="minorHAnsi" w:cstheme="minorHAnsi"/>
        </w:rPr>
        <w:t xml:space="preserve"> (</w:t>
      </w:r>
      <w:r w:rsidR="005025C3">
        <w:rPr>
          <w:rFonts w:asciiTheme="minorHAnsi" w:hAnsiTheme="minorHAnsi" w:cstheme="minorHAnsi"/>
        </w:rPr>
        <w:t>not businesses</w:t>
      </w:r>
      <w:r w:rsidR="00257A90">
        <w:rPr>
          <w:rFonts w:asciiTheme="minorHAnsi" w:hAnsiTheme="minorHAnsi" w:cstheme="minorHAnsi"/>
        </w:rPr>
        <w:t>)</w:t>
      </w:r>
      <w:r w:rsidR="005025C3">
        <w:rPr>
          <w:rFonts w:asciiTheme="minorHAnsi" w:hAnsiTheme="minorHAnsi" w:cstheme="minorHAnsi"/>
        </w:rPr>
        <w:t xml:space="preserve"> </w:t>
      </w:r>
      <w:r w:rsidR="00DF22C2">
        <w:rPr>
          <w:rFonts w:asciiTheme="minorHAnsi" w:hAnsiTheme="minorHAnsi" w:cstheme="minorHAnsi"/>
        </w:rPr>
        <w:t xml:space="preserve">who self-identify as Indigenous </w:t>
      </w:r>
      <w:r w:rsidR="00E273BF">
        <w:rPr>
          <w:rFonts w:asciiTheme="minorHAnsi" w:hAnsiTheme="minorHAnsi" w:cstheme="minorHAnsi"/>
        </w:rPr>
        <w:t xml:space="preserve">from </w:t>
      </w:r>
      <w:r w:rsidR="00DF22C2">
        <w:rPr>
          <w:rFonts w:asciiTheme="minorHAnsi" w:hAnsiTheme="minorHAnsi" w:cstheme="minorHAnsi"/>
        </w:rPr>
        <w:t>the C</w:t>
      </w:r>
      <w:r w:rsidR="00E273BF">
        <w:rPr>
          <w:rFonts w:asciiTheme="minorHAnsi" w:hAnsiTheme="minorHAnsi" w:cstheme="minorHAnsi"/>
        </w:rPr>
        <w:t>ensus</w:t>
      </w:r>
      <w:r w:rsidR="00A667B3">
        <w:rPr>
          <w:rFonts w:asciiTheme="minorHAnsi" w:hAnsiTheme="minorHAnsi" w:cstheme="minorHAnsi"/>
        </w:rPr>
        <w:t xml:space="preserve"> (</w:t>
      </w:r>
      <w:r w:rsidR="00D37B00">
        <w:rPr>
          <w:rFonts w:asciiTheme="minorHAnsi" w:hAnsiTheme="minorHAnsi" w:cstheme="minorHAnsi"/>
        </w:rPr>
        <w:t>Shirodkar</w:t>
      </w:r>
      <w:r w:rsidR="00EE55A9">
        <w:rPr>
          <w:rFonts w:asciiTheme="minorHAnsi" w:hAnsiTheme="minorHAnsi" w:cstheme="minorHAnsi"/>
        </w:rPr>
        <w:t xml:space="preserve"> et al.</w:t>
      </w:r>
      <w:r w:rsidR="00A344FF">
        <w:rPr>
          <w:rFonts w:asciiTheme="minorHAnsi" w:hAnsiTheme="minorHAnsi" w:cstheme="minorHAnsi"/>
        </w:rPr>
        <w:t>,</w:t>
      </w:r>
      <w:r w:rsidR="00EE55A9">
        <w:rPr>
          <w:rFonts w:asciiTheme="minorHAnsi" w:hAnsiTheme="minorHAnsi" w:cstheme="minorHAnsi"/>
        </w:rPr>
        <w:t xml:space="preserve"> </w:t>
      </w:r>
      <w:r w:rsidR="00D37B00">
        <w:rPr>
          <w:rFonts w:asciiTheme="minorHAnsi" w:hAnsiTheme="minorHAnsi" w:cstheme="minorHAnsi"/>
        </w:rPr>
        <w:t>2018)</w:t>
      </w:r>
      <w:r w:rsidR="00783158">
        <w:rPr>
          <w:rFonts w:asciiTheme="minorHAnsi" w:hAnsiTheme="minorHAnsi" w:cstheme="minorHAnsi"/>
        </w:rPr>
        <w:t xml:space="preserve">. </w:t>
      </w:r>
    </w:p>
    <w:p w14:paraId="48DA2B01" w14:textId="77777777" w:rsidR="00BE3C6E" w:rsidRDefault="00BE3C6E" w:rsidP="009E5754">
      <w:pPr>
        <w:jc w:val="both"/>
        <w:rPr>
          <w:rFonts w:asciiTheme="minorHAnsi" w:hAnsiTheme="minorHAnsi" w:cstheme="minorHAnsi"/>
        </w:rPr>
      </w:pPr>
    </w:p>
    <w:p w14:paraId="5FCAFEE5" w14:textId="148546C7" w:rsidR="00EC7C2D" w:rsidRDefault="003323F9" w:rsidP="009E5754">
      <w:pPr>
        <w:jc w:val="both"/>
        <w:rPr>
          <w:rFonts w:asciiTheme="minorHAnsi" w:hAnsiTheme="minorHAnsi" w:cstheme="minorHAnsi"/>
        </w:rPr>
      </w:pPr>
      <w:r w:rsidRPr="00CE315D">
        <w:rPr>
          <w:rFonts w:asciiTheme="minorHAnsi" w:hAnsiTheme="minorHAnsi" w:cstheme="minorHAnsi"/>
          <w:b/>
          <w:bCs/>
        </w:rPr>
        <w:t xml:space="preserve">In </w:t>
      </w:r>
      <w:r w:rsidR="00B85BDB" w:rsidRPr="00CE315D">
        <w:rPr>
          <w:rFonts w:asciiTheme="minorHAnsi" w:hAnsiTheme="minorHAnsi" w:cstheme="minorHAnsi"/>
          <w:b/>
          <w:bCs/>
        </w:rPr>
        <w:t>2017-18, the last year in I-BLADE</w:t>
      </w:r>
      <w:r w:rsidR="00B50DF3" w:rsidRPr="00CE315D">
        <w:rPr>
          <w:rFonts w:asciiTheme="minorHAnsi" w:hAnsiTheme="minorHAnsi" w:cstheme="minorHAnsi"/>
          <w:b/>
          <w:bCs/>
        </w:rPr>
        <w:t xml:space="preserve"> 1.0</w:t>
      </w:r>
      <w:r w:rsidR="00B85BDB" w:rsidRPr="00CE315D">
        <w:rPr>
          <w:rFonts w:asciiTheme="minorHAnsi" w:hAnsiTheme="minorHAnsi" w:cstheme="minorHAnsi"/>
          <w:b/>
          <w:bCs/>
        </w:rPr>
        <w:t xml:space="preserve">, we observe </w:t>
      </w:r>
      <w:r w:rsidR="00F22A82" w:rsidRPr="00CE315D">
        <w:rPr>
          <w:rFonts w:asciiTheme="minorHAnsi" w:hAnsiTheme="minorHAnsi" w:cstheme="minorHAnsi"/>
          <w:b/>
          <w:bCs/>
        </w:rPr>
        <w:t>3,619 active businesses</w:t>
      </w:r>
      <w:r w:rsidR="008F1E10" w:rsidRPr="00CE315D">
        <w:rPr>
          <w:rFonts w:asciiTheme="minorHAnsi" w:hAnsiTheme="minorHAnsi" w:cstheme="minorHAnsi"/>
          <w:b/>
          <w:bCs/>
        </w:rPr>
        <w:t xml:space="preserve">, employing </w:t>
      </w:r>
      <w:r w:rsidR="00B85BDB" w:rsidRPr="00CE315D">
        <w:rPr>
          <w:rFonts w:asciiTheme="minorHAnsi" w:hAnsiTheme="minorHAnsi" w:cstheme="minorHAnsi"/>
          <w:b/>
          <w:bCs/>
        </w:rPr>
        <w:t xml:space="preserve">45,434 </w:t>
      </w:r>
      <w:r w:rsidR="008F1E10" w:rsidRPr="00CE315D">
        <w:rPr>
          <w:rFonts w:asciiTheme="minorHAnsi" w:hAnsiTheme="minorHAnsi" w:cstheme="minorHAnsi"/>
          <w:b/>
          <w:bCs/>
        </w:rPr>
        <w:t xml:space="preserve">people generating total gross income of </w:t>
      </w:r>
      <w:r w:rsidR="00765523" w:rsidRPr="00CE315D">
        <w:rPr>
          <w:rFonts w:asciiTheme="minorHAnsi" w:hAnsiTheme="minorHAnsi" w:cstheme="minorHAnsi"/>
          <w:b/>
          <w:bCs/>
        </w:rPr>
        <w:t>$</w:t>
      </w:r>
      <w:r w:rsidR="009A2794" w:rsidRPr="00CE315D">
        <w:rPr>
          <w:rFonts w:asciiTheme="minorHAnsi" w:hAnsiTheme="minorHAnsi" w:cstheme="minorHAnsi"/>
          <w:b/>
          <w:bCs/>
        </w:rPr>
        <w:t>4.</w:t>
      </w:r>
      <w:r w:rsidR="009D7DF8" w:rsidRPr="00CE315D">
        <w:rPr>
          <w:rFonts w:asciiTheme="minorHAnsi" w:hAnsiTheme="minorHAnsi" w:cstheme="minorHAnsi"/>
          <w:b/>
          <w:bCs/>
        </w:rPr>
        <w:t>9</w:t>
      </w:r>
      <w:r w:rsidR="009A2794" w:rsidRPr="00CE315D">
        <w:rPr>
          <w:rFonts w:asciiTheme="minorHAnsi" w:hAnsiTheme="minorHAnsi" w:cstheme="minorHAnsi"/>
          <w:b/>
          <w:bCs/>
        </w:rPr>
        <w:t>bill (2020 terms).</w:t>
      </w:r>
      <w:r w:rsidR="009A2794">
        <w:rPr>
          <w:rFonts w:asciiTheme="minorHAnsi" w:hAnsiTheme="minorHAnsi" w:cstheme="minorHAnsi"/>
        </w:rPr>
        <w:t xml:space="preserve"> </w:t>
      </w:r>
      <w:r w:rsidR="00A74551">
        <w:rPr>
          <w:rFonts w:asciiTheme="minorHAnsi" w:hAnsiTheme="minorHAnsi" w:cstheme="minorHAnsi"/>
        </w:rPr>
        <w:t xml:space="preserve">To put this into perspective, </w:t>
      </w:r>
      <w:r w:rsidR="00A52F59">
        <w:rPr>
          <w:rFonts w:asciiTheme="minorHAnsi" w:hAnsiTheme="minorHAnsi" w:cstheme="minorHAnsi"/>
        </w:rPr>
        <w:t xml:space="preserve">this is around the same as the value of Australia’s </w:t>
      </w:r>
      <w:r w:rsidR="007E631F">
        <w:rPr>
          <w:rFonts w:asciiTheme="minorHAnsi" w:hAnsiTheme="minorHAnsi" w:cstheme="minorHAnsi"/>
        </w:rPr>
        <w:t xml:space="preserve">production of </w:t>
      </w:r>
      <w:r w:rsidR="00A52F59">
        <w:rPr>
          <w:rFonts w:asciiTheme="minorHAnsi" w:hAnsiTheme="minorHAnsi" w:cstheme="minorHAnsi"/>
        </w:rPr>
        <w:t xml:space="preserve">vegetable crop </w:t>
      </w:r>
      <w:r w:rsidR="001C7944">
        <w:rPr>
          <w:rFonts w:asciiTheme="minorHAnsi" w:hAnsiTheme="minorHAnsi" w:cstheme="minorHAnsi"/>
        </w:rPr>
        <w:t xml:space="preserve">and more than cotton </w:t>
      </w:r>
      <w:r w:rsidR="00B37B80">
        <w:rPr>
          <w:rFonts w:asciiTheme="minorHAnsi" w:hAnsiTheme="minorHAnsi" w:cstheme="minorHAnsi"/>
        </w:rPr>
        <w:t xml:space="preserve">crop </w:t>
      </w:r>
      <w:r w:rsidR="00B3556D">
        <w:rPr>
          <w:rFonts w:asciiTheme="minorHAnsi" w:hAnsiTheme="minorHAnsi" w:cstheme="minorHAnsi"/>
        </w:rPr>
        <w:t xml:space="preserve">$2.5bill </w:t>
      </w:r>
      <w:r w:rsidR="00B37B80">
        <w:rPr>
          <w:rFonts w:asciiTheme="minorHAnsi" w:hAnsiTheme="minorHAnsi" w:cstheme="minorHAnsi"/>
        </w:rPr>
        <w:t>in 2017-18</w:t>
      </w:r>
      <w:r w:rsidR="00106188">
        <w:rPr>
          <w:rFonts w:asciiTheme="minorHAnsi" w:hAnsiTheme="minorHAnsi" w:cstheme="minorHAnsi"/>
        </w:rPr>
        <w:t xml:space="preserve"> (ABS 2019)</w:t>
      </w:r>
      <w:r w:rsidR="00B37B80">
        <w:rPr>
          <w:rFonts w:asciiTheme="minorHAnsi" w:hAnsiTheme="minorHAnsi" w:cstheme="minorHAnsi"/>
        </w:rPr>
        <w:t xml:space="preserve">. </w:t>
      </w:r>
      <w:r w:rsidR="00F206F0">
        <w:rPr>
          <w:rFonts w:asciiTheme="minorHAnsi" w:hAnsiTheme="minorHAnsi" w:cstheme="minorHAnsi"/>
        </w:rPr>
        <w:t>It is important to keep in mind that this is likely to be an under-estimate of the true size of the sector</w:t>
      </w:r>
      <w:r w:rsidR="0027532C">
        <w:rPr>
          <w:rFonts w:asciiTheme="minorHAnsi" w:hAnsiTheme="minorHAnsi" w:cstheme="minorHAnsi"/>
        </w:rPr>
        <w:t>, defined by whether a business is 50% Indigenous owned</w:t>
      </w:r>
      <w:r w:rsidR="00B37D3E">
        <w:rPr>
          <w:rFonts w:asciiTheme="minorHAnsi" w:hAnsiTheme="minorHAnsi" w:cstheme="minorHAnsi"/>
        </w:rPr>
        <w:t xml:space="preserve"> and registered</w:t>
      </w:r>
      <w:r w:rsidR="0027532C">
        <w:rPr>
          <w:rFonts w:asciiTheme="minorHAnsi" w:hAnsiTheme="minorHAnsi" w:cstheme="minorHAnsi"/>
        </w:rPr>
        <w:t>. As</w:t>
      </w:r>
      <w:r w:rsidR="007C5CAC">
        <w:rPr>
          <w:rFonts w:asciiTheme="minorHAnsi" w:hAnsiTheme="minorHAnsi" w:cstheme="minorHAnsi"/>
        </w:rPr>
        <w:t xml:space="preserve"> discussed in a previous section</w:t>
      </w:r>
      <w:r w:rsidR="007B6956">
        <w:rPr>
          <w:rFonts w:asciiTheme="minorHAnsi" w:hAnsiTheme="minorHAnsi" w:cstheme="minorHAnsi"/>
        </w:rPr>
        <w:t>, not all</w:t>
      </w:r>
      <w:r w:rsidR="007C5CAC">
        <w:rPr>
          <w:rFonts w:asciiTheme="minorHAnsi" w:hAnsiTheme="minorHAnsi" w:cstheme="minorHAnsi"/>
        </w:rPr>
        <w:t xml:space="preserve"> unique Indigenous businesses (8</w:t>
      </w:r>
      <w:r w:rsidR="00D702D6">
        <w:rPr>
          <w:rFonts w:asciiTheme="minorHAnsi" w:hAnsiTheme="minorHAnsi" w:cstheme="minorHAnsi"/>
        </w:rPr>
        <w:t>,</w:t>
      </w:r>
      <w:r w:rsidR="007C5CAC">
        <w:rPr>
          <w:rFonts w:asciiTheme="minorHAnsi" w:hAnsiTheme="minorHAnsi" w:cstheme="minorHAnsi"/>
        </w:rPr>
        <w:t xml:space="preserve">133) identified in the current </w:t>
      </w:r>
      <w:r w:rsidR="00330FAD">
        <w:rPr>
          <w:rFonts w:asciiTheme="minorHAnsi" w:hAnsiTheme="minorHAnsi" w:cstheme="minorHAnsi"/>
        </w:rPr>
        <w:t>four</w:t>
      </w:r>
      <w:r w:rsidR="007C5CAC">
        <w:rPr>
          <w:rFonts w:asciiTheme="minorHAnsi" w:hAnsiTheme="minorHAnsi" w:cstheme="minorHAnsi"/>
        </w:rPr>
        <w:t xml:space="preserve"> registries</w:t>
      </w:r>
      <w:r w:rsidR="006A337F">
        <w:rPr>
          <w:rFonts w:asciiTheme="minorHAnsi" w:hAnsiTheme="minorHAnsi" w:cstheme="minorHAnsi"/>
        </w:rPr>
        <w:t xml:space="preserve"> could be linked to BLADE</w:t>
      </w:r>
      <w:r w:rsidR="00AE6191">
        <w:rPr>
          <w:rFonts w:asciiTheme="minorHAnsi" w:hAnsiTheme="minorHAnsi" w:cstheme="minorHAnsi"/>
        </w:rPr>
        <w:t>. As a result</w:t>
      </w:r>
      <w:r w:rsidR="00E90145">
        <w:rPr>
          <w:rFonts w:asciiTheme="minorHAnsi" w:hAnsiTheme="minorHAnsi" w:cstheme="minorHAnsi"/>
        </w:rPr>
        <w:t xml:space="preserve">, </w:t>
      </w:r>
      <w:r w:rsidR="007E4698">
        <w:rPr>
          <w:rFonts w:asciiTheme="minorHAnsi" w:hAnsiTheme="minorHAnsi" w:cstheme="minorHAnsi"/>
        </w:rPr>
        <w:t>I-BLADE</w:t>
      </w:r>
      <w:r w:rsidR="00B50DF3">
        <w:rPr>
          <w:rFonts w:asciiTheme="minorHAnsi" w:hAnsiTheme="minorHAnsi" w:cstheme="minorHAnsi"/>
        </w:rPr>
        <w:t xml:space="preserve"> 1.0</w:t>
      </w:r>
      <w:r w:rsidR="007E4698">
        <w:rPr>
          <w:rFonts w:asciiTheme="minorHAnsi" w:hAnsiTheme="minorHAnsi" w:cstheme="minorHAnsi"/>
        </w:rPr>
        <w:t xml:space="preserve"> does not include information from all registries</w:t>
      </w:r>
      <w:r w:rsidR="00AB15B5">
        <w:rPr>
          <w:rFonts w:asciiTheme="minorHAnsi" w:hAnsiTheme="minorHAnsi" w:cstheme="minorHAnsi"/>
        </w:rPr>
        <w:t xml:space="preserve"> and there are likely to be other businesses that</w:t>
      </w:r>
      <w:r w:rsidR="003B07D1">
        <w:rPr>
          <w:rFonts w:asciiTheme="minorHAnsi" w:hAnsiTheme="minorHAnsi" w:cstheme="minorHAnsi"/>
        </w:rPr>
        <w:t xml:space="preserve"> are at least 50% Indigenous that </w:t>
      </w:r>
      <w:r w:rsidR="003E4CF3">
        <w:rPr>
          <w:rFonts w:asciiTheme="minorHAnsi" w:hAnsiTheme="minorHAnsi" w:cstheme="minorHAnsi"/>
        </w:rPr>
        <w:t>a</w:t>
      </w:r>
      <w:r w:rsidR="00B6517A">
        <w:rPr>
          <w:rFonts w:asciiTheme="minorHAnsi" w:hAnsiTheme="minorHAnsi" w:cstheme="minorHAnsi"/>
        </w:rPr>
        <w:t>r</w:t>
      </w:r>
      <w:r w:rsidR="003E4CF3">
        <w:rPr>
          <w:rFonts w:asciiTheme="minorHAnsi" w:hAnsiTheme="minorHAnsi" w:cstheme="minorHAnsi"/>
        </w:rPr>
        <w:t xml:space="preserve">e not </w:t>
      </w:r>
      <w:r w:rsidR="003B07D1">
        <w:rPr>
          <w:rFonts w:asciiTheme="minorHAnsi" w:hAnsiTheme="minorHAnsi" w:cstheme="minorHAnsi"/>
        </w:rPr>
        <w:t>registered</w:t>
      </w:r>
      <w:r w:rsidR="00B6517A">
        <w:rPr>
          <w:rFonts w:asciiTheme="minorHAnsi" w:hAnsiTheme="minorHAnsi" w:cstheme="minorHAnsi"/>
        </w:rPr>
        <w:t xml:space="preserve"> because they may not benefit </w:t>
      </w:r>
      <w:r w:rsidR="00F366D7">
        <w:rPr>
          <w:rFonts w:asciiTheme="minorHAnsi" w:hAnsiTheme="minorHAnsi" w:cstheme="minorHAnsi"/>
        </w:rPr>
        <w:t xml:space="preserve">from registering or be discriminated against </w:t>
      </w:r>
      <w:r w:rsidR="001C41E3">
        <w:rPr>
          <w:rFonts w:asciiTheme="minorHAnsi" w:hAnsiTheme="minorHAnsi" w:cstheme="minorHAnsi"/>
        </w:rPr>
        <w:t xml:space="preserve">if they do </w:t>
      </w:r>
      <w:r w:rsidR="00F366D7">
        <w:rPr>
          <w:rFonts w:asciiTheme="minorHAnsi" w:hAnsiTheme="minorHAnsi" w:cstheme="minorHAnsi"/>
        </w:rPr>
        <w:t>(</w:t>
      </w:r>
      <w:r w:rsidR="00B923DA">
        <w:rPr>
          <w:rFonts w:asciiTheme="minorHAnsi" w:hAnsiTheme="minorHAnsi" w:cstheme="minorHAnsi"/>
        </w:rPr>
        <w:t>Foley</w:t>
      </w:r>
      <w:r w:rsidR="00264CF4">
        <w:rPr>
          <w:rFonts w:asciiTheme="minorHAnsi" w:hAnsiTheme="minorHAnsi" w:cstheme="minorHAnsi"/>
        </w:rPr>
        <w:t>,</w:t>
      </w:r>
      <w:r w:rsidR="00B923DA">
        <w:rPr>
          <w:rFonts w:asciiTheme="minorHAnsi" w:hAnsiTheme="minorHAnsi" w:cstheme="minorHAnsi"/>
        </w:rPr>
        <w:t xml:space="preserve"> 2000).</w:t>
      </w:r>
    </w:p>
    <w:p w14:paraId="4F92258B" w14:textId="34B72974" w:rsidR="008F627E" w:rsidRDefault="008F627E" w:rsidP="009E5754">
      <w:pPr>
        <w:jc w:val="both"/>
        <w:rPr>
          <w:rFonts w:asciiTheme="minorHAnsi" w:hAnsiTheme="minorHAnsi" w:cstheme="minorHAnsi"/>
        </w:rPr>
      </w:pPr>
    </w:p>
    <w:p w14:paraId="71BE0674" w14:textId="27977AA9" w:rsidR="008F627E" w:rsidRPr="00CE315D" w:rsidRDefault="008F627E" w:rsidP="009E5754">
      <w:pPr>
        <w:jc w:val="both"/>
        <w:rPr>
          <w:rFonts w:asciiTheme="minorHAnsi" w:hAnsiTheme="minorHAnsi" w:cstheme="minorHAnsi"/>
          <w:b/>
          <w:bCs/>
        </w:rPr>
      </w:pPr>
      <w:r>
        <w:rPr>
          <w:rFonts w:asciiTheme="minorHAnsi" w:hAnsiTheme="minorHAnsi" w:cstheme="minorHAnsi"/>
        </w:rPr>
        <w:t xml:space="preserve">In understanding the breadth of the sector, </w:t>
      </w:r>
      <w:r w:rsidRPr="00CE315D">
        <w:rPr>
          <w:rFonts w:asciiTheme="minorHAnsi" w:hAnsiTheme="minorHAnsi" w:cstheme="minorHAnsi"/>
          <w:b/>
          <w:bCs/>
        </w:rPr>
        <w:t>we address three key questions</w:t>
      </w:r>
      <w:r w:rsidR="00AE6191" w:rsidRPr="00CE315D">
        <w:rPr>
          <w:rFonts w:asciiTheme="minorHAnsi" w:hAnsiTheme="minorHAnsi" w:cstheme="minorHAnsi"/>
          <w:b/>
          <w:bCs/>
        </w:rPr>
        <w:t>:</w:t>
      </w:r>
      <w:r w:rsidRPr="00CE315D">
        <w:rPr>
          <w:rFonts w:asciiTheme="minorHAnsi" w:hAnsiTheme="minorHAnsi" w:cstheme="minorHAnsi"/>
          <w:b/>
          <w:bCs/>
        </w:rPr>
        <w:t xml:space="preserve"> </w:t>
      </w:r>
      <w:r w:rsidR="0025425F" w:rsidRPr="00CE315D">
        <w:rPr>
          <w:rFonts w:asciiTheme="minorHAnsi" w:hAnsiTheme="minorHAnsi" w:cstheme="minorHAnsi"/>
          <w:b/>
          <w:bCs/>
        </w:rPr>
        <w:t>(</w:t>
      </w:r>
      <w:proofErr w:type="spellStart"/>
      <w:r w:rsidR="0025425F" w:rsidRPr="00CE315D">
        <w:rPr>
          <w:rFonts w:asciiTheme="minorHAnsi" w:hAnsiTheme="minorHAnsi" w:cstheme="minorHAnsi"/>
          <w:b/>
          <w:bCs/>
        </w:rPr>
        <w:t>i</w:t>
      </w:r>
      <w:proofErr w:type="spellEnd"/>
      <w:r w:rsidR="0025425F" w:rsidRPr="00CE315D">
        <w:rPr>
          <w:rFonts w:asciiTheme="minorHAnsi" w:hAnsiTheme="minorHAnsi" w:cstheme="minorHAnsi"/>
          <w:b/>
          <w:bCs/>
        </w:rPr>
        <w:t xml:space="preserve">) </w:t>
      </w:r>
      <w:r w:rsidR="00D2373B" w:rsidRPr="00CE315D">
        <w:rPr>
          <w:rFonts w:asciiTheme="minorHAnsi" w:hAnsiTheme="minorHAnsi" w:cstheme="minorHAnsi"/>
          <w:b/>
          <w:bCs/>
        </w:rPr>
        <w:t xml:space="preserve">what is the size and nature of Indigenous businesses </w:t>
      </w:r>
      <w:r w:rsidRPr="00CE315D">
        <w:rPr>
          <w:rFonts w:asciiTheme="minorHAnsi" w:hAnsiTheme="minorHAnsi" w:cstheme="minorHAnsi"/>
          <w:b/>
          <w:bCs/>
        </w:rPr>
        <w:t>in I-BLADE</w:t>
      </w:r>
      <w:r w:rsidR="00E264EA" w:rsidRPr="00CE315D">
        <w:rPr>
          <w:rFonts w:asciiTheme="minorHAnsi" w:hAnsiTheme="minorHAnsi" w:cstheme="minorHAnsi"/>
          <w:b/>
          <w:bCs/>
        </w:rPr>
        <w:t xml:space="preserve">, </w:t>
      </w:r>
      <w:r w:rsidR="0025425F" w:rsidRPr="00CE315D">
        <w:rPr>
          <w:rFonts w:asciiTheme="minorHAnsi" w:hAnsiTheme="minorHAnsi" w:cstheme="minorHAnsi"/>
          <w:b/>
          <w:bCs/>
        </w:rPr>
        <w:t xml:space="preserve">(ii) </w:t>
      </w:r>
      <w:r w:rsidR="00E264EA" w:rsidRPr="00CE315D">
        <w:rPr>
          <w:rFonts w:asciiTheme="minorHAnsi" w:hAnsiTheme="minorHAnsi" w:cstheme="minorHAnsi"/>
          <w:b/>
          <w:bCs/>
        </w:rPr>
        <w:t>how has the sector</w:t>
      </w:r>
      <w:r w:rsidR="001C41E3" w:rsidRPr="00CE315D">
        <w:rPr>
          <w:rFonts w:asciiTheme="minorHAnsi" w:hAnsiTheme="minorHAnsi" w:cstheme="minorHAnsi"/>
          <w:b/>
          <w:bCs/>
        </w:rPr>
        <w:t>, as represented by these registered businesses</w:t>
      </w:r>
      <w:r w:rsidR="00AD2FFF" w:rsidRPr="00CE315D">
        <w:rPr>
          <w:rFonts w:asciiTheme="minorHAnsi" w:hAnsiTheme="minorHAnsi" w:cstheme="minorHAnsi"/>
          <w:b/>
          <w:bCs/>
        </w:rPr>
        <w:t xml:space="preserve"> in I-BLADE</w:t>
      </w:r>
      <w:r w:rsidR="001C41E3" w:rsidRPr="00CE315D">
        <w:rPr>
          <w:rFonts w:asciiTheme="minorHAnsi" w:hAnsiTheme="minorHAnsi" w:cstheme="minorHAnsi"/>
          <w:b/>
          <w:bCs/>
        </w:rPr>
        <w:t>,</w:t>
      </w:r>
      <w:r w:rsidR="00AD2FFF" w:rsidRPr="00CE315D">
        <w:rPr>
          <w:rFonts w:asciiTheme="minorHAnsi" w:hAnsiTheme="minorHAnsi" w:cstheme="minorHAnsi"/>
          <w:b/>
          <w:bCs/>
        </w:rPr>
        <w:t xml:space="preserve"> grown</w:t>
      </w:r>
      <w:r w:rsidR="00E264EA" w:rsidRPr="00CE315D">
        <w:rPr>
          <w:rFonts w:asciiTheme="minorHAnsi" w:hAnsiTheme="minorHAnsi" w:cstheme="minorHAnsi"/>
          <w:b/>
          <w:bCs/>
        </w:rPr>
        <w:t xml:space="preserve"> and </w:t>
      </w:r>
      <w:r w:rsidR="0025425F" w:rsidRPr="00CE315D">
        <w:rPr>
          <w:rFonts w:asciiTheme="minorHAnsi" w:hAnsiTheme="minorHAnsi" w:cstheme="minorHAnsi"/>
          <w:b/>
          <w:bCs/>
        </w:rPr>
        <w:t xml:space="preserve">(iii) </w:t>
      </w:r>
      <w:r w:rsidR="00E264EA" w:rsidRPr="00CE315D">
        <w:rPr>
          <w:rFonts w:asciiTheme="minorHAnsi" w:hAnsiTheme="minorHAnsi" w:cstheme="minorHAnsi"/>
          <w:b/>
          <w:bCs/>
        </w:rPr>
        <w:t>where</w:t>
      </w:r>
      <w:r w:rsidR="00AD2FFF" w:rsidRPr="00CE315D">
        <w:rPr>
          <w:rFonts w:asciiTheme="minorHAnsi" w:hAnsiTheme="minorHAnsi" w:cstheme="minorHAnsi"/>
          <w:b/>
          <w:bCs/>
        </w:rPr>
        <w:t xml:space="preserve"> </w:t>
      </w:r>
      <w:r w:rsidR="001C41E3" w:rsidRPr="00CE315D">
        <w:rPr>
          <w:rFonts w:asciiTheme="minorHAnsi" w:hAnsiTheme="minorHAnsi" w:cstheme="minorHAnsi"/>
          <w:b/>
          <w:bCs/>
        </w:rPr>
        <w:t>are Indigenous businesses located?</w:t>
      </w:r>
    </w:p>
    <w:p w14:paraId="7B3313EC" w14:textId="4218588A" w:rsidR="00F74C77" w:rsidRDefault="00F74C77" w:rsidP="009D08DD">
      <w:pPr>
        <w:rPr>
          <w:rFonts w:asciiTheme="minorHAnsi" w:hAnsiTheme="minorHAnsi" w:cstheme="minorHAnsi"/>
        </w:rPr>
      </w:pPr>
    </w:p>
    <w:p w14:paraId="3AC5B84D" w14:textId="5915B1C3" w:rsidR="00F74C77" w:rsidRDefault="000319AE" w:rsidP="000319AE">
      <w:pPr>
        <w:pStyle w:val="Heading2"/>
      </w:pPr>
      <w:r>
        <w:t>W</w:t>
      </w:r>
      <w:r w:rsidR="00D2373B">
        <w:t>hat is the size and nature of</w:t>
      </w:r>
      <w:r>
        <w:t xml:space="preserve"> Indigenous businesses in I-BLADE</w:t>
      </w:r>
      <w:r w:rsidR="006E2F1C">
        <w:t>?</w:t>
      </w:r>
    </w:p>
    <w:p w14:paraId="07BDB43D" w14:textId="36897605" w:rsidR="002A0601" w:rsidRDefault="00FF5D12" w:rsidP="009E5754">
      <w:pPr>
        <w:jc w:val="both"/>
        <w:rPr>
          <w:rFonts w:asciiTheme="minorHAnsi" w:hAnsiTheme="minorHAnsi" w:cstheme="minorHAnsi"/>
        </w:rPr>
      </w:pPr>
      <w:r>
        <w:rPr>
          <w:rFonts w:asciiTheme="minorHAnsi" w:hAnsiTheme="minorHAnsi" w:cstheme="minorHAnsi"/>
        </w:rPr>
        <w:t xml:space="preserve">The incomplete coverage of Indigenous businesses in I-BLADE </w:t>
      </w:r>
      <w:r w:rsidR="00B50DF3">
        <w:rPr>
          <w:rFonts w:asciiTheme="minorHAnsi" w:hAnsiTheme="minorHAnsi" w:cstheme="minorHAnsi"/>
        </w:rPr>
        <w:t>1.0</w:t>
      </w:r>
      <w:r w:rsidR="00E76A0B">
        <w:rPr>
          <w:rFonts w:asciiTheme="minorHAnsi" w:hAnsiTheme="minorHAnsi" w:cstheme="minorHAnsi"/>
        </w:rPr>
        <w:t xml:space="preserve"> </w:t>
      </w:r>
      <w:r>
        <w:rPr>
          <w:rFonts w:asciiTheme="minorHAnsi" w:hAnsiTheme="minorHAnsi" w:cstheme="minorHAnsi"/>
        </w:rPr>
        <w:t>raises the question of</w:t>
      </w:r>
      <w:r w:rsidR="00BC57FA">
        <w:rPr>
          <w:rFonts w:asciiTheme="minorHAnsi" w:hAnsiTheme="minorHAnsi" w:cstheme="minorHAnsi"/>
        </w:rPr>
        <w:t xml:space="preserve"> who a</w:t>
      </w:r>
      <w:r w:rsidR="003E4CF3">
        <w:rPr>
          <w:rFonts w:asciiTheme="minorHAnsi" w:hAnsiTheme="minorHAnsi" w:cstheme="minorHAnsi"/>
        </w:rPr>
        <w:t xml:space="preserve">re the businesses that are currently captured in the </w:t>
      </w:r>
      <w:r w:rsidR="00AE6191">
        <w:rPr>
          <w:rFonts w:asciiTheme="minorHAnsi" w:hAnsiTheme="minorHAnsi" w:cstheme="minorHAnsi"/>
        </w:rPr>
        <w:t>data</w:t>
      </w:r>
      <w:r w:rsidR="00E4628A">
        <w:rPr>
          <w:rFonts w:asciiTheme="minorHAnsi" w:hAnsiTheme="minorHAnsi" w:cstheme="minorHAnsi"/>
        </w:rPr>
        <w:t xml:space="preserve">, </w:t>
      </w:r>
      <w:r w:rsidR="003E4CF3">
        <w:rPr>
          <w:rFonts w:asciiTheme="minorHAnsi" w:hAnsiTheme="minorHAnsi" w:cstheme="minorHAnsi"/>
        </w:rPr>
        <w:t xml:space="preserve">and </w:t>
      </w:r>
      <w:r w:rsidR="001A17F3">
        <w:rPr>
          <w:rFonts w:asciiTheme="minorHAnsi" w:hAnsiTheme="minorHAnsi" w:cstheme="minorHAnsi"/>
        </w:rPr>
        <w:t>do they represent all Indigenous businesses with at least 50% ownership</w:t>
      </w:r>
      <w:r w:rsidR="00E4628A">
        <w:rPr>
          <w:rFonts w:asciiTheme="minorHAnsi" w:hAnsiTheme="minorHAnsi" w:cstheme="minorHAnsi"/>
        </w:rPr>
        <w:t xml:space="preserve">? </w:t>
      </w:r>
      <w:r w:rsidR="00560F6B">
        <w:rPr>
          <w:rFonts w:asciiTheme="minorHAnsi" w:hAnsiTheme="minorHAnsi" w:cstheme="minorHAnsi"/>
        </w:rPr>
        <w:t xml:space="preserve">In the absence of </w:t>
      </w:r>
      <w:r w:rsidR="00643299">
        <w:rPr>
          <w:rFonts w:asciiTheme="minorHAnsi" w:hAnsiTheme="minorHAnsi" w:cstheme="minorHAnsi"/>
        </w:rPr>
        <w:t>a population benc</w:t>
      </w:r>
      <w:r w:rsidR="00BC47B8">
        <w:rPr>
          <w:rFonts w:asciiTheme="minorHAnsi" w:hAnsiTheme="minorHAnsi" w:cstheme="minorHAnsi"/>
        </w:rPr>
        <w:t>hmark</w:t>
      </w:r>
      <w:r w:rsidR="00560F6B">
        <w:rPr>
          <w:rFonts w:asciiTheme="minorHAnsi" w:hAnsiTheme="minorHAnsi" w:cstheme="minorHAnsi"/>
        </w:rPr>
        <w:t>, we examine the nature of Indigenous businesses compared to those of the non-Indigenous sector below.</w:t>
      </w:r>
    </w:p>
    <w:p w14:paraId="09C04636" w14:textId="77777777" w:rsidR="003717B8" w:rsidRDefault="003717B8" w:rsidP="009E5754">
      <w:pPr>
        <w:jc w:val="both"/>
        <w:rPr>
          <w:rFonts w:asciiTheme="minorHAnsi" w:hAnsiTheme="minorHAnsi" w:cstheme="minorHAnsi"/>
        </w:rPr>
      </w:pPr>
    </w:p>
    <w:p w14:paraId="3B6F9425" w14:textId="52817DF3" w:rsidR="006E7EC1" w:rsidRPr="00CE315D" w:rsidRDefault="000D4324" w:rsidP="009E5754">
      <w:pPr>
        <w:jc w:val="both"/>
        <w:rPr>
          <w:rFonts w:asciiTheme="minorHAnsi" w:hAnsiTheme="minorHAnsi" w:cstheme="minorHAnsi"/>
          <w:b/>
          <w:bCs/>
        </w:rPr>
      </w:pPr>
      <w:r w:rsidRPr="003717B8">
        <w:rPr>
          <w:rFonts w:asciiTheme="minorHAnsi" w:hAnsiTheme="minorHAnsi" w:cstheme="minorHAnsi"/>
        </w:rPr>
        <w:t>Based on comparison with non-Indigenous businesses</w:t>
      </w:r>
      <w:r w:rsidR="00400C32" w:rsidRPr="003717B8">
        <w:rPr>
          <w:rFonts w:asciiTheme="minorHAnsi" w:hAnsiTheme="minorHAnsi" w:cstheme="minorHAnsi"/>
        </w:rPr>
        <w:t>, we conclude that Indigenous businesses i</w:t>
      </w:r>
      <w:r w:rsidR="00B50DF3">
        <w:rPr>
          <w:rFonts w:asciiTheme="minorHAnsi" w:hAnsiTheme="minorHAnsi" w:cstheme="minorHAnsi"/>
        </w:rPr>
        <w:t>n</w:t>
      </w:r>
      <w:r w:rsidR="00400C32" w:rsidRPr="003717B8">
        <w:rPr>
          <w:rFonts w:asciiTheme="minorHAnsi" w:hAnsiTheme="minorHAnsi" w:cstheme="minorHAnsi"/>
        </w:rPr>
        <w:t xml:space="preserve"> I-BLADE</w:t>
      </w:r>
      <w:r w:rsidR="00B50DF3">
        <w:rPr>
          <w:rFonts w:asciiTheme="minorHAnsi" w:hAnsiTheme="minorHAnsi" w:cstheme="minorHAnsi"/>
        </w:rPr>
        <w:t xml:space="preserve"> 1.0</w:t>
      </w:r>
      <w:r w:rsidR="00FD3EBB">
        <w:rPr>
          <w:rFonts w:asciiTheme="minorHAnsi" w:hAnsiTheme="minorHAnsi" w:cstheme="minorHAnsi"/>
        </w:rPr>
        <w:t xml:space="preserve"> </w:t>
      </w:r>
      <w:r w:rsidR="00400C32" w:rsidRPr="003717B8">
        <w:rPr>
          <w:rFonts w:asciiTheme="minorHAnsi" w:hAnsiTheme="minorHAnsi" w:cstheme="minorHAnsi"/>
        </w:rPr>
        <w:t xml:space="preserve">are much larger on average than </w:t>
      </w:r>
      <w:r w:rsidR="006E7EC1" w:rsidRPr="003717B8">
        <w:rPr>
          <w:rFonts w:asciiTheme="minorHAnsi" w:hAnsiTheme="minorHAnsi" w:cstheme="minorHAnsi"/>
        </w:rPr>
        <w:t>non-Indigenous businesses</w:t>
      </w:r>
      <w:r w:rsidR="00EF1BF7">
        <w:rPr>
          <w:rFonts w:asciiTheme="minorHAnsi" w:hAnsiTheme="minorHAnsi" w:cstheme="minorHAnsi"/>
        </w:rPr>
        <w:t xml:space="preserve">. </w:t>
      </w:r>
      <w:r w:rsidR="00687A33">
        <w:rPr>
          <w:rFonts w:asciiTheme="minorHAnsi" w:hAnsiTheme="minorHAnsi" w:cstheme="minorHAnsi"/>
        </w:rPr>
        <w:t xml:space="preserve">Compared to </w:t>
      </w:r>
      <w:r w:rsidR="00607B36">
        <w:rPr>
          <w:rFonts w:asciiTheme="minorHAnsi" w:hAnsiTheme="minorHAnsi" w:cstheme="minorHAnsi"/>
        </w:rPr>
        <w:t>non-I</w:t>
      </w:r>
      <w:r w:rsidR="00687A33">
        <w:rPr>
          <w:rFonts w:asciiTheme="minorHAnsi" w:hAnsiTheme="minorHAnsi" w:cstheme="minorHAnsi"/>
        </w:rPr>
        <w:t xml:space="preserve">ndigenous businesses, </w:t>
      </w:r>
      <w:r w:rsidR="00687A33" w:rsidRPr="00CE315D">
        <w:rPr>
          <w:rFonts w:asciiTheme="minorHAnsi" w:hAnsiTheme="minorHAnsi" w:cstheme="minorHAnsi"/>
          <w:b/>
          <w:bCs/>
        </w:rPr>
        <w:t xml:space="preserve">Indigenous businesses </w:t>
      </w:r>
      <w:r w:rsidR="00607B36" w:rsidRPr="00CE315D">
        <w:rPr>
          <w:rFonts w:asciiTheme="minorHAnsi" w:hAnsiTheme="minorHAnsi" w:cstheme="minorHAnsi"/>
          <w:b/>
          <w:bCs/>
        </w:rPr>
        <w:t>in I-BLADE</w:t>
      </w:r>
      <w:r w:rsidR="00687A33" w:rsidRPr="00CE315D">
        <w:rPr>
          <w:rFonts w:asciiTheme="minorHAnsi" w:hAnsiTheme="minorHAnsi" w:cstheme="minorHAnsi"/>
          <w:b/>
          <w:bCs/>
        </w:rPr>
        <w:t>:</w:t>
      </w:r>
    </w:p>
    <w:p w14:paraId="1AE0AF63" w14:textId="38B535EB" w:rsidR="00430A3E" w:rsidRPr="00CE315D" w:rsidRDefault="00430A3E" w:rsidP="009E5754">
      <w:pPr>
        <w:jc w:val="both"/>
        <w:rPr>
          <w:rFonts w:asciiTheme="minorHAnsi" w:hAnsiTheme="minorHAnsi" w:cstheme="minorHAnsi"/>
          <w:b/>
          <w:bCs/>
          <w:i/>
          <w:iCs/>
        </w:rPr>
      </w:pPr>
    </w:p>
    <w:p w14:paraId="5D317126" w14:textId="4CC9AED7" w:rsidR="00430A3E" w:rsidRDefault="00012BE1" w:rsidP="009E5754">
      <w:pPr>
        <w:pStyle w:val="ListParagraph"/>
        <w:numPr>
          <w:ilvl w:val="0"/>
          <w:numId w:val="17"/>
        </w:numPr>
        <w:jc w:val="both"/>
        <w:rPr>
          <w:rFonts w:asciiTheme="minorHAnsi" w:hAnsiTheme="minorHAnsi" w:cstheme="minorHAnsi"/>
        </w:rPr>
      </w:pPr>
      <w:r w:rsidRPr="00CE315D">
        <w:rPr>
          <w:rFonts w:asciiTheme="minorHAnsi" w:hAnsiTheme="minorHAnsi" w:cstheme="minorHAnsi"/>
          <w:b/>
          <w:bCs/>
        </w:rPr>
        <w:t>are l</w:t>
      </w:r>
      <w:r w:rsidR="00687A33" w:rsidRPr="00CE315D">
        <w:rPr>
          <w:rFonts w:asciiTheme="minorHAnsi" w:hAnsiTheme="minorHAnsi" w:cstheme="minorHAnsi"/>
          <w:b/>
          <w:bCs/>
        </w:rPr>
        <w:t>ess likely to be sole traders</w:t>
      </w:r>
      <w:r w:rsidR="00687A33">
        <w:rPr>
          <w:rFonts w:asciiTheme="minorHAnsi" w:hAnsiTheme="minorHAnsi" w:cstheme="minorHAnsi"/>
        </w:rPr>
        <w:t xml:space="preserve">. On average </w:t>
      </w:r>
      <w:r w:rsidR="00430A3E" w:rsidRPr="006408F6">
        <w:rPr>
          <w:rFonts w:asciiTheme="minorHAnsi" w:hAnsiTheme="minorHAnsi" w:cstheme="minorHAnsi"/>
        </w:rPr>
        <w:t>only 9% of Indigenous business</w:t>
      </w:r>
      <w:r w:rsidR="002D551D">
        <w:rPr>
          <w:rFonts w:asciiTheme="minorHAnsi" w:hAnsiTheme="minorHAnsi" w:cstheme="minorHAnsi"/>
        </w:rPr>
        <w:t>es</w:t>
      </w:r>
      <w:r w:rsidR="00430A3E" w:rsidRPr="006408F6">
        <w:rPr>
          <w:rFonts w:asciiTheme="minorHAnsi" w:hAnsiTheme="minorHAnsi" w:cstheme="minorHAnsi"/>
        </w:rPr>
        <w:t xml:space="preserve"> in I-BLADE</w:t>
      </w:r>
      <w:r w:rsidR="00607B36">
        <w:rPr>
          <w:rFonts w:asciiTheme="minorHAnsi" w:hAnsiTheme="minorHAnsi" w:cstheme="minorHAnsi"/>
        </w:rPr>
        <w:t xml:space="preserve"> are sole traders</w:t>
      </w:r>
      <w:r w:rsidR="00430A3E" w:rsidRPr="006408F6">
        <w:rPr>
          <w:rFonts w:asciiTheme="minorHAnsi" w:hAnsiTheme="minorHAnsi" w:cstheme="minorHAnsi"/>
        </w:rPr>
        <w:t>, which compares to 3</w:t>
      </w:r>
      <w:r w:rsidR="0067225B">
        <w:rPr>
          <w:rFonts w:asciiTheme="minorHAnsi" w:hAnsiTheme="minorHAnsi" w:cstheme="minorHAnsi"/>
        </w:rPr>
        <w:t>2</w:t>
      </w:r>
      <w:r w:rsidR="00430A3E" w:rsidRPr="006408F6">
        <w:rPr>
          <w:rFonts w:asciiTheme="minorHAnsi" w:hAnsiTheme="minorHAnsi" w:cstheme="minorHAnsi"/>
        </w:rPr>
        <w:t>% for non-Indigenous businesses</w:t>
      </w:r>
      <w:r w:rsidR="00430A3E">
        <w:rPr>
          <w:rFonts w:asciiTheme="minorHAnsi" w:hAnsiTheme="minorHAnsi" w:cstheme="minorHAnsi"/>
        </w:rPr>
        <w:t xml:space="preserve"> (Figure 1)</w:t>
      </w:r>
      <w:r w:rsidR="00430A3E" w:rsidRPr="006408F6">
        <w:rPr>
          <w:rFonts w:asciiTheme="minorHAnsi" w:hAnsiTheme="minorHAnsi" w:cstheme="minorHAnsi"/>
        </w:rPr>
        <w:t>. For Indigenous businesses in I-BLADE, the majority are registered companies, 72%.</w:t>
      </w:r>
    </w:p>
    <w:p w14:paraId="08E2F016" w14:textId="77777777" w:rsidR="005D790E" w:rsidRPr="005D790E" w:rsidRDefault="005D790E" w:rsidP="00A02E39">
      <w:pPr>
        <w:pStyle w:val="ListParagraph"/>
        <w:rPr>
          <w:b/>
          <w:bCs/>
        </w:rPr>
      </w:pPr>
    </w:p>
    <w:p w14:paraId="0521407B" w14:textId="77777777" w:rsidR="005D790E" w:rsidRPr="00B26F3D" w:rsidRDefault="005D790E" w:rsidP="00A02E39">
      <w:pPr>
        <w:pStyle w:val="ListParagraph"/>
        <w:rPr>
          <w:rFonts w:asciiTheme="minorHAnsi" w:hAnsiTheme="minorHAnsi" w:cstheme="minorHAnsi"/>
          <w:b/>
          <w:bCs/>
        </w:rPr>
      </w:pPr>
      <w:r w:rsidRPr="00B26F3D">
        <w:rPr>
          <w:rFonts w:asciiTheme="minorHAnsi" w:hAnsiTheme="minorHAnsi" w:cstheme="minorHAnsi"/>
          <w:b/>
          <w:bCs/>
        </w:rPr>
        <w:t>Figure 1: Types of businesses, 2017-18</w:t>
      </w:r>
    </w:p>
    <w:p w14:paraId="67B362E8" w14:textId="10D11733" w:rsidR="005D790E" w:rsidRPr="00565F18" w:rsidRDefault="005D790E" w:rsidP="00A02E39">
      <w:pPr>
        <w:pStyle w:val="ListParagraph"/>
      </w:pPr>
    </w:p>
    <w:p w14:paraId="67E64F45" w14:textId="238ED3B3" w:rsidR="005D790E" w:rsidRPr="005D790E" w:rsidRDefault="005D790E" w:rsidP="00A02E39">
      <w:pPr>
        <w:pStyle w:val="ListParagraph"/>
        <w:rPr>
          <w:rFonts w:asciiTheme="minorHAnsi" w:hAnsiTheme="minorHAnsi" w:cstheme="minorHAnsi"/>
        </w:rPr>
      </w:pPr>
      <w:r>
        <w:rPr>
          <w:noProof/>
          <w:lang w:val="en-GB" w:eastAsia="en-GB"/>
        </w:rPr>
        <w:lastRenderedPageBreak/>
        <w:drawing>
          <wp:inline distT="0" distB="0" distL="0" distR="0" wp14:anchorId="0F608E1B" wp14:editId="06384FAB">
            <wp:extent cx="5600700" cy="2704454"/>
            <wp:effectExtent l="0" t="0" r="0" b="1270"/>
            <wp:docPr id="7" name="Chart 7">
              <a:extLst xmlns:a="http://schemas.openxmlformats.org/drawingml/2006/main">
                <a:ext uri="{FF2B5EF4-FFF2-40B4-BE49-F238E27FC236}">
                  <a16:creationId xmlns:a16="http://schemas.microsoft.com/office/drawing/2014/main" id="{33FE6F2E-D272-4865-A8DC-89F5BB71D57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97C06FA" w14:textId="77777777" w:rsidR="005D790E" w:rsidRPr="005D790E" w:rsidRDefault="005D790E" w:rsidP="00A02E39">
      <w:pPr>
        <w:pStyle w:val="ListParagraph"/>
        <w:rPr>
          <w:rFonts w:asciiTheme="minorHAnsi" w:hAnsiTheme="minorHAnsi" w:cstheme="minorHAnsi"/>
          <w:sz w:val="18"/>
          <w:szCs w:val="18"/>
        </w:rPr>
      </w:pPr>
      <w:r w:rsidRPr="005D790E">
        <w:rPr>
          <w:rFonts w:asciiTheme="minorHAnsi" w:hAnsiTheme="minorHAnsi" w:cstheme="minorHAnsi"/>
          <w:sz w:val="20"/>
          <w:szCs w:val="20"/>
        </w:rPr>
        <w:t xml:space="preserve">Source: I-BLADE 1.0, restricted to businesses that are active for tax purposes. </w:t>
      </w:r>
      <w:r w:rsidRPr="005D790E">
        <w:rPr>
          <w:rFonts w:asciiTheme="minorHAnsi" w:hAnsiTheme="minorHAnsi" w:cstheme="minorHAnsi"/>
          <w:sz w:val="18"/>
          <w:szCs w:val="18"/>
        </w:rPr>
        <w:t>Indigenous businesses are from Indigenous business registries (Supply Nation registry, ICN Gateway data, Victorian Aboriginal Business Directory or the ORIC database).</w:t>
      </w:r>
    </w:p>
    <w:p w14:paraId="7624506D" w14:textId="77777777" w:rsidR="005D790E" w:rsidRPr="005D790E" w:rsidRDefault="005D790E" w:rsidP="00A02E39">
      <w:pPr>
        <w:pStyle w:val="ListParagraph"/>
        <w:rPr>
          <w:rFonts w:asciiTheme="minorHAnsi" w:hAnsiTheme="minorHAnsi" w:cstheme="minorHAnsi"/>
          <w:sz w:val="18"/>
          <w:szCs w:val="18"/>
        </w:rPr>
      </w:pPr>
      <w:r w:rsidRPr="005D790E">
        <w:rPr>
          <w:rFonts w:asciiTheme="minorHAnsi" w:hAnsiTheme="minorHAnsi" w:cstheme="minorHAnsi"/>
          <w:sz w:val="18"/>
          <w:szCs w:val="18"/>
        </w:rPr>
        <w:t xml:space="preserve">Note: Categories of business type are based on business registration status in the ABS Business Registry. </w:t>
      </w:r>
    </w:p>
    <w:p w14:paraId="6A2E5ADC" w14:textId="77777777" w:rsidR="005D790E" w:rsidRPr="005D790E" w:rsidRDefault="005D790E" w:rsidP="00A02E39">
      <w:pPr>
        <w:pStyle w:val="ListParagraph"/>
        <w:rPr>
          <w:rFonts w:asciiTheme="minorHAnsi" w:hAnsiTheme="minorHAnsi" w:cstheme="minorHAnsi"/>
        </w:rPr>
      </w:pPr>
    </w:p>
    <w:p w14:paraId="4CCE95DF" w14:textId="77777777" w:rsidR="00430A3E" w:rsidRDefault="00430A3E" w:rsidP="009E5754">
      <w:pPr>
        <w:pStyle w:val="ListParagraph"/>
        <w:jc w:val="both"/>
        <w:rPr>
          <w:rFonts w:asciiTheme="minorHAnsi" w:hAnsiTheme="minorHAnsi" w:cstheme="minorHAnsi"/>
        </w:rPr>
      </w:pPr>
    </w:p>
    <w:p w14:paraId="2C586866" w14:textId="1DC35BAF" w:rsidR="00430A3E" w:rsidRDefault="00012BE1" w:rsidP="009E5754">
      <w:pPr>
        <w:pStyle w:val="ListParagraph"/>
        <w:numPr>
          <w:ilvl w:val="0"/>
          <w:numId w:val="17"/>
        </w:numPr>
        <w:jc w:val="both"/>
        <w:rPr>
          <w:rFonts w:asciiTheme="minorHAnsi" w:hAnsiTheme="minorHAnsi" w:cstheme="minorHAnsi"/>
        </w:rPr>
      </w:pPr>
      <w:r w:rsidRPr="00CE315D">
        <w:rPr>
          <w:rFonts w:asciiTheme="minorHAnsi" w:hAnsiTheme="minorHAnsi" w:cstheme="minorHAnsi"/>
          <w:b/>
          <w:bCs/>
        </w:rPr>
        <w:t>are l</w:t>
      </w:r>
      <w:r w:rsidR="00606F64" w:rsidRPr="00CE315D">
        <w:rPr>
          <w:rFonts w:asciiTheme="minorHAnsi" w:hAnsiTheme="minorHAnsi" w:cstheme="minorHAnsi"/>
          <w:b/>
          <w:bCs/>
        </w:rPr>
        <w:t xml:space="preserve">ess likely to be </w:t>
      </w:r>
      <w:r w:rsidR="001837BF" w:rsidRPr="00CE315D">
        <w:rPr>
          <w:rFonts w:asciiTheme="minorHAnsi" w:hAnsiTheme="minorHAnsi" w:cstheme="minorHAnsi"/>
          <w:b/>
          <w:bCs/>
        </w:rPr>
        <w:t>categorised as small businesses</w:t>
      </w:r>
      <w:r w:rsidR="00E23A5F" w:rsidRPr="00CE315D">
        <w:rPr>
          <w:rFonts w:asciiTheme="minorHAnsi" w:hAnsiTheme="minorHAnsi" w:cstheme="minorHAnsi"/>
          <w:b/>
          <w:bCs/>
        </w:rPr>
        <w:t>, based on the ABS definition of employing less than 20 people (ABS 2001).</w:t>
      </w:r>
      <w:r w:rsidR="00E23A5F">
        <w:rPr>
          <w:rFonts w:asciiTheme="minorHAnsi" w:hAnsiTheme="minorHAnsi" w:cstheme="minorHAnsi"/>
        </w:rPr>
        <w:t xml:space="preserve">  </w:t>
      </w:r>
      <w:r w:rsidR="00E23A5F" w:rsidRPr="00B50DF3">
        <w:rPr>
          <w:rFonts w:asciiTheme="minorHAnsi" w:hAnsiTheme="minorHAnsi" w:cstheme="minorHAnsi"/>
        </w:rPr>
        <w:t xml:space="preserve">81% of Indigenous businesses in I-BLADE employ less than </w:t>
      </w:r>
      <w:r w:rsidR="009A042B" w:rsidRPr="00B50DF3">
        <w:rPr>
          <w:rFonts w:asciiTheme="minorHAnsi" w:hAnsiTheme="minorHAnsi" w:cstheme="minorHAnsi"/>
        </w:rPr>
        <w:t xml:space="preserve">20 people, compared to 96% of </w:t>
      </w:r>
      <w:r w:rsidR="007A74AC">
        <w:rPr>
          <w:rFonts w:asciiTheme="minorHAnsi" w:hAnsiTheme="minorHAnsi" w:cstheme="minorHAnsi"/>
        </w:rPr>
        <w:t>non-</w:t>
      </w:r>
      <w:r w:rsidR="009A042B" w:rsidRPr="00B50DF3">
        <w:rPr>
          <w:rFonts w:asciiTheme="minorHAnsi" w:hAnsiTheme="minorHAnsi" w:cstheme="minorHAnsi"/>
        </w:rPr>
        <w:t>Indigenous businesses</w:t>
      </w:r>
      <w:r w:rsidR="009F1638">
        <w:rPr>
          <w:rFonts w:asciiTheme="minorHAnsi" w:hAnsiTheme="minorHAnsi" w:cstheme="minorHAnsi"/>
        </w:rPr>
        <w:t xml:space="preserve"> (Figure 2)</w:t>
      </w:r>
      <w:r w:rsidR="009A042B">
        <w:rPr>
          <w:rFonts w:asciiTheme="minorHAnsi" w:hAnsiTheme="minorHAnsi" w:cstheme="minorHAnsi"/>
        </w:rPr>
        <w:t>.</w:t>
      </w:r>
      <w:r w:rsidR="004200D9">
        <w:rPr>
          <w:rStyle w:val="FootnoteReference"/>
          <w:rFonts w:asciiTheme="minorHAnsi" w:hAnsiTheme="minorHAnsi" w:cstheme="minorHAnsi"/>
        </w:rPr>
        <w:footnoteReference w:id="5"/>
      </w:r>
      <w:r w:rsidR="004200D9">
        <w:rPr>
          <w:rFonts w:asciiTheme="minorHAnsi" w:hAnsiTheme="minorHAnsi" w:cstheme="minorHAnsi"/>
        </w:rPr>
        <w:t xml:space="preserve"> </w:t>
      </w:r>
      <w:r w:rsidR="00430A3E">
        <w:rPr>
          <w:rFonts w:asciiTheme="minorHAnsi" w:hAnsiTheme="minorHAnsi" w:cstheme="minorHAnsi"/>
        </w:rPr>
        <w:t xml:space="preserve">On average, Indigenous </w:t>
      </w:r>
      <w:r w:rsidR="00D17CC9">
        <w:rPr>
          <w:rFonts w:asciiTheme="minorHAnsi" w:hAnsiTheme="minorHAnsi" w:cstheme="minorHAnsi"/>
        </w:rPr>
        <w:t>businesses in I-BL</w:t>
      </w:r>
      <w:r w:rsidR="009F1638">
        <w:rPr>
          <w:rFonts w:asciiTheme="minorHAnsi" w:hAnsiTheme="minorHAnsi" w:cstheme="minorHAnsi"/>
        </w:rPr>
        <w:t>A</w:t>
      </w:r>
      <w:r w:rsidR="00D17CC9">
        <w:rPr>
          <w:rFonts w:asciiTheme="minorHAnsi" w:hAnsiTheme="minorHAnsi" w:cstheme="minorHAnsi"/>
        </w:rPr>
        <w:t xml:space="preserve">DE </w:t>
      </w:r>
      <w:r w:rsidR="00430A3E">
        <w:rPr>
          <w:rFonts w:asciiTheme="minorHAnsi" w:hAnsiTheme="minorHAnsi" w:cstheme="minorHAnsi"/>
        </w:rPr>
        <w:t xml:space="preserve">employ 14 people compared to </w:t>
      </w:r>
      <w:r w:rsidR="001C41E3">
        <w:rPr>
          <w:rFonts w:asciiTheme="minorHAnsi" w:hAnsiTheme="minorHAnsi" w:cstheme="minorHAnsi"/>
        </w:rPr>
        <w:t xml:space="preserve">non-Indigenous businesses which employ </w:t>
      </w:r>
      <w:r w:rsidR="00430A3E">
        <w:rPr>
          <w:rFonts w:asciiTheme="minorHAnsi" w:hAnsiTheme="minorHAnsi" w:cstheme="minorHAnsi"/>
        </w:rPr>
        <w:t>2</w:t>
      </w:r>
      <w:r w:rsidR="001C41E3">
        <w:rPr>
          <w:rFonts w:asciiTheme="minorHAnsi" w:hAnsiTheme="minorHAnsi" w:cstheme="minorHAnsi"/>
        </w:rPr>
        <w:t xml:space="preserve"> people on average</w:t>
      </w:r>
      <w:r w:rsidR="00430A3E">
        <w:rPr>
          <w:rFonts w:asciiTheme="minorHAnsi" w:hAnsiTheme="minorHAnsi" w:cstheme="minorHAnsi"/>
        </w:rPr>
        <w:t xml:space="preserve">. </w:t>
      </w:r>
    </w:p>
    <w:p w14:paraId="56A9E978" w14:textId="6F323198" w:rsidR="00430A3E" w:rsidRDefault="00430A3E" w:rsidP="009E5754">
      <w:pPr>
        <w:pStyle w:val="ListParagraph"/>
        <w:jc w:val="both"/>
        <w:rPr>
          <w:rFonts w:asciiTheme="minorHAnsi" w:hAnsiTheme="minorHAnsi" w:cstheme="minorHAnsi"/>
        </w:rPr>
      </w:pPr>
    </w:p>
    <w:p w14:paraId="451326AD" w14:textId="77777777" w:rsidR="005D790E" w:rsidRPr="00B26F3D" w:rsidRDefault="005D790E" w:rsidP="005D790E">
      <w:pPr>
        <w:rPr>
          <w:rFonts w:asciiTheme="minorHAnsi" w:hAnsiTheme="minorHAnsi" w:cstheme="minorHAnsi"/>
          <w:b/>
          <w:bCs/>
        </w:rPr>
      </w:pPr>
      <w:r w:rsidRPr="00B26F3D">
        <w:rPr>
          <w:rFonts w:asciiTheme="minorHAnsi" w:hAnsiTheme="minorHAnsi" w:cstheme="minorHAnsi"/>
          <w:b/>
          <w:bCs/>
        </w:rPr>
        <w:t>Figure 2: Employment profile of Indigenous and non-Indigenous businesses, 2017-18</w:t>
      </w:r>
    </w:p>
    <w:p w14:paraId="0ABF8CF9" w14:textId="77777777" w:rsidR="005D790E" w:rsidRDefault="005D790E" w:rsidP="005D790E">
      <w:pPr>
        <w:rPr>
          <w:rFonts w:asciiTheme="minorHAnsi" w:hAnsiTheme="minorHAnsi" w:cstheme="minorHAnsi"/>
        </w:rPr>
      </w:pPr>
    </w:p>
    <w:p w14:paraId="718FE2ED" w14:textId="77777777" w:rsidR="005D790E" w:rsidRDefault="005D790E" w:rsidP="005D790E">
      <w:pPr>
        <w:rPr>
          <w:rFonts w:asciiTheme="minorHAnsi" w:hAnsiTheme="minorHAnsi" w:cstheme="minorHAnsi"/>
        </w:rPr>
      </w:pPr>
      <w:r>
        <w:rPr>
          <w:noProof/>
          <w:lang w:val="en-GB" w:eastAsia="en-GB"/>
        </w:rPr>
        <w:drawing>
          <wp:inline distT="0" distB="0" distL="0" distR="0" wp14:anchorId="3EDE9B1F" wp14:editId="7CF1C45B">
            <wp:extent cx="5639446" cy="2991172"/>
            <wp:effectExtent l="0" t="0" r="18415" b="0"/>
            <wp:docPr id="8" name="Chart 8">
              <a:extLst xmlns:a="http://schemas.openxmlformats.org/drawingml/2006/main">
                <a:ext uri="{FF2B5EF4-FFF2-40B4-BE49-F238E27FC236}">
                  <a16:creationId xmlns:a16="http://schemas.microsoft.com/office/drawing/2014/main" id="{6A2E5799-68D3-4E15-8C28-00127F0F8A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01A053" w14:textId="77777777" w:rsidR="005D790E" w:rsidRDefault="005D790E" w:rsidP="005D790E">
      <w:pPr>
        <w:rPr>
          <w:rFonts w:asciiTheme="minorHAnsi" w:hAnsiTheme="minorHAnsi" w:cstheme="minorHAnsi"/>
        </w:rPr>
      </w:pPr>
      <w:r w:rsidRPr="00E36748">
        <w:rPr>
          <w:rFonts w:asciiTheme="minorHAnsi" w:hAnsiTheme="minorHAnsi" w:cstheme="minorHAnsi"/>
          <w:sz w:val="20"/>
          <w:szCs w:val="20"/>
        </w:rPr>
        <w:lastRenderedPageBreak/>
        <w:t>Source: I-BLADE</w:t>
      </w:r>
      <w:r>
        <w:rPr>
          <w:rFonts w:asciiTheme="minorHAnsi" w:hAnsiTheme="minorHAnsi" w:cstheme="minorHAnsi"/>
          <w:sz w:val="20"/>
          <w:szCs w:val="20"/>
        </w:rPr>
        <w:t xml:space="preserve"> 1.0, restricted to businesses that are active for tax purposes. </w:t>
      </w:r>
      <w:r w:rsidRPr="00800E16">
        <w:rPr>
          <w:rFonts w:asciiTheme="minorHAnsi" w:hAnsiTheme="minorHAnsi" w:cstheme="minorHAnsi"/>
          <w:sz w:val="18"/>
          <w:szCs w:val="18"/>
        </w:rPr>
        <w:t>Indigenous businesses are from Indigenous business registries (Supply Nation registry, ICN Gateway data, Victorian Aboriginal Business Directory or the ORIC database).</w:t>
      </w:r>
    </w:p>
    <w:p w14:paraId="31705E4E" w14:textId="77777777" w:rsidR="005D790E" w:rsidRDefault="005D790E" w:rsidP="005D790E">
      <w:pPr>
        <w:rPr>
          <w:rFonts w:asciiTheme="minorHAnsi" w:hAnsiTheme="minorHAnsi" w:cstheme="minorHAnsi"/>
        </w:rPr>
      </w:pPr>
    </w:p>
    <w:p w14:paraId="73A58BE0" w14:textId="77777777" w:rsidR="005D790E" w:rsidRPr="006408F6" w:rsidRDefault="005D790E" w:rsidP="009E5754">
      <w:pPr>
        <w:pStyle w:val="ListParagraph"/>
        <w:jc w:val="both"/>
        <w:rPr>
          <w:rFonts w:asciiTheme="minorHAnsi" w:hAnsiTheme="minorHAnsi" w:cstheme="minorHAnsi"/>
        </w:rPr>
      </w:pPr>
    </w:p>
    <w:p w14:paraId="4F6E8752" w14:textId="2380072E" w:rsidR="00430A3E" w:rsidRDefault="008742AF" w:rsidP="009E5754">
      <w:pPr>
        <w:pStyle w:val="ListParagraph"/>
        <w:numPr>
          <w:ilvl w:val="0"/>
          <w:numId w:val="17"/>
        </w:numPr>
        <w:jc w:val="both"/>
        <w:rPr>
          <w:rFonts w:asciiTheme="minorHAnsi" w:hAnsiTheme="minorHAnsi" w:cstheme="minorHAnsi"/>
        </w:rPr>
      </w:pPr>
      <w:r w:rsidRPr="00CE315D">
        <w:rPr>
          <w:rFonts w:asciiTheme="minorHAnsi" w:hAnsiTheme="minorHAnsi" w:cstheme="minorHAnsi"/>
          <w:b/>
          <w:bCs/>
        </w:rPr>
        <w:t>generate gross income that is 4 times that of non-I</w:t>
      </w:r>
      <w:r w:rsidR="00430A3E" w:rsidRPr="00CE315D">
        <w:rPr>
          <w:rFonts w:asciiTheme="minorHAnsi" w:hAnsiTheme="minorHAnsi" w:cstheme="minorHAnsi"/>
          <w:b/>
          <w:bCs/>
        </w:rPr>
        <w:t>ndigenous business</w:t>
      </w:r>
      <w:r w:rsidR="00FB5279" w:rsidRPr="00CE315D">
        <w:rPr>
          <w:rFonts w:asciiTheme="minorHAnsi" w:hAnsiTheme="minorHAnsi" w:cstheme="minorHAnsi"/>
          <w:b/>
          <w:bCs/>
        </w:rPr>
        <w:t>es</w:t>
      </w:r>
      <w:r w:rsidR="00430A3E" w:rsidRPr="00CE315D">
        <w:rPr>
          <w:rFonts w:asciiTheme="minorHAnsi" w:hAnsiTheme="minorHAnsi" w:cstheme="minorHAnsi"/>
          <w:b/>
          <w:bCs/>
        </w:rPr>
        <w:t xml:space="preserve"> in BLADE</w:t>
      </w:r>
      <w:r w:rsidRPr="00CE315D">
        <w:rPr>
          <w:rFonts w:asciiTheme="minorHAnsi" w:hAnsiTheme="minorHAnsi" w:cstheme="minorHAnsi"/>
          <w:b/>
          <w:bCs/>
        </w:rPr>
        <w:t>.</w:t>
      </w:r>
      <w:r>
        <w:rPr>
          <w:rFonts w:asciiTheme="minorHAnsi" w:hAnsiTheme="minorHAnsi" w:cstheme="minorHAnsi"/>
        </w:rPr>
        <w:t xml:space="preserve"> On average</w:t>
      </w:r>
      <w:r w:rsidR="003861A7">
        <w:rPr>
          <w:rFonts w:asciiTheme="minorHAnsi" w:hAnsiTheme="minorHAnsi" w:cstheme="minorHAnsi"/>
        </w:rPr>
        <w:t>,</w:t>
      </w:r>
      <w:r w:rsidR="00430A3E" w:rsidRPr="009A44C9">
        <w:rPr>
          <w:rFonts w:asciiTheme="minorHAnsi" w:hAnsiTheme="minorHAnsi" w:cstheme="minorHAnsi"/>
        </w:rPr>
        <w:t xml:space="preserve"> </w:t>
      </w:r>
      <w:r>
        <w:rPr>
          <w:rFonts w:asciiTheme="minorHAnsi" w:hAnsiTheme="minorHAnsi" w:cstheme="minorHAnsi"/>
        </w:rPr>
        <w:t xml:space="preserve">Indigenous businesses in I-BLADE </w:t>
      </w:r>
      <w:r w:rsidR="00190344">
        <w:rPr>
          <w:rFonts w:asciiTheme="minorHAnsi" w:hAnsiTheme="minorHAnsi" w:cstheme="minorHAnsi"/>
        </w:rPr>
        <w:t xml:space="preserve">have a </w:t>
      </w:r>
      <w:r w:rsidR="00430A3E" w:rsidRPr="009A44C9">
        <w:rPr>
          <w:rFonts w:asciiTheme="minorHAnsi" w:hAnsiTheme="minorHAnsi" w:cstheme="minorHAnsi"/>
        </w:rPr>
        <w:t xml:space="preserve">gross annual income of $1.6mill., </w:t>
      </w:r>
      <w:r w:rsidR="00190344">
        <w:rPr>
          <w:rFonts w:asciiTheme="minorHAnsi" w:hAnsiTheme="minorHAnsi" w:cstheme="minorHAnsi"/>
        </w:rPr>
        <w:t xml:space="preserve">compared to </w:t>
      </w:r>
      <w:r w:rsidR="00430A3E" w:rsidRPr="009A44C9">
        <w:rPr>
          <w:rFonts w:asciiTheme="minorHAnsi" w:hAnsiTheme="minorHAnsi" w:cstheme="minorHAnsi"/>
        </w:rPr>
        <w:t>$400K</w:t>
      </w:r>
      <w:r w:rsidR="00190344">
        <w:rPr>
          <w:rFonts w:asciiTheme="minorHAnsi" w:hAnsiTheme="minorHAnsi" w:cstheme="minorHAnsi"/>
        </w:rPr>
        <w:t xml:space="preserve"> for non-Indigenous businesses</w:t>
      </w:r>
      <w:r w:rsidR="00430A3E" w:rsidRPr="009A44C9">
        <w:rPr>
          <w:rFonts w:asciiTheme="minorHAnsi" w:hAnsiTheme="minorHAnsi" w:cstheme="minorHAnsi"/>
        </w:rPr>
        <w:t xml:space="preserve">. Across ABS remoteness areas, the average </w:t>
      </w:r>
      <w:r w:rsidR="00430A3E">
        <w:rPr>
          <w:rFonts w:asciiTheme="minorHAnsi" w:hAnsiTheme="minorHAnsi" w:cstheme="minorHAnsi"/>
        </w:rPr>
        <w:t xml:space="preserve">Indigenous business </w:t>
      </w:r>
      <w:r w:rsidR="00430A3E" w:rsidRPr="009A44C9">
        <w:rPr>
          <w:rFonts w:asciiTheme="minorHAnsi" w:hAnsiTheme="minorHAnsi" w:cstheme="minorHAnsi"/>
        </w:rPr>
        <w:t xml:space="preserve">gross income </w:t>
      </w:r>
      <w:r w:rsidR="00430A3E">
        <w:rPr>
          <w:rFonts w:asciiTheme="minorHAnsi" w:hAnsiTheme="minorHAnsi" w:cstheme="minorHAnsi"/>
        </w:rPr>
        <w:t xml:space="preserve">is greatest in remote areas $2.1m (4.2 times as large as non-Indigenous businesses on average). This may reflect the importance of the mining and tourism industries </w:t>
      </w:r>
      <w:r w:rsidR="00E60CA6">
        <w:rPr>
          <w:rFonts w:asciiTheme="minorHAnsi" w:hAnsiTheme="minorHAnsi" w:cstheme="minorHAnsi"/>
        </w:rPr>
        <w:t xml:space="preserve">to </w:t>
      </w:r>
      <w:r w:rsidR="00430A3E">
        <w:rPr>
          <w:rFonts w:asciiTheme="minorHAnsi" w:hAnsiTheme="minorHAnsi" w:cstheme="minorHAnsi"/>
        </w:rPr>
        <w:t>remote Indigenous business income</w:t>
      </w:r>
      <w:r w:rsidR="00A6583C">
        <w:rPr>
          <w:rFonts w:asciiTheme="minorHAnsi" w:hAnsiTheme="minorHAnsi" w:cstheme="minorHAnsi"/>
        </w:rPr>
        <w:t xml:space="preserve"> (Figure 3)</w:t>
      </w:r>
      <w:r w:rsidR="00430A3E">
        <w:rPr>
          <w:rFonts w:asciiTheme="minorHAnsi" w:hAnsiTheme="minorHAnsi" w:cstheme="minorHAnsi"/>
        </w:rPr>
        <w:t xml:space="preserve">. </w:t>
      </w:r>
    </w:p>
    <w:p w14:paraId="58AA9DD5" w14:textId="2C754E22" w:rsidR="006467F7" w:rsidRDefault="006467F7" w:rsidP="009E5754">
      <w:pPr>
        <w:jc w:val="both"/>
        <w:rPr>
          <w:rFonts w:asciiTheme="minorHAnsi" w:hAnsiTheme="minorHAnsi" w:cstheme="minorHAnsi"/>
        </w:rPr>
      </w:pPr>
    </w:p>
    <w:p w14:paraId="5B76CBCE" w14:textId="77777777" w:rsidR="005D790E" w:rsidRPr="00B26F3D" w:rsidRDefault="005D790E" w:rsidP="005D790E">
      <w:pPr>
        <w:rPr>
          <w:rFonts w:asciiTheme="minorHAnsi" w:hAnsiTheme="minorHAnsi" w:cstheme="minorHAnsi"/>
          <w:b/>
          <w:bCs/>
        </w:rPr>
      </w:pPr>
      <w:r w:rsidRPr="00B26F3D">
        <w:rPr>
          <w:rFonts w:asciiTheme="minorHAnsi" w:hAnsiTheme="minorHAnsi" w:cstheme="minorHAnsi"/>
          <w:b/>
          <w:bCs/>
        </w:rPr>
        <w:t>Figure 3: Average business gross income ($2020mill), 2017-18</w:t>
      </w:r>
    </w:p>
    <w:p w14:paraId="77758A7B" w14:textId="77777777" w:rsidR="005D790E" w:rsidRDefault="005D790E" w:rsidP="005D790E">
      <w:pPr>
        <w:rPr>
          <w:rFonts w:asciiTheme="minorHAnsi" w:hAnsiTheme="minorHAnsi" w:cstheme="minorHAnsi"/>
        </w:rPr>
      </w:pPr>
    </w:p>
    <w:p w14:paraId="734E790E" w14:textId="77777777" w:rsidR="005D790E" w:rsidRDefault="005D790E" w:rsidP="005D790E">
      <w:pPr>
        <w:rPr>
          <w:rFonts w:asciiTheme="minorHAnsi" w:hAnsiTheme="minorHAnsi" w:cstheme="minorHAnsi"/>
        </w:rPr>
      </w:pPr>
      <w:r>
        <w:rPr>
          <w:noProof/>
          <w:lang w:val="en-GB" w:eastAsia="en-GB"/>
        </w:rPr>
        <w:drawing>
          <wp:inline distT="0" distB="0" distL="0" distR="0" wp14:anchorId="5C7E1150" wp14:editId="6B6B1FC6">
            <wp:extent cx="5594350" cy="3293390"/>
            <wp:effectExtent l="0" t="0" r="6350" b="2540"/>
            <wp:docPr id="9" name="Chart 9">
              <a:extLst xmlns:a="http://schemas.openxmlformats.org/drawingml/2006/main">
                <a:ext uri="{FF2B5EF4-FFF2-40B4-BE49-F238E27FC236}">
                  <a16:creationId xmlns:a16="http://schemas.microsoft.com/office/drawing/2014/main" id="{BC748D35-F96A-4658-94E4-CC10B9316F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4870F57" w14:textId="77777777" w:rsidR="005D790E" w:rsidRDefault="005D790E" w:rsidP="005D790E">
      <w:pPr>
        <w:rPr>
          <w:rFonts w:asciiTheme="minorHAnsi" w:hAnsiTheme="minorHAnsi" w:cstheme="minorHAnsi"/>
          <w:sz w:val="18"/>
          <w:szCs w:val="18"/>
        </w:rPr>
      </w:pPr>
      <w:r w:rsidRPr="00E36748">
        <w:rPr>
          <w:rFonts w:asciiTheme="minorHAnsi" w:hAnsiTheme="minorHAnsi" w:cstheme="minorHAnsi"/>
          <w:sz w:val="20"/>
          <w:szCs w:val="20"/>
        </w:rPr>
        <w:t xml:space="preserve">Source: I-BLADE </w:t>
      </w:r>
      <w:r>
        <w:rPr>
          <w:rFonts w:asciiTheme="minorHAnsi" w:hAnsiTheme="minorHAnsi" w:cstheme="minorHAnsi"/>
          <w:sz w:val="20"/>
          <w:szCs w:val="20"/>
        </w:rPr>
        <w:t xml:space="preserve">1.0, restricted to businesses that are active for tax purposes. </w:t>
      </w:r>
      <w:r w:rsidRPr="00800E16">
        <w:rPr>
          <w:rFonts w:asciiTheme="minorHAnsi" w:hAnsiTheme="minorHAnsi" w:cstheme="minorHAnsi"/>
          <w:sz w:val="18"/>
          <w:szCs w:val="18"/>
        </w:rPr>
        <w:t>Indigenous businesses are from Indigenous business registries (Supply Nation registry, ICN Gateway data, Victorian Aboriginal Business Directory or the ORIC database).</w:t>
      </w:r>
    </w:p>
    <w:p w14:paraId="6C643CD1" w14:textId="77777777" w:rsidR="005D790E" w:rsidRPr="00726602" w:rsidRDefault="005D790E" w:rsidP="005D790E">
      <w:pPr>
        <w:rPr>
          <w:rFonts w:asciiTheme="minorHAnsi" w:hAnsiTheme="minorHAnsi" w:cstheme="minorHAnsi"/>
          <w:sz w:val="18"/>
          <w:szCs w:val="18"/>
        </w:rPr>
      </w:pPr>
      <w:r w:rsidRPr="00726602">
        <w:rPr>
          <w:rFonts w:asciiTheme="minorHAnsi" w:hAnsiTheme="minorHAnsi" w:cstheme="minorHAnsi"/>
          <w:sz w:val="18"/>
          <w:szCs w:val="18"/>
        </w:rPr>
        <w:t xml:space="preserve">Note: Top 2% of Indigenous and non-Indigenous businesses are excluded. </w:t>
      </w:r>
    </w:p>
    <w:p w14:paraId="58A1C292" w14:textId="77777777" w:rsidR="00BF61DA" w:rsidRDefault="00BF61DA" w:rsidP="00FD6DA8">
      <w:pPr>
        <w:rPr>
          <w:b/>
          <w:bCs/>
        </w:rPr>
      </w:pPr>
    </w:p>
    <w:p w14:paraId="0B475125" w14:textId="77777777" w:rsidR="006E2F1C" w:rsidRDefault="006E2F1C" w:rsidP="0070598E">
      <w:pPr>
        <w:rPr>
          <w:rFonts w:asciiTheme="minorHAnsi" w:hAnsiTheme="minorHAnsi" w:cstheme="minorHAnsi"/>
          <w:i/>
          <w:iCs/>
        </w:rPr>
      </w:pPr>
    </w:p>
    <w:p w14:paraId="07755FAE" w14:textId="3FFD6C1D" w:rsidR="006E2F1C" w:rsidRDefault="00AD2FFF" w:rsidP="006E2F1C">
      <w:pPr>
        <w:pStyle w:val="Heading2"/>
      </w:pPr>
      <w:r>
        <w:t>Growth</w:t>
      </w:r>
      <w:r w:rsidR="000E3806">
        <w:t xml:space="preserve"> </w:t>
      </w:r>
    </w:p>
    <w:p w14:paraId="183777E1" w14:textId="7E502C18" w:rsidR="006E2F1C" w:rsidRDefault="00BC5E14" w:rsidP="009E5754">
      <w:pPr>
        <w:jc w:val="both"/>
        <w:rPr>
          <w:rFonts w:asciiTheme="minorHAnsi" w:hAnsiTheme="minorHAnsi" w:cstheme="minorHAnsi"/>
        </w:rPr>
      </w:pPr>
      <w:r>
        <w:rPr>
          <w:rFonts w:asciiTheme="minorHAnsi" w:hAnsiTheme="minorHAnsi" w:cstheme="minorHAnsi"/>
        </w:rPr>
        <w:t xml:space="preserve">A feature of I-BLADE is the </w:t>
      </w:r>
      <w:r w:rsidR="00682C3A">
        <w:rPr>
          <w:rFonts w:asciiTheme="minorHAnsi" w:hAnsiTheme="minorHAnsi" w:cstheme="minorHAnsi"/>
        </w:rPr>
        <w:t>integr</w:t>
      </w:r>
      <w:r w:rsidR="00523F0C">
        <w:rPr>
          <w:rFonts w:asciiTheme="minorHAnsi" w:hAnsiTheme="minorHAnsi" w:cstheme="minorHAnsi"/>
        </w:rPr>
        <w:t>ation of historical information, including information on Indigenous businesses that are no longer on registries</w:t>
      </w:r>
      <w:r w:rsidR="000320BD">
        <w:rPr>
          <w:rFonts w:asciiTheme="minorHAnsi" w:hAnsiTheme="minorHAnsi" w:cstheme="minorHAnsi"/>
        </w:rPr>
        <w:t xml:space="preserve"> for all but the Supply Nation registry</w:t>
      </w:r>
      <w:r w:rsidR="00B011E8">
        <w:rPr>
          <w:rFonts w:asciiTheme="minorHAnsi" w:hAnsiTheme="minorHAnsi" w:cstheme="minorHAnsi"/>
        </w:rPr>
        <w:t xml:space="preserve"> which accounts for 1 in 5 businesses included in I-BLADE 1.0</w:t>
      </w:r>
      <w:r w:rsidR="000320BD">
        <w:rPr>
          <w:rFonts w:asciiTheme="minorHAnsi" w:hAnsiTheme="minorHAnsi" w:cstheme="minorHAnsi"/>
        </w:rPr>
        <w:t>. This</w:t>
      </w:r>
      <w:r w:rsidR="005C75FD">
        <w:rPr>
          <w:rFonts w:asciiTheme="minorHAnsi" w:hAnsiTheme="minorHAnsi" w:cstheme="minorHAnsi"/>
        </w:rPr>
        <w:t xml:space="preserve"> gives</w:t>
      </w:r>
      <w:r w:rsidR="00523F0C">
        <w:rPr>
          <w:rFonts w:asciiTheme="minorHAnsi" w:hAnsiTheme="minorHAnsi" w:cstheme="minorHAnsi"/>
        </w:rPr>
        <w:t xml:space="preserve"> </w:t>
      </w:r>
      <w:r w:rsidR="008D4B05">
        <w:rPr>
          <w:rFonts w:asciiTheme="minorHAnsi" w:hAnsiTheme="minorHAnsi" w:cstheme="minorHAnsi"/>
        </w:rPr>
        <w:t xml:space="preserve">a sense of how the </w:t>
      </w:r>
      <w:r w:rsidR="0060785B">
        <w:rPr>
          <w:rFonts w:asciiTheme="minorHAnsi" w:hAnsiTheme="minorHAnsi" w:cstheme="minorHAnsi"/>
        </w:rPr>
        <w:t>sector has evolved over time</w:t>
      </w:r>
      <w:r w:rsidR="007F6F64">
        <w:rPr>
          <w:rFonts w:asciiTheme="minorHAnsi" w:hAnsiTheme="minorHAnsi" w:cstheme="minorHAnsi"/>
        </w:rPr>
        <w:t xml:space="preserve"> </w:t>
      </w:r>
      <w:r w:rsidR="00E528E3">
        <w:rPr>
          <w:rFonts w:asciiTheme="minorHAnsi" w:hAnsiTheme="minorHAnsi" w:cstheme="minorHAnsi"/>
        </w:rPr>
        <w:t xml:space="preserve">and </w:t>
      </w:r>
      <w:r w:rsidR="00872CA6">
        <w:rPr>
          <w:rFonts w:asciiTheme="minorHAnsi" w:hAnsiTheme="minorHAnsi" w:cstheme="minorHAnsi"/>
        </w:rPr>
        <w:t>indicates</w:t>
      </w:r>
      <w:r w:rsidR="004334B9">
        <w:rPr>
          <w:rFonts w:asciiTheme="minorHAnsi" w:hAnsiTheme="minorHAnsi" w:cstheme="minorHAnsi"/>
        </w:rPr>
        <w:t xml:space="preserve"> factors that may have shaped its growth now and into the future. </w:t>
      </w:r>
    </w:p>
    <w:p w14:paraId="0F8C7F99" w14:textId="1C07BD9E" w:rsidR="004334B9" w:rsidRDefault="004334B9" w:rsidP="009E5754">
      <w:pPr>
        <w:jc w:val="both"/>
        <w:rPr>
          <w:rFonts w:asciiTheme="minorHAnsi" w:hAnsiTheme="minorHAnsi" w:cstheme="minorHAnsi"/>
        </w:rPr>
      </w:pPr>
    </w:p>
    <w:p w14:paraId="2AD7A57B" w14:textId="40447BC1" w:rsidR="0088547D" w:rsidRDefault="00C64DFD" w:rsidP="009E5754">
      <w:pPr>
        <w:jc w:val="both"/>
        <w:rPr>
          <w:rFonts w:asciiTheme="minorHAnsi" w:hAnsiTheme="minorHAnsi" w:cstheme="minorHAnsi"/>
        </w:rPr>
      </w:pPr>
      <w:r>
        <w:rPr>
          <w:rFonts w:asciiTheme="minorHAnsi" w:hAnsiTheme="minorHAnsi" w:cstheme="minorHAnsi"/>
        </w:rPr>
        <w:t xml:space="preserve">Key statistics presented in Figure 4 suggest that </w:t>
      </w:r>
      <w:r w:rsidRPr="00CE315D">
        <w:rPr>
          <w:rFonts w:asciiTheme="minorHAnsi" w:hAnsiTheme="minorHAnsi" w:cstheme="minorHAnsi"/>
          <w:b/>
          <w:bCs/>
        </w:rPr>
        <w:t xml:space="preserve">the numbers of </w:t>
      </w:r>
      <w:r w:rsidR="00DC020D" w:rsidRPr="00CE315D">
        <w:rPr>
          <w:rFonts w:asciiTheme="minorHAnsi" w:hAnsiTheme="minorHAnsi" w:cstheme="minorHAnsi"/>
          <w:b/>
          <w:bCs/>
        </w:rPr>
        <w:t xml:space="preserve">active </w:t>
      </w:r>
      <w:r w:rsidRPr="00CE315D">
        <w:rPr>
          <w:rFonts w:asciiTheme="minorHAnsi" w:hAnsiTheme="minorHAnsi" w:cstheme="minorHAnsi"/>
          <w:b/>
          <w:bCs/>
        </w:rPr>
        <w:t xml:space="preserve">Indigenous businesses </w:t>
      </w:r>
      <w:r w:rsidR="000965A9" w:rsidRPr="00CE315D">
        <w:rPr>
          <w:rFonts w:asciiTheme="minorHAnsi" w:hAnsiTheme="minorHAnsi" w:cstheme="minorHAnsi"/>
          <w:b/>
          <w:bCs/>
        </w:rPr>
        <w:t>have</w:t>
      </w:r>
      <w:r w:rsidR="007A5172" w:rsidRPr="00CE315D">
        <w:rPr>
          <w:rFonts w:asciiTheme="minorHAnsi" w:hAnsiTheme="minorHAnsi" w:cstheme="minorHAnsi"/>
          <w:b/>
          <w:bCs/>
        </w:rPr>
        <w:t xml:space="preserve"> </w:t>
      </w:r>
      <w:r w:rsidR="003F017B" w:rsidRPr="00CE315D">
        <w:rPr>
          <w:rFonts w:asciiTheme="minorHAnsi" w:hAnsiTheme="minorHAnsi" w:cstheme="minorHAnsi"/>
          <w:b/>
          <w:bCs/>
        </w:rPr>
        <w:t xml:space="preserve">grown </w:t>
      </w:r>
      <w:r w:rsidR="00617B90" w:rsidRPr="00CE315D">
        <w:rPr>
          <w:rFonts w:asciiTheme="minorHAnsi" w:hAnsiTheme="minorHAnsi" w:cstheme="minorHAnsi"/>
          <w:b/>
          <w:bCs/>
        </w:rPr>
        <w:t xml:space="preserve">at roughly a constant rate of around 4.3% per year </w:t>
      </w:r>
      <w:r w:rsidR="003F017B" w:rsidRPr="00CE315D">
        <w:rPr>
          <w:rFonts w:asciiTheme="minorHAnsi" w:hAnsiTheme="minorHAnsi" w:cstheme="minorHAnsi"/>
          <w:b/>
          <w:bCs/>
        </w:rPr>
        <w:t>from</w:t>
      </w:r>
      <w:r w:rsidR="00617B90" w:rsidRPr="00CE315D">
        <w:rPr>
          <w:rFonts w:asciiTheme="minorHAnsi" w:hAnsiTheme="minorHAnsi" w:cstheme="minorHAnsi"/>
          <w:b/>
          <w:bCs/>
        </w:rPr>
        <w:t xml:space="preserve"> 20</w:t>
      </w:r>
      <w:r w:rsidR="00A43A36" w:rsidRPr="00CE315D">
        <w:rPr>
          <w:rFonts w:asciiTheme="minorHAnsi" w:hAnsiTheme="minorHAnsi" w:cstheme="minorHAnsi"/>
          <w:b/>
          <w:bCs/>
        </w:rPr>
        <w:t>05-06 to 2017-18 or from</w:t>
      </w:r>
      <w:r w:rsidR="003F017B" w:rsidRPr="00CE315D">
        <w:rPr>
          <w:rFonts w:asciiTheme="minorHAnsi" w:hAnsiTheme="minorHAnsi" w:cstheme="minorHAnsi"/>
          <w:b/>
          <w:bCs/>
        </w:rPr>
        <w:t xml:space="preserve"> 2,718 in 3,619</w:t>
      </w:r>
      <w:r w:rsidR="00A43A36" w:rsidRPr="00CE315D">
        <w:rPr>
          <w:rFonts w:asciiTheme="minorHAnsi" w:hAnsiTheme="minorHAnsi" w:cstheme="minorHAnsi"/>
          <w:b/>
          <w:bCs/>
        </w:rPr>
        <w:t xml:space="preserve"> overall.</w:t>
      </w:r>
      <w:r w:rsidR="00A43A36">
        <w:rPr>
          <w:rFonts w:asciiTheme="minorHAnsi" w:hAnsiTheme="minorHAnsi" w:cstheme="minorHAnsi"/>
        </w:rPr>
        <w:t xml:space="preserve"> This rate of increase </w:t>
      </w:r>
      <w:r w:rsidR="00250737">
        <w:rPr>
          <w:rFonts w:asciiTheme="minorHAnsi" w:hAnsiTheme="minorHAnsi" w:cstheme="minorHAnsi"/>
        </w:rPr>
        <w:t xml:space="preserve">is broadly consistent with the increase in </w:t>
      </w:r>
      <w:r w:rsidR="007A371B">
        <w:rPr>
          <w:rFonts w:asciiTheme="minorHAnsi" w:hAnsiTheme="minorHAnsi" w:cstheme="minorHAnsi"/>
        </w:rPr>
        <w:t xml:space="preserve">Indigenous owner managers </w:t>
      </w:r>
      <w:r w:rsidR="003E0436">
        <w:rPr>
          <w:rFonts w:asciiTheme="minorHAnsi" w:hAnsiTheme="minorHAnsi" w:cstheme="minorHAnsi"/>
        </w:rPr>
        <w:t xml:space="preserve">reported by Shirodkar et al. </w:t>
      </w:r>
      <w:r w:rsidR="006D7D04">
        <w:rPr>
          <w:rFonts w:asciiTheme="minorHAnsi" w:hAnsiTheme="minorHAnsi" w:cstheme="minorHAnsi"/>
        </w:rPr>
        <w:t>(</w:t>
      </w:r>
      <w:r w:rsidR="003E0436">
        <w:rPr>
          <w:rFonts w:asciiTheme="minorHAnsi" w:hAnsiTheme="minorHAnsi" w:cstheme="minorHAnsi"/>
        </w:rPr>
        <w:t>2018</w:t>
      </w:r>
      <w:r w:rsidR="006D7D04">
        <w:rPr>
          <w:rFonts w:asciiTheme="minorHAnsi" w:hAnsiTheme="minorHAnsi" w:cstheme="minorHAnsi"/>
        </w:rPr>
        <w:t>)</w:t>
      </w:r>
      <w:r w:rsidR="003E0436">
        <w:rPr>
          <w:rFonts w:asciiTheme="minorHAnsi" w:hAnsiTheme="minorHAnsi" w:cstheme="minorHAnsi"/>
        </w:rPr>
        <w:t xml:space="preserve"> between 2006 and 2016 (5.5% per year)</w:t>
      </w:r>
      <w:r w:rsidR="007A371B">
        <w:rPr>
          <w:rFonts w:asciiTheme="minorHAnsi" w:hAnsiTheme="minorHAnsi" w:cstheme="minorHAnsi"/>
        </w:rPr>
        <w:t>.</w:t>
      </w:r>
      <w:r w:rsidR="00E1396C">
        <w:rPr>
          <w:rFonts w:asciiTheme="minorHAnsi" w:hAnsiTheme="minorHAnsi" w:cstheme="minorHAnsi"/>
        </w:rPr>
        <w:t xml:space="preserve"> </w:t>
      </w:r>
      <w:r w:rsidR="00A92E0D">
        <w:rPr>
          <w:rFonts w:asciiTheme="minorHAnsi" w:hAnsiTheme="minorHAnsi" w:cstheme="minorHAnsi"/>
        </w:rPr>
        <w:t>The rate of growth of employment number</w:t>
      </w:r>
      <w:r w:rsidR="00DC6FFE">
        <w:rPr>
          <w:rFonts w:asciiTheme="minorHAnsi" w:hAnsiTheme="minorHAnsi" w:cstheme="minorHAnsi"/>
        </w:rPr>
        <w:t>s</w:t>
      </w:r>
      <w:r w:rsidR="00A92E0D">
        <w:rPr>
          <w:rFonts w:asciiTheme="minorHAnsi" w:hAnsiTheme="minorHAnsi" w:cstheme="minorHAnsi"/>
        </w:rPr>
        <w:t xml:space="preserve"> and </w:t>
      </w:r>
      <w:r w:rsidR="005A1746">
        <w:rPr>
          <w:rFonts w:asciiTheme="minorHAnsi" w:hAnsiTheme="minorHAnsi" w:cstheme="minorHAnsi"/>
        </w:rPr>
        <w:t xml:space="preserve">total Indigenous business </w:t>
      </w:r>
      <w:r w:rsidR="00A92E0D">
        <w:rPr>
          <w:rFonts w:asciiTheme="minorHAnsi" w:hAnsiTheme="minorHAnsi" w:cstheme="minorHAnsi"/>
        </w:rPr>
        <w:t xml:space="preserve">gross income has been higher than for </w:t>
      </w:r>
      <w:r w:rsidR="00602347">
        <w:rPr>
          <w:rFonts w:asciiTheme="minorHAnsi" w:hAnsiTheme="minorHAnsi" w:cstheme="minorHAnsi"/>
        </w:rPr>
        <w:t xml:space="preserve">active </w:t>
      </w:r>
      <w:r w:rsidR="00A92E0D">
        <w:rPr>
          <w:rFonts w:asciiTheme="minorHAnsi" w:hAnsiTheme="minorHAnsi" w:cstheme="minorHAnsi"/>
        </w:rPr>
        <w:t>businesses numbers (</w:t>
      </w:r>
      <w:r w:rsidR="00A92E0D" w:rsidRPr="00FB16B8">
        <w:rPr>
          <w:rFonts w:asciiTheme="minorHAnsi" w:hAnsiTheme="minorHAnsi" w:cstheme="minorHAnsi"/>
        </w:rPr>
        <w:t>5.9%</w:t>
      </w:r>
      <w:r w:rsidR="00A92E0D">
        <w:rPr>
          <w:rFonts w:asciiTheme="minorHAnsi" w:hAnsiTheme="minorHAnsi" w:cstheme="minorHAnsi"/>
        </w:rPr>
        <w:t xml:space="preserve"> and </w:t>
      </w:r>
      <w:r w:rsidR="00A92E0D" w:rsidRPr="00FB16B8">
        <w:rPr>
          <w:rFonts w:asciiTheme="minorHAnsi" w:hAnsiTheme="minorHAnsi" w:cstheme="minorHAnsi"/>
        </w:rPr>
        <w:t xml:space="preserve">6.6% </w:t>
      </w:r>
      <w:r w:rsidR="00A92E0D">
        <w:rPr>
          <w:rFonts w:asciiTheme="minorHAnsi" w:hAnsiTheme="minorHAnsi" w:cstheme="minorHAnsi"/>
        </w:rPr>
        <w:t>per year)</w:t>
      </w:r>
      <w:r w:rsidR="005A1746">
        <w:rPr>
          <w:rFonts w:asciiTheme="minorHAnsi" w:hAnsiTheme="minorHAnsi" w:cstheme="minorHAnsi"/>
        </w:rPr>
        <w:t>, which points to</w:t>
      </w:r>
      <w:r w:rsidR="00D53095">
        <w:rPr>
          <w:rFonts w:asciiTheme="minorHAnsi" w:hAnsiTheme="minorHAnsi" w:cstheme="minorHAnsi"/>
        </w:rPr>
        <w:t xml:space="preserve"> growth in the average size of </w:t>
      </w:r>
      <w:r w:rsidR="00602347">
        <w:rPr>
          <w:rFonts w:asciiTheme="minorHAnsi" w:hAnsiTheme="minorHAnsi" w:cstheme="minorHAnsi"/>
        </w:rPr>
        <w:t xml:space="preserve">active </w:t>
      </w:r>
      <w:r w:rsidR="00D53095">
        <w:rPr>
          <w:rFonts w:asciiTheme="minorHAnsi" w:hAnsiTheme="minorHAnsi" w:cstheme="minorHAnsi"/>
        </w:rPr>
        <w:t>businesses</w:t>
      </w:r>
      <w:r w:rsidR="00966D51">
        <w:rPr>
          <w:rFonts w:asciiTheme="minorHAnsi" w:hAnsiTheme="minorHAnsi" w:cstheme="minorHAnsi"/>
        </w:rPr>
        <w:t xml:space="preserve">, which may point to </w:t>
      </w:r>
      <w:r w:rsidR="00966D51" w:rsidRPr="00CE315D">
        <w:rPr>
          <w:rFonts w:asciiTheme="minorHAnsi" w:hAnsiTheme="minorHAnsi" w:cstheme="minorHAnsi"/>
          <w:b/>
          <w:bCs/>
        </w:rPr>
        <w:t>a maturing of the sector.</w:t>
      </w:r>
      <w:r w:rsidR="00966D51">
        <w:rPr>
          <w:rFonts w:asciiTheme="minorHAnsi" w:hAnsiTheme="minorHAnsi" w:cstheme="minorHAnsi"/>
        </w:rPr>
        <w:t xml:space="preserve"> </w:t>
      </w:r>
    </w:p>
    <w:p w14:paraId="792D9E23" w14:textId="77777777" w:rsidR="0088547D" w:rsidRPr="00B26F3D" w:rsidRDefault="0088547D" w:rsidP="0088547D">
      <w:pPr>
        <w:rPr>
          <w:rFonts w:asciiTheme="minorHAnsi" w:hAnsiTheme="minorHAnsi" w:cstheme="minorHAnsi"/>
          <w:b/>
          <w:bCs/>
        </w:rPr>
      </w:pPr>
      <w:r w:rsidRPr="00B26F3D">
        <w:rPr>
          <w:rFonts w:asciiTheme="minorHAnsi" w:hAnsiTheme="minorHAnsi" w:cstheme="minorHAnsi"/>
          <w:b/>
          <w:bCs/>
        </w:rPr>
        <w:lastRenderedPageBreak/>
        <w:t>Figure 4: Total growth in Indigenous businesses, 2017-18</w:t>
      </w:r>
    </w:p>
    <w:p w14:paraId="6618A6CA" w14:textId="77777777" w:rsidR="0088547D" w:rsidRDefault="0088547D" w:rsidP="0088547D">
      <w:pPr>
        <w:rPr>
          <w:rFonts w:asciiTheme="minorHAnsi" w:hAnsiTheme="minorHAnsi" w:cstheme="minorHAnsi"/>
        </w:rPr>
      </w:pPr>
    </w:p>
    <w:p w14:paraId="5AC379CF" w14:textId="77777777" w:rsidR="0088547D" w:rsidRDefault="0088547D" w:rsidP="0088547D">
      <w:pPr>
        <w:rPr>
          <w:rFonts w:asciiTheme="minorHAnsi" w:hAnsiTheme="minorHAnsi" w:cstheme="minorHAnsi"/>
        </w:rPr>
      </w:pPr>
      <w:r>
        <w:rPr>
          <w:noProof/>
          <w:lang w:val="en-GB" w:eastAsia="en-GB"/>
        </w:rPr>
        <w:drawing>
          <wp:inline distT="0" distB="0" distL="0" distR="0" wp14:anchorId="59A4E142" wp14:editId="256287C8">
            <wp:extent cx="5494149" cy="3022170"/>
            <wp:effectExtent l="0" t="0" r="11430" b="6985"/>
            <wp:docPr id="6" name="Chart 6">
              <a:extLst xmlns:a="http://schemas.openxmlformats.org/drawingml/2006/main">
                <a:ext uri="{FF2B5EF4-FFF2-40B4-BE49-F238E27FC236}">
                  <a16:creationId xmlns:a16="http://schemas.microsoft.com/office/drawing/2014/main" id="{D6B972CD-8123-4A20-80CF-D8A0924A21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24DFA8" w14:textId="77777777" w:rsidR="0088547D" w:rsidRDefault="0088547D" w:rsidP="0088547D">
      <w:pPr>
        <w:rPr>
          <w:rFonts w:asciiTheme="minorHAnsi" w:hAnsiTheme="minorHAnsi" w:cstheme="minorHAnsi"/>
        </w:rPr>
      </w:pPr>
      <w:r w:rsidRPr="00E36748">
        <w:rPr>
          <w:rFonts w:asciiTheme="minorHAnsi" w:hAnsiTheme="minorHAnsi" w:cstheme="minorHAnsi"/>
          <w:sz w:val="20"/>
          <w:szCs w:val="20"/>
        </w:rPr>
        <w:t xml:space="preserve">Source: I-BLADE </w:t>
      </w:r>
      <w:r>
        <w:rPr>
          <w:rFonts w:asciiTheme="minorHAnsi" w:hAnsiTheme="minorHAnsi" w:cstheme="minorHAnsi"/>
          <w:sz w:val="20"/>
          <w:szCs w:val="20"/>
        </w:rPr>
        <w:t xml:space="preserve">1.0, restricted to businesses that are active for tax purposes. </w:t>
      </w:r>
      <w:r w:rsidRPr="00800E16">
        <w:rPr>
          <w:rFonts w:asciiTheme="minorHAnsi" w:hAnsiTheme="minorHAnsi" w:cstheme="minorHAnsi"/>
          <w:sz w:val="18"/>
          <w:szCs w:val="18"/>
        </w:rPr>
        <w:t>Indigenous businesses are from Indigenous business registries (Supply Nation registry, ICN Gateway data, Victorian Aboriginal Business Directory or the ORIC database).</w:t>
      </w:r>
    </w:p>
    <w:p w14:paraId="76A9716E" w14:textId="77777777" w:rsidR="0088547D" w:rsidRDefault="0088547D" w:rsidP="009E5754">
      <w:pPr>
        <w:jc w:val="both"/>
        <w:rPr>
          <w:rFonts w:asciiTheme="minorHAnsi" w:hAnsiTheme="minorHAnsi" w:cstheme="minorHAnsi"/>
        </w:rPr>
      </w:pPr>
    </w:p>
    <w:p w14:paraId="1FF800D1" w14:textId="084407CE" w:rsidR="00966D51" w:rsidRDefault="00966D51" w:rsidP="009E5754">
      <w:pPr>
        <w:jc w:val="both"/>
        <w:rPr>
          <w:rFonts w:asciiTheme="minorHAnsi" w:hAnsiTheme="minorHAnsi" w:cstheme="minorHAnsi"/>
        </w:rPr>
      </w:pPr>
    </w:p>
    <w:p w14:paraId="52B25C3F" w14:textId="31657ED3" w:rsidR="00872CA6" w:rsidRDefault="00F3053F" w:rsidP="009E5754">
      <w:pPr>
        <w:jc w:val="both"/>
        <w:rPr>
          <w:rFonts w:asciiTheme="minorHAnsi" w:hAnsiTheme="minorHAnsi" w:cstheme="minorHAnsi"/>
        </w:rPr>
      </w:pPr>
      <w:r>
        <w:rPr>
          <w:rFonts w:asciiTheme="minorHAnsi" w:hAnsiTheme="minorHAnsi" w:cstheme="minorHAnsi"/>
        </w:rPr>
        <w:t>Unlike</w:t>
      </w:r>
      <w:r w:rsidR="007D1DF6">
        <w:rPr>
          <w:rFonts w:asciiTheme="minorHAnsi" w:hAnsiTheme="minorHAnsi" w:cstheme="minorHAnsi"/>
        </w:rPr>
        <w:t xml:space="preserve"> growth in</w:t>
      </w:r>
      <w:r>
        <w:rPr>
          <w:rFonts w:asciiTheme="minorHAnsi" w:hAnsiTheme="minorHAnsi" w:cstheme="minorHAnsi"/>
        </w:rPr>
        <w:t xml:space="preserve"> </w:t>
      </w:r>
      <w:r w:rsidR="007D1DF6">
        <w:rPr>
          <w:rFonts w:asciiTheme="minorHAnsi" w:hAnsiTheme="minorHAnsi" w:cstheme="minorHAnsi"/>
        </w:rPr>
        <w:t>business numbers, c</w:t>
      </w:r>
      <w:r>
        <w:rPr>
          <w:rFonts w:asciiTheme="minorHAnsi" w:hAnsiTheme="minorHAnsi" w:cstheme="minorHAnsi"/>
        </w:rPr>
        <w:t>hanges in gross income and employment over time</w:t>
      </w:r>
      <w:r w:rsidR="0095635E">
        <w:rPr>
          <w:rFonts w:asciiTheme="minorHAnsi" w:hAnsiTheme="minorHAnsi" w:cstheme="minorHAnsi"/>
        </w:rPr>
        <w:t xml:space="preserve"> </w:t>
      </w:r>
      <w:r w:rsidR="007D1DF6">
        <w:rPr>
          <w:rFonts w:asciiTheme="minorHAnsi" w:hAnsiTheme="minorHAnsi" w:cstheme="minorHAnsi"/>
        </w:rPr>
        <w:t>have not followed a linear trajectory, but instead appear to have had their growth interrupted</w:t>
      </w:r>
      <w:r w:rsidR="005B3812">
        <w:rPr>
          <w:rFonts w:asciiTheme="minorHAnsi" w:hAnsiTheme="minorHAnsi" w:cstheme="minorHAnsi"/>
        </w:rPr>
        <w:t xml:space="preserve"> </w:t>
      </w:r>
      <w:r w:rsidR="00B302CB">
        <w:rPr>
          <w:rFonts w:asciiTheme="minorHAnsi" w:hAnsiTheme="minorHAnsi" w:cstheme="minorHAnsi"/>
        </w:rPr>
        <w:t xml:space="preserve">from 2014 by </w:t>
      </w:r>
      <w:r w:rsidR="00F56EDC">
        <w:rPr>
          <w:rFonts w:asciiTheme="minorHAnsi" w:hAnsiTheme="minorHAnsi" w:cstheme="minorHAnsi"/>
        </w:rPr>
        <w:t xml:space="preserve">a reduction in </w:t>
      </w:r>
      <w:r w:rsidR="00B302CB">
        <w:rPr>
          <w:rFonts w:asciiTheme="minorHAnsi" w:hAnsiTheme="minorHAnsi" w:cstheme="minorHAnsi"/>
        </w:rPr>
        <w:t>mining construction expenditure</w:t>
      </w:r>
      <w:r w:rsidR="00F56EDC">
        <w:rPr>
          <w:rFonts w:asciiTheme="minorHAnsi" w:hAnsiTheme="minorHAnsi" w:cstheme="minorHAnsi"/>
        </w:rPr>
        <w:t xml:space="preserve"> that</w:t>
      </w:r>
      <w:r w:rsidR="00731112">
        <w:rPr>
          <w:rFonts w:asciiTheme="minorHAnsi" w:hAnsiTheme="minorHAnsi" w:cstheme="minorHAnsi"/>
        </w:rPr>
        <w:t xml:space="preserve"> had flow-on effects throughout Indigenous businesses</w:t>
      </w:r>
      <w:r w:rsidR="00DB48CD">
        <w:rPr>
          <w:rFonts w:asciiTheme="minorHAnsi" w:hAnsiTheme="minorHAnsi" w:cstheme="minorHAnsi"/>
        </w:rPr>
        <w:t>. Effects</w:t>
      </w:r>
      <w:r w:rsidR="00EC0E32">
        <w:rPr>
          <w:rFonts w:asciiTheme="minorHAnsi" w:hAnsiTheme="minorHAnsi" w:cstheme="minorHAnsi"/>
        </w:rPr>
        <w:t xml:space="preserve"> are felt most</w:t>
      </w:r>
      <w:r w:rsidR="0094572E">
        <w:rPr>
          <w:rFonts w:asciiTheme="minorHAnsi" w:hAnsiTheme="minorHAnsi" w:cstheme="minorHAnsi"/>
        </w:rPr>
        <w:t xml:space="preserve"> </w:t>
      </w:r>
      <w:r w:rsidR="00907FAE">
        <w:rPr>
          <w:rFonts w:asciiTheme="minorHAnsi" w:hAnsiTheme="minorHAnsi" w:cstheme="minorHAnsi"/>
        </w:rPr>
        <w:t>strongly</w:t>
      </w:r>
      <w:r w:rsidR="00DB48CD">
        <w:rPr>
          <w:rFonts w:asciiTheme="minorHAnsi" w:hAnsiTheme="minorHAnsi" w:cstheme="minorHAnsi"/>
        </w:rPr>
        <w:t xml:space="preserve">, but not limited to, </w:t>
      </w:r>
      <w:r w:rsidR="00EC0E32">
        <w:rPr>
          <w:rFonts w:asciiTheme="minorHAnsi" w:hAnsiTheme="minorHAnsi" w:cstheme="minorHAnsi"/>
        </w:rPr>
        <w:t xml:space="preserve">Indigenous businesses working in the construction sector, where </w:t>
      </w:r>
      <w:r w:rsidR="00580991">
        <w:rPr>
          <w:rFonts w:asciiTheme="minorHAnsi" w:hAnsiTheme="minorHAnsi" w:cstheme="minorHAnsi"/>
        </w:rPr>
        <w:t xml:space="preserve">the growth in </w:t>
      </w:r>
      <w:r w:rsidR="00EC0E32">
        <w:rPr>
          <w:rFonts w:asciiTheme="minorHAnsi" w:hAnsiTheme="minorHAnsi" w:cstheme="minorHAnsi"/>
        </w:rPr>
        <w:t xml:space="preserve">gross income </w:t>
      </w:r>
      <w:r w:rsidR="00580991">
        <w:rPr>
          <w:rFonts w:asciiTheme="minorHAnsi" w:hAnsiTheme="minorHAnsi" w:cstheme="minorHAnsi"/>
        </w:rPr>
        <w:t xml:space="preserve">over time has </w:t>
      </w:r>
      <w:r w:rsidR="008E559A">
        <w:rPr>
          <w:rFonts w:asciiTheme="minorHAnsi" w:hAnsiTheme="minorHAnsi" w:cstheme="minorHAnsi"/>
        </w:rPr>
        <w:t xml:space="preserve">broadly </w:t>
      </w:r>
      <w:r w:rsidR="00580991">
        <w:rPr>
          <w:rFonts w:asciiTheme="minorHAnsi" w:hAnsiTheme="minorHAnsi" w:cstheme="minorHAnsi"/>
        </w:rPr>
        <w:t xml:space="preserve">followed mining construction expenditure </w:t>
      </w:r>
      <w:r w:rsidR="00EC0E32">
        <w:rPr>
          <w:rFonts w:asciiTheme="minorHAnsi" w:hAnsiTheme="minorHAnsi" w:cstheme="minorHAnsi"/>
        </w:rPr>
        <w:t>(Figure 5)</w:t>
      </w:r>
      <w:r w:rsidR="00580991">
        <w:rPr>
          <w:rFonts w:asciiTheme="minorHAnsi" w:hAnsiTheme="minorHAnsi" w:cstheme="minorHAnsi"/>
        </w:rPr>
        <w:t xml:space="preserve">. </w:t>
      </w:r>
      <w:r w:rsidR="008B66CE">
        <w:rPr>
          <w:rFonts w:asciiTheme="minorHAnsi" w:hAnsiTheme="minorHAnsi" w:cstheme="minorHAnsi"/>
        </w:rPr>
        <w:t xml:space="preserve">Perhaps reflecting a willingness of Indigenous employers to retain their staff, the reduction in </w:t>
      </w:r>
      <w:r w:rsidR="009F6B87">
        <w:rPr>
          <w:rFonts w:asciiTheme="minorHAnsi" w:hAnsiTheme="minorHAnsi" w:cstheme="minorHAnsi"/>
        </w:rPr>
        <w:t>employment appear</w:t>
      </w:r>
      <w:r w:rsidR="008B66CE">
        <w:rPr>
          <w:rFonts w:asciiTheme="minorHAnsi" w:hAnsiTheme="minorHAnsi" w:cstheme="minorHAnsi"/>
        </w:rPr>
        <w:t xml:space="preserve">s to trail the </w:t>
      </w:r>
      <w:r w:rsidR="005D790E">
        <w:rPr>
          <w:rFonts w:asciiTheme="minorHAnsi" w:hAnsiTheme="minorHAnsi" w:cstheme="minorHAnsi"/>
        </w:rPr>
        <w:t>downturn</w:t>
      </w:r>
      <w:r w:rsidR="008B66CE">
        <w:rPr>
          <w:rFonts w:asciiTheme="minorHAnsi" w:hAnsiTheme="minorHAnsi" w:cstheme="minorHAnsi"/>
        </w:rPr>
        <w:t xml:space="preserve"> in gross </w:t>
      </w:r>
      <w:r w:rsidR="002B1666">
        <w:rPr>
          <w:rFonts w:asciiTheme="minorHAnsi" w:hAnsiTheme="minorHAnsi" w:cstheme="minorHAnsi"/>
        </w:rPr>
        <w:t>income but</w:t>
      </w:r>
      <w:r w:rsidR="002A5D8F">
        <w:rPr>
          <w:rFonts w:asciiTheme="minorHAnsi" w:hAnsiTheme="minorHAnsi" w:cstheme="minorHAnsi"/>
        </w:rPr>
        <w:t xml:space="preserve"> recovers quickly once growth in income resumes. </w:t>
      </w:r>
      <w:r w:rsidR="00031E33">
        <w:rPr>
          <w:rFonts w:asciiTheme="minorHAnsi" w:hAnsiTheme="minorHAnsi" w:cstheme="minorHAnsi"/>
        </w:rPr>
        <w:t xml:space="preserve">These statistics underline the importance of mining sector in </w:t>
      </w:r>
      <w:r w:rsidR="006E335D">
        <w:rPr>
          <w:rFonts w:asciiTheme="minorHAnsi" w:hAnsiTheme="minorHAnsi" w:cstheme="minorHAnsi"/>
        </w:rPr>
        <w:t xml:space="preserve">supporting Indigenous business growth over the last 12 years. </w:t>
      </w:r>
      <w:r w:rsidR="00031E33">
        <w:rPr>
          <w:rFonts w:asciiTheme="minorHAnsi" w:hAnsiTheme="minorHAnsi" w:cstheme="minorHAnsi"/>
        </w:rPr>
        <w:t xml:space="preserve"> </w:t>
      </w:r>
    </w:p>
    <w:p w14:paraId="01564DB2" w14:textId="77777777" w:rsidR="00872CA6" w:rsidRDefault="00872CA6" w:rsidP="009E5754">
      <w:pPr>
        <w:jc w:val="both"/>
        <w:rPr>
          <w:rFonts w:asciiTheme="minorHAnsi" w:hAnsiTheme="minorHAnsi" w:cstheme="minorHAnsi"/>
        </w:rPr>
      </w:pPr>
    </w:p>
    <w:p w14:paraId="6B5F3587" w14:textId="77777777" w:rsidR="00726602" w:rsidRDefault="00726602" w:rsidP="00551136">
      <w:pPr>
        <w:rPr>
          <w:b/>
          <w:bCs/>
        </w:rPr>
      </w:pPr>
    </w:p>
    <w:p w14:paraId="340701FA" w14:textId="77777777" w:rsidR="00BF61DA" w:rsidRDefault="00BF61DA" w:rsidP="00E46C7F">
      <w:pPr>
        <w:rPr>
          <w:b/>
          <w:bCs/>
        </w:rPr>
      </w:pPr>
    </w:p>
    <w:p w14:paraId="2F20AD30" w14:textId="022A6AA0" w:rsidR="00E46C7F" w:rsidRPr="00B26F3D" w:rsidRDefault="00E46C7F" w:rsidP="00E46C7F">
      <w:pPr>
        <w:rPr>
          <w:rFonts w:asciiTheme="minorHAnsi" w:hAnsiTheme="minorHAnsi" w:cstheme="minorHAnsi"/>
          <w:b/>
          <w:bCs/>
        </w:rPr>
      </w:pPr>
      <w:r w:rsidRPr="00B26F3D">
        <w:rPr>
          <w:rFonts w:asciiTheme="minorHAnsi" w:hAnsiTheme="minorHAnsi" w:cstheme="minorHAnsi"/>
          <w:b/>
          <w:bCs/>
        </w:rPr>
        <w:t xml:space="preserve">Figure 5: </w:t>
      </w:r>
      <w:r w:rsidR="00160F5F" w:rsidRPr="00B26F3D">
        <w:rPr>
          <w:rFonts w:asciiTheme="minorHAnsi" w:hAnsiTheme="minorHAnsi" w:cstheme="minorHAnsi"/>
          <w:b/>
          <w:bCs/>
        </w:rPr>
        <w:t>Gross income from Indigenous</w:t>
      </w:r>
      <w:r w:rsidR="0001315D" w:rsidRPr="00B26F3D">
        <w:rPr>
          <w:rFonts w:asciiTheme="minorHAnsi" w:hAnsiTheme="minorHAnsi" w:cstheme="minorHAnsi"/>
          <w:b/>
          <w:bCs/>
        </w:rPr>
        <w:t xml:space="preserve">-owned </w:t>
      </w:r>
      <w:r w:rsidR="00160F5F" w:rsidRPr="00B26F3D">
        <w:rPr>
          <w:rFonts w:asciiTheme="minorHAnsi" w:hAnsiTheme="minorHAnsi" w:cstheme="minorHAnsi"/>
          <w:b/>
          <w:bCs/>
        </w:rPr>
        <w:t xml:space="preserve">construction </w:t>
      </w:r>
      <w:r w:rsidR="0042272A" w:rsidRPr="00B26F3D">
        <w:rPr>
          <w:rFonts w:asciiTheme="minorHAnsi" w:hAnsiTheme="minorHAnsi" w:cstheme="minorHAnsi"/>
          <w:b/>
          <w:bCs/>
        </w:rPr>
        <w:t xml:space="preserve">(I-BLADE) </w:t>
      </w:r>
      <w:r w:rsidR="0001315D" w:rsidRPr="00B26F3D">
        <w:rPr>
          <w:rFonts w:asciiTheme="minorHAnsi" w:hAnsiTheme="minorHAnsi" w:cstheme="minorHAnsi"/>
          <w:b/>
          <w:bCs/>
        </w:rPr>
        <w:t xml:space="preserve">and </w:t>
      </w:r>
      <w:r w:rsidR="00894495" w:rsidRPr="00B26F3D">
        <w:rPr>
          <w:rFonts w:asciiTheme="minorHAnsi" w:hAnsiTheme="minorHAnsi" w:cstheme="minorHAnsi"/>
          <w:b/>
          <w:bCs/>
        </w:rPr>
        <w:t>value of mining</w:t>
      </w:r>
      <w:r w:rsidR="00C53824" w:rsidRPr="00B26F3D">
        <w:rPr>
          <w:rFonts w:asciiTheme="minorHAnsi" w:hAnsiTheme="minorHAnsi" w:cstheme="minorHAnsi"/>
          <w:b/>
          <w:bCs/>
        </w:rPr>
        <w:t xml:space="preserve"> expenditure on</w:t>
      </w:r>
      <w:r w:rsidR="00894495" w:rsidRPr="00B26F3D">
        <w:rPr>
          <w:rFonts w:asciiTheme="minorHAnsi" w:hAnsiTheme="minorHAnsi" w:cstheme="minorHAnsi"/>
          <w:b/>
          <w:bCs/>
        </w:rPr>
        <w:t xml:space="preserve"> construction</w:t>
      </w:r>
      <w:r w:rsidR="0042272A" w:rsidRPr="00B26F3D">
        <w:rPr>
          <w:rFonts w:asciiTheme="minorHAnsi" w:hAnsiTheme="minorHAnsi" w:cstheme="minorHAnsi"/>
          <w:b/>
          <w:bCs/>
        </w:rPr>
        <w:t xml:space="preserve"> (ABS)</w:t>
      </w:r>
    </w:p>
    <w:p w14:paraId="59954543" w14:textId="615A58ED" w:rsidR="00782BFA" w:rsidRDefault="00782BFA" w:rsidP="00FD6DA8">
      <w:pPr>
        <w:rPr>
          <w:rFonts w:asciiTheme="minorHAnsi" w:hAnsiTheme="minorHAnsi" w:cstheme="minorHAnsi"/>
        </w:rPr>
      </w:pPr>
    </w:p>
    <w:p w14:paraId="62126957" w14:textId="227EFAF4" w:rsidR="00E46C7F" w:rsidRDefault="00160F5F" w:rsidP="00FD6DA8">
      <w:pPr>
        <w:rPr>
          <w:rFonts w:asciiTheme="minorHAnsi" w:hAnsiTheme="minorHAnsi" w:cstheme="minorHAnsi"/>
        </w:rPr>
      </w:pPr>
      <w:r>
        <w:rPr>
          <w:noProof/>
          <w:lang w:val="en-GB" w:eastAsia="en-GB"/>
        </w:rPr>
        <w:lastRenderedPageBreak/>
        <w:drawing>
          <wp:inline distT="0" distB="0" distL="0" distR="0" wp14:anchorId="7C6E37FB" wp14:editId="0709216E">
            <wp:extent cx="5494020" cy="3432875"/>
            <wp:effectExtent l="0" t="0" r="11430" b="15240"/>
            <wp:docPr id="31" name="Chart 31">
              <a:extLst xmlns:a="http://schemas.openxmlformats.org/drawingml/2006/main">
                <a:ext uri="{FF2B5EF4-FFF2-40B4-BE49-F238E27FC236}">
                  <a16:creationId xmlns:a16="http://schemas.microsoft.com/office/drawing/2014/main" id="{A7E2F766-BC74-4E79-AF16-8CA20DE891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EF957FE" w14:textId="7A650F0A" w:rsidR="00E46C7F" w:rsidRPr="00726602" w:rsidRDefault="00C53824" w:rsidP="00FD6DA8">
      <w:pPr>
        <w:rPr>
          <w:rFonts w:asciiTheme="minorHAnsi" w:hAnsiTheme="minorHAnsi" w:cstheme="minorHAnsi"/>
          <w:sz w:val="18"/>
          <w:szCs w:val="18"/>
        </w:rPr>
      </w:pPr>
      <w:r w:rsidRPr="00726602">
        <w:rPr>
          <w:rFonts w:asciiTheme="minorHAnsi" w:hAnsiTheme="minorHAnsi" w:cstheme="minorHAnsi"/>
          <w:sz w:val="18"/>
          <w:szCs w:val="18"/>
        </w:rPr>
        <w:t xml:space="preserve">Sources: I-BLADE </w:t>
      </w:r>
      <w:r w:rsidR="00B50DF3">
        <w:rPr>
          <w:rFonts w:asciiTheme="minorHAnsi" w:hAnsiTheme="minorHAnsi" w:cstheme="minorHAnsi"/>
          <w:sz w:val="18"/>
          <w:szCs w:val="18"/>
        </w:rPr>
        <w:t>1.0</w:t>
      </w:r>
      <w:r w:rsidR="006036CF" w:rsidRPr="00726602">
        <w:rPr>
          <w:rFonts w:asciiTheme="minorHAnsi" w:hAnsiTheme="minorHAnsi" w:cstheme="minorHAnsi"/>
          <w:sz w:val="18"/>
          <w:szCs w:val="18"/>
        </w:rPr>
        <w:t xml:space="preserve"> </w:t>
      </w:r>
      <w:r w:rsidR="00BF61DA">
        <w:rPr>
          <w:rFonts w:asciiTheme="minorHAnsi" w:hAnsiTheme="minorHAnsi" w:cstheme="minorHAnsi"/>
          <w:sz w:val="18"/>
          <w:szCs w:val="18"/>
        </w:rPr>
        <w:t>(</w:t>
      </w:r>
      <w:r w:rsidR="000320BD">
        <w:rPr>
          <w:rFonts w:asciiTheme="minorHAnsi" w:hAnsiTheme="minorHAnsi" w:cstheme="minorHAnsi"/>
          <w:sz w:val="18"/>
          <w:szCs w:val="18"/>
        </w:rPr>
        <w:t xml:space="preserve">restricted to business that are </w:t>
      </w:r>
      <w:r w:rsidR="00BF61DA">
        <w:rPr>
          <w:rFonts w:asciiTheme="minorHAnsi" w:hAnsiTheme="minorHAnsi" w:cstheme="minorHAnsi"/>
          <w:sz w:val="18"/>
          <w:szCs w:val="18"/>
        </w:rPr>
        <w:t>active for tax purposes</w:t>
      </w:r>
      <w:r w:rsidR="00800E16">
        <w:rPr>
          <w:rFonts w:asciiTheme="minorHAnsi" w:hAnsiTheme="minorHAnsi" w:cstheme="minorHAnsi"/>
          <w:sz w:val="18"/>
          <w:szCs w:val="18"/>
        </w:rPr>
        <w:t xml:space="preserve"> and</w:t>
      </w:r>
      <w:r w:rsidR="00800E16" w:rsidRPr="00800E16">
        <w:rPr>
          <w:rFonts w:asciiTheme="minorHAnsi" w:hAnsiTheme="minorHAnsi" w:cstheme="minorHAnsi"/>
          <w:sz w:val="18"/>
          <w:szCs w:val="18"/>
        </w:rPr>
        <w:t xml:space="preserve"> are from Indigenous business registries (Supply Nation registry, ICN Gateway data, Victorian Aboriginal Business Directory or the ORIC database)</w:t>
      </w:r>
      <w:r w:rsidR="00BF61DA">
        <w:rPr>
          <w:rFonts w:asciiTheme="minorHAnsi" w:hAnsiTheme="minorHAnsi" w:cstheme="minorHAnsi"/>
          <w:sz w:val="18"/>
          <w:szCs w:val="18"/>
        </w:rPr>
        <w:t xml:space="preserve">) </w:t>
      </w:r>
      <w:r w:rsidRPr="00726602">
        <w:rPr>
          <w:rFonts w:asciiTheme="minorHAnsi" w:hAnsiTheme="minorHAnsi" w:cstheme="minorHAnsi"/>
          <w:sz w:val="18"/>
          <w:szCs w:val="18"/>
        </w:rPr>
        <w:t xml:space="preserve">and ABS </w:t>
      </w:r>
      <w:r w:rsidR="000F7480" w:rsidRPr="00726602">
        <w:rPr>
          <w:rFonts w:asciiTheme="minorHAnsi" w:hAnsiTheme="minorHAnsi" w:cstheme="minorHAnsi"/>
          <w:sz w:val="18"/>
          <w:szCs w:val="18"/>
        </w:rPr>
        <w:t>Australian Bureau of Statistics, Private New Capital Expenditure and Expected Expenditure, Australia December 2020.</w:t>
      </w:r>
    </w:p>
    <w:p w14:paraId="11249482" w14:textId="77777777" w:rsidR="00E46C7F" w:rsidRDefault="00E46C7F" w:rsidP="00FD6DA8">
      <w:pPr>
        <w:rPr>
          <w:rFonts w:asciiTheme="minorHAnsi" w:hAnsiTheme="minorHAnsi" w:cstheme="minorHAnsi"/>
        </w:rPr>
      </w:pPr>
    </w:p>
    <w:p w14:paraId="26B33F8B" w14:textId="108063F6" w:rsidR="0015310B" w:rsidRPr="00CA59E2" w:rsidRDefault="0015310B" w:rsidP="00CA59E2">
      <w:pPr>
        <w:pStyle w:val="Heading2"/>
      </w:pPr>
      <w:r>
        <w:t>Where are Indigenous businesse</w:t>
      </w:r>
      <w:r w:rsidR="00192724">
        <w:t>s</w:t>
      </w:r>
      <w:r>
        <w:t>?</w:t>
      </w:r>
    </w:p>
    <w:p w14:paraId="36CDBCEF" w14:textId="005CAF4F" w:rsidR="004E4B01" w:rsidRDefault="00CA59E2" w:rsidP="009E5754">
      <w:pPr>
        <w:jc w:val="both"/>
        <w:rPr>
          <w:rFonts w:asciiTheme="minorHAnsi" w:hAnsiTheme="minorHAnsi" w:cstheme="minorHAnsi"/>
        </w:rPr>
      </w:pPr>
      <w:r>
        <w:rPr>
          <w:rFonts w:asciiTheme="minorHAnsi" w:hAnsiTheme="minorHAnsi" w:cstheme="minorHAnsi"/>
        </w:rPr>
        <w:t>Data on the</w:t>
      </w:r>
      <w:r w:rsidR="00427A11">
        <w:rPr>
          <w:rFonts w:asciiTheme="minorHAnsi" w:hAnsiTheme="minorHAnsi" w:cstheme="minorHAnsi"/>
        </w:rPr>
        <w:t xml:space="preserve"> distribution of Indigenous businesses </w:t>
      </w:r>
      <w:r w:rsidR="000F3127">
        <w:rPr>
          <w:rFonts w:asciiTheme="minorHAnsi" w:hAnsiTheme="minorHAnsi" w:cstheme="minorHAnsi"/>
        </w:rPr>
        <w:t xml:space="preserve">geographically is vital to </w:t>
      </w:r>
      <w:r>
        <w:rPr>
          <w:rFonts w:asciiTheme="minorHAnsi" w:hAnsiTheme="minorHAnsi" w:cstheme="minorHAnsi"/>
        </w:rPr>
        <w:t xml:space="preserve">understand </w:t>
      </w:r>
      <w:r w:rsidR="0046642B">
        <w:rPr>
          <w:rFonts w:asciiTheme="minorHAnsi" w:hAnsiTheme="minorHAnsi" w:cstheme="minorHAnsi"/>
        </w:rPr>
        <w:t xml:space="preserve">how the new </w:t>
      </w:r>
      <w:r w:rsidR="00363308">
        <w:rPr>
          <w:rFonts w:asciiTheme="minorHAnsi" w:hAnsiTheme="minorHAnsi" w:cstheme="minorHAnsi"/>
        </w:rPr>
        <w:t xml:space="preserve">economic opportunities </w:t>
      </w:r>
      <w:r w:rsidR="006E0479">
        <w:rPr>
          <w:rFonts w:asciiTheme="minorHAnsi" w:hAnsiTheme="minorHAnsi" w:cstheme="minorHAnsi"/>
        </w:rPr>
        <w:t xml:space="preserve">afforded </w:t>
      </w:r>
      <w:r w:rsidR="00363308">
        <w:rPr>
          <w:rFonts w:asciiTheme="minorHAnsi" w:hAnsiTheme="minorHAnsi" w:cstheme="minorHAnsi"/>
        </w:rPr>
        <w:t>Indigenous people from the sector’s growth are being shared.</w:t>
      </w:r>
      <w:r w:rsidR="009D36FF">
        <w:rPr>
          <w:rFonts w:asciiTheme="minorHAnsi" w:hAnsiTheme="minorHAnsi" w:cstheme="minorHAnsi"/>
        </w:rPr>
        <w:t xml:space="preserve"> </w:t>
      </w:r>
      <w:r w:rsidR="0084475A">
        <w:rPr>
          <w:rFonts w:asciiTheme="minorHAnsi" w:hAnsiTheme="minorHAnsi" w:cstheme="minorHAnsi"/>
        </w:rPr>
        <w:t xml:space="preserve">Reflecting the value of </w:t>
      </w:r>
      <w:r w:rsidR="00AD71C3">
        <w:rPr>
          <w:rFonts w:asciiTheme="minorHAnsi" w:hAnsiTheme="minorHAnsi" w:cstheme="minorHAnsi"/>
        </w:rPr>
        <w:t xml:space="preserve">Indigenous businesses to regional and remote communities, we estimate that </w:t>
      </w:r>
      <w:r w:rsidR="00FC3227" w:rsidRPr="00CE315D">
        <w:rPr>
          <w:rFonts w:asciiTheme="minorHAnsi" w:hAnsiTheme="minorHAnsi" w:cstheme="minorHAnsi"/>
          <w:b/>
          <w:bCs/>
        </w:rPr>
        <w:t xml:space="preserve">58% of Indigenous businesses </w:t>
      </w:r>
      <w:r w:rsidR="00176267" w:rsidRPr="00CE315D">
        <w:rPr>
          <w:rFonts w:asciiTheme="minorHAnsi" w:hAnsiTheme="minorHAnsi" w:cstheme="minorHAnsi"/>
          <w:b/>
          <w:bCs/>
        </w:rPr>
        <w:t xml:space="preserve">in I-BLADE </w:t>
      </w:r>
      <w:r w:rsidR="00FC3227" w:rsidRPr="00CE315D">
        <w:rPr>
          <w:rFonts w:asciiTheme="minorHAnsi" w:hAnsiTheme="minorHAnsi" w:cstheme="minorHAnsi"/>
          <w:b/>
          <w:bCs/>
        </w:rPr>
        <w:t>are located outside of major cities — 32% are regional and 26% in remote locations</w:t>
      </w:r>
      <w:r w:rsidR="00011B3B" w:rsidRPr="00CE315D">
        <w:rPr>
          <w:rFonts w:asciiTheme="minorHAnsi" w:hAnsiTheme="minorHAnsi" w:cstheme="minorHAnsi"/>
          <w:b/>
          <w:bCs/>
        </w:rPr>
        <w:t xml:space="preserve">. This compares with the non-Indigenous sector where </w:t>
      </w:r>
      <w:r w:rsidR="00385751" w:rsidRPr="00CE315D">
        <w:rPr>
          <w:rFonts w:asciiTheme="minorHAnsi" w:hAnsiTheme="minorHAnsi" w:cstheme="minorHAnsi"/>
          <w:b/>
          <w:bCs/>
        </w:rPr>
        <w:t xml:space="preserve">most </w:t>
      </w:r>
      <w:r w:rsidR="00176267" w:rsidRPr="00CE315D">
        <w:rPr>
          <w:rFonts w:asciiTheme="minorHAnsi" w:hAnsiTheme="minorHAnsi" w:cstheme="minorHAnsi"/>
          <w:b/>
          <w:bCs/>
        </w:rPr>
        <w:t>businesses are in major cities (74%).</w:t>
      </w:r>
      <w:r w:rsidR="00176267">
        <w:rPr>
          <w:rFonts w:asciiTheme="minorHAnsi" w:hAnsiTheme="minorHAnsi" w:cstheme="minorHAnsi"/>
        </w:rPr>
        <w:t xml:space="preserve"> </w:t>
      </w:r>
    </w:p>
    <w:p w14:paraId="63CF3027" w14:textId="77777777" w:rsidR="004E4B01" w:rsidRDefault="004E4B01" w:rsidP="009E5754">
      <w:pPr>
        <w:jc w:val="both"/>
        <w:rPr>
          <w:rFonts w:asciiTheme="minorHAnsi" w:hAnsiTheme="minorHAnsi" w:cstheme="minorHAnsi"/>
        </w:rPr>
      </w:pPr>
    </w:p>
    <w:p w14:paraId="202C4574" w14:textId="5990C621" w:rsidR="0015310B" w:rsidRDefault="00B72542" w:rsidP="009E5754">
      <w:pPr>
        <w:jc w:val="both"/>
        <w:rPr>
          <w:rFonts w:asciiTheme="minorHAnsi" w:hAnsiTheme="minorHAnsi" w:cstheme="minorHAnsi"/>
        </w:rPr>
      </w:pPr>
      <w:r>
        <w:rPr>
          <w:rFonts w:asciiTheme="minorHAnsi" w:hAnsiTheme="minorHAnsi" w:cstheme="minorHAnsi"/>
        </w:rPr>
        <w:t>Interestingly,</w:t>
      </w:r>
      <w:r w:rsidR="000F0CBD">
        <w:rPr>
          <w:rFonts w:asciiTheme="minorHAnsi" w:hAnsiTheme="minorHAnsi" w:cstheme="minorHAnsi"/>
        </w:rPr>
        <w:t xml:space="preserve"> according to I-BLADE,</w:t>
      </w:r>
      <w:r>
        <w:rPr>
          <w:rFonts w:asciiTheme="minorHAnsi" w:hAnsiTheme="minorHAnsi" w:cstheme="minorHAnsi"/>
        </w:rPr>
        <w:t xml:space="preserve"> </w:t>
      </w:r>
      <w:r w:rsidR="000F0CBD" w:rsidRPr="00DC6FFE">
        <w:rPr>
          <w:rFonts w:asciiTheme="minorHAnsi" w:hAnsiTheme="minorHAnsi" w:cstheme="minorHAnsi"/>
          <w:b/>
          <w:bCs/>
        </w:rPr>
        <w:t xml:space="preserve">Indigenous </w:t>
      </w:r>
      <w:r w:rsidR="00117CB1" w:rsidRPr="00DC6FFE">
        <w:rPr>
          <w:rFonts w:asciiTheme="minorHAnsi" w:hAnsiTheme="minorHAnsi" w:cstheme="minorHAnsi"/>
          <w:b/>
          <w:bCs/>
        </w:rPr>
        <w:t>businesses</w:t>
      </w:r>
      <w:r w:rsidR="00B04465" w:rsidRPr="00DC6FFE">
        <w:rPr>
          <w:rFonts w:asciiTheme="minorHAnsi" w:hAnsiTheme="minorHAnsi" w:cstheme="minorHAnsi"/>
          <w:b/>
          <w:bCs/>
        </w:rPr>
        <w:t xml:space="preserve"> in</w:t>
      </w:r>
      <w:r w:rsidR="00117CB1" w:rsidRPr="00DC6FFE">
        <w:rPr>
          <w:rFonts w:asciiTheme="minorHAnsi" w:hAnsiTheme="minorHAnsi" w:cstheme="minorHAnsi"/>
          <w:b/>
          <w:bCs/>
        </w:rPr>
        <w:t xml:space="preserve"> remote areas</w:t>
      </w:r>
      <w:r w:rsidR="00B04465" w:rsidRPr="00DC6FFE">
        <w:rPr>
          <w:rFonts w:asciiTheme="minorHAnsi" w:hAnsiTheme="minorHAnsi" w:cstheme="minorHAnsi"/>
          <w:b/>
          <w:bCs/>
        </w:rPr>
        <w:t xml:space="preserve"> ‘punch above their weight’</w:t>
      </w:r>
      <w:r w:rsidR="00E85EC9" w:rsidRPr="00DC6FFE">
        <w:rPr>
          <w:rFonts w:asciiTheme="minorHAnsi" w:hAnsiTheme="minorHAnsi" w:cstheme="minorHAnsi"/>
          <w:b/>
          <w:bCs/>
        </w:rPr>
        <w:t>.</w:t>
      </w:r>
      <w:r w:rsidR="00E85EC9">
        <w:rPr>
          <w:rFonts w:asciiTheme="minorHAnsi" w:hAnsiTheme="minorHAnsi" w:cstheme="minorHAnsi"/>
        </w:rPr>
        <w:t xml:space="preserve"> D</w:t>
      </w:r>
      <w:r w:rsidR="00F45E5F">
        <w:rPr>
          <w:rFonts w:asciiTheme="minorHAnsi" w:hAnsiTheme="minorHAnsi" w:cstheme="minorHAnsi"/>
        </w:rPr>
        <w:t xml:space="preserve">espite </w:t>
      </w:r>
      <w:r w:rsidR="00487EAF">
        <w:rPr>
          <w:rFonts w:asciiTheme="minorHAnsi" w:hAnsiTheme="minorHAnsi" w:cstheme="minorHAnsi"/>
        </w:rPr>
        <w:t>only</w:t>
      </w:r>
      <w:r w:rsidR="00F45E5F">
        <w:rPr>
          <w:rFonts w:asciiTheme="minorHAnsi" w:hAnsiTheme="minorHAnsi" w:cstheme="minorHAnsi"/>
        </w:rPr>
        <w:t xml:space="preserve"> comprising 26% of all</w:t>
      </w:r>
      <w:r w:rsidR="002B4763">
        <w:rPr>
          <w:rFonts w:asciiTheme="minorHAnsi" w:hAnsiTheme="minorHAnsi" w:cstheme="minorHAnsi"/>
        </w:rPr>
        <w:t xml:space="preserve"> Indigenous</w:t>
      </w:r>
      <w:r w:rsidR="00F45E5F">
        <w:rPr>
          <w:rFonts w:asciiTheme="minorHAnsi" w:hAnsiTheme="minorHAnsi" w:cstheme="minorHAnsi"/>
        </w:rPr>
        <w:t xml:space="preserve"> businesses</w:t>
      </w:r>
      <w:r w:rsidR="00487EAF">
        <w:rPr>
          <w:rFonts w:asciiTheme="minorHAnsi" w:hAnsiTheme="minorHAnsi" w:cstheme="minorHAnsi"/>
        </w:rPr>
        <w:t>,</w:t>
      </w:r>
      <w:r w:rsidR="00B04465">
        <w:rPr>
          <w:rFonts w:asciiTheme="minorHAnsi" w:hAnsiTheme="minorHAnsi" w:cstheme="minorHAnsi"/>
        </w:rPr>
        <w:t xml:space="preserve"> they </w:t>
      </w:r>
      <w:r w:rsidR="00487EAF">
        <w:rPr>
          <w:rFonts w:asciiTheme="minorHAnsi" w:hAnsiTheme="minorHAnsi" w:cstheme="minorHAnsi"/>
        </w:rPr>
        <w:t xml:space="preserve">make-up </w:t>
      </w:r>
      <w:r w:rsidR="00F45E5F">
        <w:rPr>
          <w:rFonts w:asciiTheme="minorHAnsi" w:hAnsiTheme="minorHAnsi" w:cstheme="minorHAnsi"/>
        </w:rPr>
        <w:t xml:space="preserve">34% of total gross income </w:t>
      </w:r>
      <w:r w:rsidR="00B04465">
        <w:rPr>
          <w:rFonts w:asciiTheme="minorHAnsi" w:hAnsiTheme="minorHAnsi" w:cstheme="minorHAnsi"/>
        </w:rPr>
        <w:t xml:space="preserve">and </w:t>
      </w:r>
      <w:r w:rsidR="00816B90">
        <w:rPr>
          <w:rFonts w:asciiTheme="minorHAnsi" w:hAnsiTheme="minorHAnsi" w:cstheme="minorHAnsi"/>
        </w:rPr>
        <w:t>37% of all employment</w:t>
      </w:r>
      <w:r w:rsidR="002B4763">
        <w:rPr>
          <w:rFonts w:asciiTheme="minorHAnsi" w:hAnsiTheme="minorHAnsi" w:cstheme="minorHAnsi"/>
        </w:rPr>
        <w:t xml:space="preserve"> for the sector (</w:t>
      </w:r>
      <w:r w:rsidR="00A151C1">
        <w:rPr>
          <w:rFonts w:asciiTheme="minorHAnsi" w:hAnsiTheme="minorHAnsi" w:cstheme="minorHAnsi"/>
        </w:rPr>
        <w:t xml:space="preserve">14,030 jobs in total). </w:t>
      </w:r>
      <w:r w:rsidR="00956990">
        <w:rPr>
          <w:rFonts w:asciiTheme="minorHAnsi" w:hAnsiTheme="minorHAnsi" w:cstheme="minorHAnsi"/>
        </w:rPr>
        <w:t xml:space="preserve">This is consistent with </w:t>
      </w:r>
      <w:r w:rsidR="00E85EC9">
        <w:rPr>
          <w:rFonts w:asciiTheme="minorHAnsi" w:hAnsiTheme="minorHAnsi" w:cstheme="minorHAnsi"/>
        </w:rPr>
        <w:t xml:space="preserve">the conclusion above that </w:t>
      </w:r>
      <w:r w:rsidR="00956990">
        <w:rPr>
          <w:rFonts w:asciiTheme="minorHAnsi" w:hAnsiTheme="minorHAnsi" w:cstheme="minorHAnsi"/>
        </w:rPr>
        <w:t xml:space="preserve">Indigenous businesses </w:t>
      </w:r>
      <w:r w:rsidR="00E85EC9">
        <w:rPr>
          <w:rFonts w:asciiTheme="minorHAnsi" w:hAnsiTheme="minorHAnsi" w:cstheme="minorHAnsi"/>
        </w:rPr>
        <w:t>are</w:t>
      </w:r>
      <w:r w:rsidR="00956990">
        <w:rPr>
          <w:rFonts w:asciiTheme="minorHAnsi" w:hAnsiTheme="minorHAnsi" w:cstheme="minorHAnsi"/>
        </w:rPr>
        <w:t xml:space="preserve"> larger on average in remote areas</w:t>
      </w:r>
      <w:r w:rsidR="002323CA">
        <w:rPr>
          <w:rFonts w:asciiTheme="minorHAnsi" w:hAnsiTheme="minorHAnsi" w:cstheme="minorHAnsi"/>
        </w:rPr>
        <w:t>.</w:t>
      </w:r>
    </w:p>
    <w:p w14:paraId="220DB9FB" w14:textId="59F41D25" w:rsidR="00A9063F" w:rsidRDefault="00A9063F" w:rsidP="009E5754">
      <w:pPr>
        <w:jc w:val="both"/>
        <w:rPr>
          <w:rFonts w:asciiTheme="minorHAnsi" w:hAnsiTheme="minorHAnsi" w:cstheme="minorHAnsi"/>
        </w:rPr>
      </w:pPr>
    </w:p>
    <w:p w14:paraId="2B6D3416" w14:textId="7D62F1B5" w:rsidR="00A9063F" w:rsidRDefault="00A9063F" w:rsidP="00A9063F">
      <w:pPr>
        <w:jc w:val="both"/>
        <w:rPr>
          <w:rFonts w:asciiTheme="minorHAnsi" w:hAnsiTheme="minorHAnsi" w:cstheme="minorHAnsi"/>
        </w:rPr>
      </w:pPr>
      <w:r>
        <w:rPr>
          <w:rFonts w:asciiTheme="minorHAnsi" w:hAnsiTheme="minorHAnsi" w:cstheme="minorHAnsi"/>
        </w:rPr>
        <w:t xml:space="preserve">In terms of numbers across ABS Statistical Local Areas Level 4 (Figure 6), which are designed to reflect distinct labour markets within states and territories, </w:t>
      </w:r>
      <w:r w:rsidRPr="00CE315D">
        <w:rPr>
          <w:rFonts w:asciiTheme="minorHAnsi" w:hAnsiTheme="minorHAnsi" w:cstheme="minorHAnsi"/>
          <w:b/>
          <w:bCs/>
        </w:rPr>
        <w:t xml:space="preserve">the greatest concentration of Indigenous businesses is in outback Western Australia (northern half of WA) and outback Northern Territory, both with more than 200 businesses in 2017-18, mainly in the sectors of construction; business administration; professional, scientific, and technical services. </w:t>
      </w:r>
      <w:r>
        <w:rPr>
          <w:rFonts w:asciiTheme="minorHAnsi" w:hAnsiTheme="minorHAnsi" w:cstheme="minorHAnsi"/>
        </w:rPr>
        <w:t xml:space="preserve">Other areas of concentration that have </w:t>
      </w:r>
      <w:r w:rsidRPr="00CE315D">
        <w:rPr>
          <w:rFonts w:asciiTheme="minorHAnsi" w:hAnsiTheme="minorHAnsi" w:cstheme="minorHAnsi"/>
          <w:b/>
          <w:bCs/>
        </w:rPr>
        <w:t>more than 100 businesses in 2017-18 include Cairns, outback (western) Queensland and Darwin</w:t>
      </w:r>
      <w:r>
        <w:rPr>
          <w:rFonts w:asciiTheme="minorHAnsi" w:hAnsiTheme="minorHAnsi" w:cstheme="minorHAnsi"/>
        </w:rPr>
        <w:t xml:space="preserve">. Despite remote areas having the highest concentration of Indigenous business </w:t>
      </w:r>
      <w:r w:rsidR="0051159D">
        <w:rPr>
          <w:rFonts w:asciiTheme="minorHAnsi" w:hAnsiTheme="minorHAnsi" w:cstheme="minorHAnsi"/>
        </w:rPr>
        <w:t>numbers</w:t>
      </w:r>
      <w:r w:rsidR="00872CA6">
        <w:rPr>
          <w:rFonts w:asciiTheme="minorHAnsi" w:hAnsiTheme="minorHAnsi" w:cstheme="minorHAnsi"/>
        </w:rPr>
        <w:t>,</w:t>
      </w:r>
      <w:r>
        <w:rPr>
          <w:rFonts w:asciiTheme="minorHAnsi" w:hAnsiTheme="minorHAnsi" w:cstheme="minorHAnsi"/>
        </w:rPr>
        <w:t xml:space="preserve"> in</w:t>
      </w:r>
      <w:r w:rsidR="00872CA6">
        <w:rPr>
          <w:rFonts w:asciiTheme="minorHAnsi" w:hAnsiTheme="minorHAnsi" w:cstheme="minorHAnsi"/>
        </w:rPr>
        <w:t xml:space="preserve"> terms of</w:t>
      </w:r>
      <w:r>
        <w:rPr>
          <w:rFonts w:asciiTheme="minorHAnsi" w:hAnsiTheme="minorHAnsi" w:cstheme="minorHAnsi"/>
        </w:rPr>
        <w:t xml:space="preserve"> </w:t>
      </w:r>
      <w:r w:rsidR="00872CA6">
        <w:rPr>
          <w:rFonts w:asciiTheme="minorHAnsi" w:hAnsiTheme="minorHAnsi" w:cstheme="minorHAnsi"/>
        </w:rPr>
        <w:t xml:space="preserve">increase in </w:t>
      </w:r>
      <w:r>
        <w:rPr>
          <w:rFonts w:asciiTheme="minorHAnsi" w:hAnsiTheme="minorHAnsi" w:cstheme="minorHAnsi"/>
        </w:rPr>
        <w:t xml:space="preserve">businesses numbers </w:t>
      </w:r>
      <w:r w:rsidR="00872CA6">
        <w:rPr>
          <w:rFonts w:asciiTheme="minorHAnsi" w:hAnsiTheme="minorHAnsi" w:cstheme="minorHAnsi"/>
        </w:rPr>
        <w:t xml:space="preserve">this </w:t>
      </w:r>
      <w:r>
        <w:rPr>
          <w:rFonts w:asciiTheme="minorHAnsi" w:hAnsiTheme="minorHAnsi" w:cstheme="minorHAnsi"/>
        </w:rPr>
        <w:t>has been highest in major cities— 8</w:t>
      </w:r>
      <w:r w:rsidR="00BA6815">
        <w:rPr>
          <w:rFonts w:asciiTheme="minorHAnsi" w:hAnsiTheme="minorHAnsi" w:cstheme="minorHAnsi"/>
        </w:rPr>
        <w:t xml:space="preserve">% </w:t>
      </w:r>
      <w:r>
        <w:rPr>
          <w:rFonts w:asciiTheme="minorHAnsi" w:hAnsiTheme="minorHAnsi" w:cstheme="minorHAnsi"/>
        </w:rPr>
        <w:t>growth per year on average compared to 2</w:t>
      </w:r>
      <w:r w:rsidR="00BA6815">
        <w:rPr>
          <w:rFonts w:asciiTheme="minorHAnsi" w:hAnsiTheme="minorHAnsi" w:cstheme="minorHAnsi"/>
        </w:rPr>
        <w:t xml:space="preserve">% </w:t>
      </w:r>
      <w:r>
        <w:rPr>
          <w:rFonts w:asciiTheme="minorHAnsi" w:hAnsiTheme="minorHAnsi" w:cstheme="minorHAnsi"/>
        </w:rPr>
        <w:t>in remote and 3.7</w:t>
      </w:r>
      <w:r w:rsidR="00BA6815">
        <w:rPr>
          <w:rFonts w:asciiTheme="minorHAnsi" w:hAnsiTheme="minorHAnsi" w:cstheme="minorHAnsi"/>
        </w:rPr>
        <w:t xml:space="preserve">% </w:t>
      </w:r>
      <w:r>
        <w:rPr>
          <w:rFonts w:asciiTheme="minorHAnsi" w:hAnsiTheme="minorHAnsi" w:cstheme="minorHAnsi"/>
        </w:rPr>
        <w:t xml:space="preserve">in regional areas. </w:t>
      </w:r>
    </w:p>
    <w:p w14:paraId="1773EE43" w14:textId="77777777" w:rsidR="00A9063F" w:rsidRDefault="00A9063F" w:rsidP="00A9063F">
      <w:pPr>
        <w:jc w:val="both"/>
        <w:rPr>
          <w:rFonts w:asciiTheme="minorHAnsi" w:hAnsiTheme="minorHAnsi" w:cstheme="minorHAnsi"/>
        </w:rPr>
      </w:pPr>
    </w:p>
    <w:p w14:paraId="050EFF85" w14:textId="6D5DCED7" w:rsidR="00A9063F" w:rsidRPr="002323CA" w:rsidRDefault="00A9063F" w:rsidP="009E5754">
      <w:pPr>
        <w:jc w:val="both"/>
        <w:rPr>
          <w:rFonts w:asciiTheme="minorHAnsi" w:hAnsiTheme="minorHAnsi" w:cstheme="minorHAnsi"/>
        </w:rPr>
      </w:pPr>
      <w:r>
        <w:rPr>
          <w:rFonts w:asciiTheme="minorHAnsi" w:hAnsiTheme="minorHAnsi" w:cstheme="minorHAnsi"/>
        </w:rPr>
        <w:t>It is important to stress that</w:t>
      </w:r>
      <w:r w:rsidR="0051159D">
        <w:rPr>
          <w:rFonts w:asciiTheme="minorHAnsi" w:hAnsiTheme="minorHAnsi" w:cstheme="minorHAnsi"/>
        </w:rPr>
        <w:t xml:space="preserve"> in</w:t>
      </w:r>
      <w:r>
        <w:rPr>
          <w:rFonts w:asciiTheme="minorHAnsi" w:hAnsiTheme="minorHAnsi" w:cstheme="minorHAnsi"/>
        </w:rPr>
        <w:t xml:space="preserve"> I-BLADE</w:t>
      </w:r>
      <w:r w:rsidR="00B50DF3">
        <w:rPr>
          <w:rFonts w:asciiTheme="minorHAnsi" w:hAnsiTheme="minorHAnsi" w:cstheme="minorHAnsi"/>
        </w:rPr>
        <w:t xml:space="preserve"> 1.0</w:t>
      </w:r>
      <w:r>
        <w:rPr>
          <w:rFonts w:asciiTheme="minorHAnsi" w:hAnsiTheme="minorHAnsi" w:cstheme="minorHAnsi"/>
        </w:rPr>
        <w:t xml:space="preserve">, business location is based on business postal address </w:t>
      </w:r>
      <w:r w:rsidR="00872CA6">
        <w:rPr>
          <w:rFonts w:asciiTheme="minorHAnsi" w:hAnsiTheme="minorHAnsi" w:cstheme="minorHAnsi"/>
        </w:rPr>
        <w:t xml:space="preserve">and this cannot be mistaken for </w:t>
      </w:r>
      <w:r>
        <w:rPr>
          <w:rFonts w:asciiTheme="minorHAnsi" w:hAnsiTheme="minorHAnsi" w:cstheme="minorHAnsi"/>
        </w:rPr>
        <w:t xml:space="preserve">the area where the business mostly operates. To the extent that some businesses that operate outside of major cities may have metropolitan head office addresses, then </w:t>
      </w:r>
      <w:r>
        <w:rPr>
          <w:rFonts w:asciiTheme="minorHAnsi" w:hAnsiTheme="minorHAnsi" w:cstheme="minorHAnsi"/>
        </w:rPr>
        <w:lastRenderedPageBreak/>
        <w:t xml:space="preserve">this would under-estimate the true importance of Indigenous businesses to regional and remote areas. </w:t>
      </w:r>
    </w:p>
    <w:p w14:paraId="2003ABDE" w14:textId="77777777" w:rsidR="0015310B" w:rsidRDefault="0015310B" w:rsidP="00FD6DA8">
      <w:pPr>
        <w:rPr>
          <w:b/>
          <w:bCs/>
        </w:rPr>
      </w:pPr>
    </w:p>
    <w:p w14:paraId="547F72A4" w14:textId="73353E8F" w:rsidR="000F7480" w:rsidRPr="00B26F3D" w:rsidRDefault="000E1B52" w:rsidP="00FD6DA8">
      <w:pPr>
        <w:rPr>
          <w:rFonts w:asciiTheme="minorHAnsi" w:hAnsiTheme="minorHAnsi" w:cstheme="minorHAnsi"/>
          <w:b/>
          <w:bCs/>
        </w:rPr>
      </w:pPr>
      <w:r w:rsidRPr="00B26F3D">
        <w:rPr>
          <w:rFonts w:asciiTheme="minorHAnsi" w:hAnsiTheme="minorHAnsi" w:cstheme="minorHAnsi"/>
          <w:b/>
          <w:bCs/>
        </w:rPr>
        <w:t xml:space="preserve">Figure 6: Number of Indigenous businesses by ABS Statistical Local </w:t>
      </w:r>
      <w:r w:rsidR="00DE34F7" w:rsidRPr="00B26F3D">
        <w:rPr>
          <w:rFonts w:asciiTheme="minorHAnsi" w:hAnsiTheme="minorHAnsi" w:cstheme="minorHAnsi"/>
          <w:b/>
          <w:bCs/>
        </w:rPr>
        <w:t>A</w:t>
      </w:r>
      <w:r w:rsidRPr="00B26F3D">
        <w:rPr>
          <w:rFonts w:asciiTheme="minorHAnsi" w:hAnsiTheme="minorHAnsi" w:cstheme="minorHAnsi"/>
          <w:b/>
          <w:bCs/>
        </w:rPr>
        <w:t>reas 4</w:t>
      </w:r>
      <w:r w:rsidR="00CB1EA0" w:rsidRPr="00B26F3D">
        <w:rPr>
          <w:rFonts w:asciiTheme="minorHAnsi" w:hAnsiTheme="minorHAnsi" w:cstheme="minorHAnsi"/>
          <w:b/>
          <w:bCs/>
        </w:rPr>
        <w:t>, 2006</w:t>
      </w:r>
      <w:r w:rsidR="00B26F3D">
        <w:rPr>
          <w:rFonts w:asciiTheme="minorHAnsi" w:hAnsiTheme="minorHAnsi" w:cstheme="minorHAnsi"/>
          <w:b/>
          <w:bCs/>
        </w:rPr>
        <w:t>;</w:t>
      </w:r>
      <w:r w:rsidR="00DC6FFE" w:rsidRPr="00B26F3D">
        <w:rPr>
          <w:rFonts w:asciiTheme="minorHAnsi" w:hAnsiTheme="minorHAnsi" w:cstheme="minorHAnsi"/>
          <w:b/>
          <w:bCs/>
        </w:rPr>
        <w:t xml:space="preserve"> 2009</w:t>
      </w:r>
      <w:r w:rsidR="00A86BEC">
        <w:rPr>
          <w:rFonts w:asciiTheme="minorHAnsi" w:hAnsiTheme="minorHAnsi" w:cstheme="minorHAnsi"/>
          <w:b/>
          <w:bCs/>
        </w:rPr>
        <w:t>;</w:t>
      </w:r>
      <w:r w:rsidR="00DC6FFE" w:rsidRPr="00B26F3D">
        <w:rPr>
          <w:rFonts w:asciiTheme="minorHAnsi" w:hAnsiTheme="minorHAnsi" w:cstheme="minorHAnsi"/>
          <w:b/>
          <w:bCs/>
        </w:rPr>
        <w:t xml:space="preserve"> 2012</w:t>
      </w:r>
      <w:r w:rsidR="00A86BEC">
        <w:rPr>
          <w:rFonts w:asciiTheme="minorHAnsi" w:hAnsiTheme="minorHAnsi" w:cstheme="minorHAnsi"/>
          <w:b/>
          <w:bCs/>
        </w:rPr>
        <w:t>;</w:t>
      </w:r>
      <w:r w:rsidR="00DC6FFE" w:rsidRPr="00B26F3D">
        <w:rPr>
          <w:rFonts w:asciiTheme="minorHAnsi" w:hAnsiTheme="minorHAnsi" w:cstheme="minorHAnsi"/>
          <w:b/>
          <w:bCs/>
        </w:rPr>
        <w:t xml:space="preserve"> 2015</w:t>
      </w:r>
      <w:r w:rsidR="00A86BEC">
        <w:rPr>
          <w:rFonts w:asciiTheme="minorHAnsi" w:hAnsiTheme="minorHAnsi" w:cstheme="minorHAnsi"/>
          <w:b/>
          <w:bCs/>
        </w:rPr>
        <w:t>;</w:t>
      </w:r>
      <w:r w:rsidR="00DC6FFE" w:rsidRPr="00B26F3D">
        <w:rPr>
          <w:rFonts w:asciiTheme="minorHAnsi" w:hAnsiTheme="minorHAnsi" w:cstheme="minorHAnsi"/>
          <w:b/>
          <w:bCs/>
        </w:rPr>
        <w:t xml:space="preserve"> 2018</w:t>
      </w:r>
    </w:p>
    <w:p w14:paraId="11BEDC1A" w14:textId="084F5A20" w:rsidR="004E260F" w:rsidRDefault="000E1B52">
      <w:pPr>
        <w:rPr>
          <w:rFonts w:asciiTheme="majorHAnsi" w:eastAsiaTheme="majorEastAsia" w:hAnsiTheme="majorHAnsi" w:cstheme="majorBidi"/>
          <w:color w:val="2F5496" w:themeColor="accent1" w:themeShade="BF"/>
          <w:sz w:val="32"/>
          <w:szCs w:val="32"/>
        </w:rPr>
      </w:pPr>
      <w:r>
        <w:rPr>
          <w:noProof/>
          <w:lang w:val="en-GB" w:eastAsia="en-GB"/>
        </w:rPr>
        <w:drawing>
          <wp:inline distT="0" distB="0" distL="0" distR="0" wp14:anchorId="4B429860" wp14:editId="24024CA0">
            <wp:extent cx="5727700" cy="3528060"/>
            <wp:effectExtent l="0" t="0" r="635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14:paraId="78E3277F" w14:textId="5908D4D3" w:rsidR="00800E16" w:rsidRDefault="00800E16">
      <w:pPr>
        <w:rPr>
          <w:rFonts w:asciiTheme="majorHAnsi" w:eastAsiaTheme="majorEastAsia" w:hAnsiTheme="majorHAnsi" w:cstheme="majorBidi"/>
          <w:color w:val="2F5496" w:themeColor="accent1" w:themeShade="BF"/>
          <w:sz w:val="32"/>
          <w:szCs w:val="32"/>
        </w:rPr>
      </w:pPr>
      <w:r w:rsidRPr="00E36748">
        <w:rPr>
          <w:rFonts w:asciiTheme="minorHAnsi" w:hAnsiTheme="minorHAnsi" w:cstheme="minorHAnsi"/>
          <w:sz w:val="20"/>
          <w:szCs w:val="20"/>
        </w:rPr>
        <w:t xml:space="preserve">Source: I-BLADE </w:t>
      </w:r>
      <w:r>
        <w:rPr>
          <w:rFonts w:asciiTheme="minorHAnsi" w:hAnsiTheme="minorHAnsi" w:cstheme="minorHAnsi"/>
          <w:sz w:val="20"/>
          <w:szCs w:val="20"/>
        </w:rPr>
        <w:t xml:space="preserve">1.0, restricted to businesses that are active for tax purposes. </w:t>
      </w:r>
      <w:r w:rsidRPr="00800E16">
        <w:rPr>
          <w:rFonts w:asciiTheme="minorHAnsi" w:hAnsiTheme="minorHAnsi" w:cstheme="minorHAnsi"/>
          <w:sz w:val="18"/>
          <w:szCs w:val="18"/>
        </w:rPr>
        <w:t>Indigenous businesses are from Indigenous business registries (Supply Nation registry, ICN Gateway data, Victorian Aboriginal Business Directory or the ORIC database).</w:t>
      </w:r>
    </w:p>
    <w:p w14:paraId="1C8666C9" w14:textId="5326C776" w:rsidR="00DC2B2E" w:rsidRPr="0089341B" w:rsidRDefault="00A9063F" w:rsidP="00BB407E">
      <w:pPr>
        <w:pStyle w:val="Heading1"/>
        <w:rPr>
          <w:sz w:val="26"/>
          <w:szCs w:val="26"/>
        </w:rPr>
      </w:pPr>
      <w:r>
        <w:t>Diversity of the Indigenous Business Sector</w:t>
      </w:r>
    </w:p>
    <w:p w14:paraId="6E07D6CE" w14:textId="41AA6EE2" w:rsidR="00244991" w:rsidRDefault="00700385" w:rsidP="009E5754">
      <w:pPr>
        <w:jc w:val="both"/>
        <w:rPr>
          <w:rFonts w:asciiTheme="minorHAnsi" w:hAnsiTheme="minorHAnsi" w:cstheme="minorHAnsi"/>
        </w:rPr>
      </w:pPr>
      <w:r>
        <w:rPr>
          <w:rFonts w:asciiTheme="minorHAnsi" w:hAnsiTheme="minorHAnsi" w:cstheme="minorHAnsi"/>
        </w:rPr>
        <w:t xml:space="preserve">The diversity of Indigenous businesses is an indication of the </w:t>
      </w:r>
      <w:r w:rsidR="00073A0E">
        <w:rPr>
          <w:rFonts w:asciiTheme="minorHAnsi" w:hAnsiTheme="minorHAnsi" w:cstheme="minorHAnsi"/>
        </w:rPr>
        <w:t xml:space="preserve">resilience </w:t>
      </w:r>
      <w:r w:rsidR="00EF19EE">
        <w:rPr>
          <w:rFonts w:asciiTheme="minorHAnsi" w:hAnsiTheme="minorHAnsi" w:cstheme="minorHAnsi"/>
        </w:rPr>
        <w:t xml:space="preserve">of the sector </w:t>
      </w:r>
      <w:r w:rsidR="00073A0E">
        <w:rPr>
          <w:rFonts w:asciiTheme="minorHAnsi" w:hAnsiTheme="minorHAnsi" w:cstheme="minorHAnsi"/>
        </w:rPr>
        <w:t xml:space="preserve">in being able to weather </w:t>
      </w:r>
      <w:r w:rsidR="001A285E">
        <w:rPr>
          <w:rFonts w:asciiTheme="minorHAnsi" w:hAnsiTheme="minorHAnsi" w:cstheme="minorHAnsi"/>
        </w:rPr>
        <w:t xml:space="preserve">economic </w:t>
      </w:r>
      <w:r w:rsidR="000774E4">
        <w:rPr>
          <w:rFonts w:asciiTheme="minorHAnsi" w:hAnsiTheme="minorHAnsi" w:cstheme="minorHAnsi"/>
        </w:rPr>
        <w:t>crosswinds</w:t>
      </w:r>
      <w:r w:rsidR="0017282D">
        <w:rPr>
          <w:rFonts w:asciiTheme="minorHAnsi" w:hAnsiTheme="minorHAnsi" w:cstheme="minorHAnsi"/>
        </w:rPr>
        <w:t>, such as exchange rate fluctuations and commodity price falls,</w:t>
      </w:r>
      <w:r w:rsidR="001A285E">
        <w:rPr>
          <w:rFonts w:asciiTheme="minorHAnsi" w:hAnsiTheme="minorHAnsi" w:cstheme="minorHAnsi"/>
        </w:rPr>
        <w:t xml:space="preserve"> </w:t>
      </w:r>
      <w:r w:rsidR="003F6EFB">
        <w:rPr>
          <w:rFonts w:asciiTheme="minorHAnsi" w:hAnsiTheme="minorHAnsi" w:cstheme="minorHAnsi"/>
        </w:rPr>
        <w:t xml:space="preserve">a gauge of the breadth of skills and professional networks of Indigenous entrepreneurs </w:t>
      </w:r>
      <w:r w:rsidR="001A285E">
        <w:rPr>
          <w:rFonts w:asciiTheme="minorHAnsi" w:hAnsiTheme="minorHAnsi" w:cstheme="minorHAnsi"/>
        </w:rPr>
        <w:t xml:space="preserve">as well as </w:t>
      </w:r>
      <w:r w:rsidR="00EF19EE">
        <w:rPr>
          <w:rFonts w:asciiTheme="minorHAnsi" w:hAnsiTheme="minorHAnsi" w:cstheme="minorHAnsi"/>
        </w:rPr>
        <w:t xml:space="preserve">a measure of the </w:t>
      </w:r>
      <w:r w:rsidR="001A285E">
        <w:rPr>
          <w:rFonts w:asciiTheme="minorHAnsi" w:hAnsiTheme="minorHAnsi" w:cstheme="minorHAnsi"/>
        </w:rPr>
        <w:t>range of services that</w:t>
      </w:r>
      <w:r w:rsidR="00EF19EE">
        <w:rPr>
          <w:rFonts w:asciiTheme="minorHAnsi" w:hAnsiTheme="minorHAnsi" w:cstheme="minorHAnsi"/>
        </w:rPr>
        <w:t xml:space="preserve"> it provides</w:t>
      </w:r>
      <w:r w:rsidR="001A285E">
        <w:rPr>
          <w:rFonts w:asciiTheme="minorHAnsi" w:hAnsiTheme="minorHAnsi" w:cstheme="minorHAnsi"/>
        </w:rPr>
        <w:t xml:space="preserve"> Indigenous people</w:t>
      </w:r>
      <w:r w:rsidR="005F439A">
        <w:rPr>
          <w:rFonts w:asciiTheme="minorHAnsi" w:hAnsiTheme="minorHAnsi" w:cstheme="minorHAnsi"/>
        </w:rPr>
        <w:t>, especially in remote communities.</w:t>
      </w:r>
    </w:p>
    <w:p w14:paraId="426C9CC8" w14:textId="40902AE0" w:rsidR="00C12398" w:rsidRDefault="00C12398" w:rsidP="009E5754">
      <w:pPr>
        <w:jc w:val="both"/>
        <w:rPr>
          <w:rFonts w:asciiTheme="minorHAnsi" w:hAnsiTheme="minorHAnsi" w:cstheme="minorHAnsi"/>
        </w:rPr>
      </w:pPr>
    </w:p>
    <w:p w14:paraId="7F6C7CE9" w14:textId="77777777" w:rsidR="00FB3592" w:rsidRDefault="00C12398" w:rsidP="00C12398">
      <w:pPr>
        <w:jc w:val="both"/>
        <w:rPr>
          <w:rFonts w:asciiTheme="minorHAnsi" w:hAnsiTheme="minorHAnsi" w:cstheme="minorHAnsi"/>
        </w:rPr>
      </w:pPr>
      <w:r>
        <w:rPr>
          <w:rFonts w:asciiTheme="minorHAnsi" w:hAnsiTheme="minorHAnsi" w:cstheme="minorHAnsi"/>
        </w:rPr>
        <w:t>To measure diversity, we generate a dissimilarity index that measures how different the sectoral composition of Indigenous businesses sector in I-BLADE is from the composition of all other businesses in major cities, regional areas, remote areas and overall.</w:t>
      </w:r>
      <w:r>
        <w:rPr>
          <w:rStyle w:val="FootnoteReference"/>
          <w:rFonts w:asciiTheme="minorHAnsi" w:hAnsiTheme="minorHAnsi" w:cstheme="minorHAnsi"/>
        </w:rPr>
        <w:footnoteReference w:id="6"/>
      </w:r>
      <w:r>
        <w:rPr>
          <w:rFonts w:asciiTheme="minorHAnsi" w:hAnsiTheme="minorHAnsi" w:cstheme="minorHAnsi"/>
        </w:rPr>
        <w:t xml:space="preserve"> These indices of dissimilarity range from 0 to 1, where 0 represents an Indigenous sectoral composition that exactly matches the composition of the rest of the businesses sector, while at the other extreme a measure of 1 represents sectoral composition that is highly concentrated and dissimilar to the rest of the businesses sector. </w:t>
      </w:r>
    </w:p>
    <w:p w14:paraId="41A2E237" w14:textId="77777777" w:rsidR="00FB3592" w:rsidRDefault="00FB3592" w:rsidP="00C12398">
      <w:pPr>
        <w:jc w:val="both"/>
        <w:rPr>
          <w:rFonts w:asciiTheme="minorHAnsi" w:hAnsiTheme="minorHAnsi" w:cstheme="minorHAnsi"/>
        </w:rPr>
      </w:pPr>
    </w:p>
    <w:p w14:paraId="7A818A61" w14:textId="1812EE2E" w:rsidR="00FB3592" w:rsidRDefault="00C12398" w:rsidP="00C12398">
      <w:pPr>
        <w:jc w:val="both"/>
        <w:rPr>
          <w:rFonts w:asciiTheme="minorHAnsi" w:hAnsiTheme="minorHAnsi" w:cstheme="minorHAnsi"/>
        </w:rPr>
      </w:pPr>
      <w:r>
        <w:rPr>
          <w:rFonts w:asciiTheme="minorHAnsi" w:hAnsiTheme="minorHAnsi" w:cstheme="minorHAnsi"/>
        </w:rPr>
        <w:t xml:space="preserve">The Indices of dissimilarity presented in Figure 7 suggest that in rural and remote areas, the composition of Indigenous businesses sector </w:t>
      </w:r>
      <w:r w:rsidR="00E40E95">
        <w:rPr>
          <w:rFonts w:asciiTheme="minorHAnsi" w:hAnsiTheme="minorHAnsi" w:cstheme="minorHAnsi"/>
        </w:rPr>
        <w:t xml:space="preserve">was </w:t>
      </w:r>
      <w:r>
        <w:rPr>
          <w:rFonts w:asciiTheme="minorHAnsi" w:hAnsiTheme="minorHAnsi" w:cstheme="minorHAnsi"/>
        </w:rPr>
        <w:t xml:space="preserve">quite different to that of non-Indigenous businesses in 2006. However, since 2006 these indices have fallen sharply suggesting that Indigenous business growth in these areas have been associated with sectoral diversification. </w:t>
      </w:r>
    </w:p>
    <w:p w14:paraId="0FF82B2E" w14:textId="77777777" w:rsidR="00CB51ED" w:rsidRDefault="00CB51ED" w:rsidP="00C12398">
      <w:pPr>
        <w:jc w:val="both"/>
        <w:rPr>
          <w:rFonts w:asciiTheme="minorHAnsi" w:hAnsiTheme="minorHAnsi" w:cstheme="minorHAnsi"/>
        </w:rPr>
      </w:pPr>
    </w:p>
    <w:p w14:paraId="1B889D7F" w14:textId="77777777" w:rsidR="00CB51ED" w:rsidRDefault="00CB51ED" w:rsidP="00CB51ED">
      <w:pPr>
        <w:rPr>
          <w:b/>
          <w:bCs/>
        </w:rPr>
      </w:pPr>
      <w:r w:rsidRPr="00916BF1">
        <w:rPr>
          <w:b/>
          <w:bCs/>
        </w:rPr>
        <w:t xml:space="preserve">Figure </w:t>
      </w:r>
      <w:r>
        <w:rPr>
          <w:b/>
          <w:bCs/>
        </w:rPr>
        <w:t>7</w:t>
      </w:r>
      <w:r w:rsidRPr="00916BF1">
        <w:rPr>
          <w:b/>
          <w:bCs/>
        </w:rPr>
        <w:t>:</w:t>
      </w:r>
      <w:r>
        <w:rPr>
          <w:b/>
          <w:bCs/>
        </w:rPr>
        <w:t xml:space="preserve"> Index of Indigenous businesses sectoral concentration relative to all other businesses</w:t>
      </w:r>
    </w:p>
    <w:p w14:paraId="2D393242" w14:textId="33D6B860" w:rsidR="00CB51ED" w:rsidRDefault="00CB51ED" w:rsidP="00C12398">
      <w:pPr>
        <w:jc w:val="both"/>
        <w:rPr>
          <w:rFonts w:asciiTheme="minorHAnsi" w:hAnsiTheme="minorHAnsi" w:cstheme="minorHAnsi"/>
        </w:rPr>
      </w:pPr>
      <w:r>
        <w:rPr>
          <w:noProof/>
          <w:lang w:val="en-GB" w:eastAsia="en-GB"/>
        </w:rPr>
        <w:drawing>
          <wp:inline distT="0" distB="0" distL="0" distR="0" wp14:anchorId="4F6C04AE" wp14:editId="37CE0256">
            <wp:extent cx="5727700" cy="2914703"/>
            <wp:effectExtent l="0" t="0" r="6350" b="0"/>
            <wp:docPr id="3" name="Chart 3">
              <a:extLst xmlns:a="http://schemas.openxmlformats.org/drawingml/2006/main">
                <a:ext uri="{FF2B5EF4-FFF2-40B4-BE49-F238E27FC236}">
                  <a16:creationId xmlns:a16="http://schemas.microsoft.com/office/drawing/2014/main" id="{86C60BD5-2883-4F68-B86A-9D574F06E0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67AA279" w14:textId="77777777" w:rsidR="00800E16" w:rsidRDefault="00CB51ED" w:rsidP="00CB51ED">
      <w:pPr>
        <w:rPr>
          <w:rFonts w:asciiTheme="minorHAnsi" w:hAnsiTheme="minorHAnsi" w:cstheme="minorHAnsi"/>
          <w:sz w:val="18"/>
          <w:szCs w:val="18"/>
        </w:rPr>
      </w:pPr>
      <w:r w:rsidRPr="00E36748">
        <w:rPr>
          <w:rFonts w:asciiTheme="minorHAnsi" w:hAnsiTheme="minorHAnsi" w:cstheme="minorHAnsi"/>
          <w:sz w:val="20"/>
          <w:szCs w:val="20"/>
        </w:rPr>
        <w:t>Source: I-BLADE</w:t>
      </w:r>
      <w:r w:rsidR="00B50DF3">
        <w:rPr>
          <w:rFonts w:asciiTheme="minorHAnsi" w:hAnsiTheme="minorHAnsi" w:cstheme="minorHAnsi"/>
          <w:sz w:val="20"/>
          <w:szCs w:val="20"/>
        </w:rPr>
        <w:t xml:space="preserve"> 1.0</w:t>
      </w:r>
      <w:r>
        <w:rPr>
          <w:rFonts w:asciiTheme="minorHAnsi" w:hAnsiTheme="minorHAnsi" w:cstheme="minorHAnsi"/>
          <w:sz w:val="20"/>
          <w:szCs w:val="20"/>
        </w:rPr>
        <w:t xml:space="preserve">, restricted to businesses that are active for tax purposes. </w:t>
      </w:r>
      <w:r w:rsidR="00800E16" w:rsidRPr="00800E16">
        <w:rPr>
          <w:rFonts w:asciiTheme="minorHAnsi" w:hAnsiTheme="minorHAnsi" w:cstheme="minorHAnsi"/>
          <w:sz w:val="18"/>
          <w:szCs w:val="18"/>
        </w:rPr>
        <w:t>Indigenous businesses are from Indigenous business registries (Supply Nation registry, ICN Gateway data, Victorian Aboriginal Business Directory or the ORIC database).</w:t>
      </w:r>
    </w:p>
    <w:p w14:paraId="56D2D7B0" w14:textId="7C474F0F" w:rsidR="00B50DF3" w:rsidRPr="005E484F" w:rsidRDefault="00CB51ED" w:rsidP="00CB51ED">
      <w:pPr>
        <w:rPr>
          <w:rFonts w:asciiTheme="minorHAnsi" w:hAnsiTheme="minorHAnsi" w:cstheme="minorHAnsi"/>
          <w:sz w:val="18"/>
          <w:szCs w:val="18"/>
        </w:rPr>
      </w:pPr>
      <w:r>
        <w:rPr>
          <w:rFonts w:asciiTheme="minorHAnsi" w:hAnsiTheme="minorHAnsi" w:cstheme="minorHAnsi"/>
          <w:sz w:val="20"/>
          <w:szCs w:val="20"/>
        </w:rPr>
        <w:t xml:space="preserve">Note: </w:t>
      </w:r>
      <w:r w:rsidR="000E3040">
        <w:rPr>
          <w:rFonts w:asciiTheme="minorHAnsi" w:hAnsiTheme="minorHAnsi" w:cstheme="minorHAnsi"/>
          <w:sz w:val="20"/>
          <w:szCs w:val="20"/>
        </w:rPr>
        <w:t xml:space="preserve">The </w:t>
      </w:r>
      <w:r w:rsidR="000E3040">
        <w:rPr>
          <w:rFonts w:asciiTheme="minorHAnsi" w:hAnsiTheme="minorHAnsi" w:cstheme="minorHAnsi"/>
          <w:sz w:val="18"/>
          <w:szCs w:val="18"/>
        </w:rPr>
        <w:t>d</w:t>
      </w:r>
      <w:r w:rsidR="000E3040" w:rsidRPr="00726602">
        <w:rPr>
          <w:rFonts w:asciiTheme="minorHAnsi" w:hAnsiTheme="minorHAnsi" w:cstheme="minorHAnsi"/>
          <w:sz w:val="18"/>
          <w:szCs w:val="18"/>
        </w:rPr>
        <w:t xml:space="preserve">issimilarity </w:t>
      </w:r>
      <w:r w:rsidRPr="00726602">
        <w:rPr>
          <w:rFonts w:asciiTheme="minorHAnsi" w:hAnsiTheme="minorHAnsi" w:cstheme="minorHAnsi"/>
          <w:sz w:val="18"/>
          <w:szCs w:val="18"/>
        </w:rPr>
        <w:t xml:space="preserve">Index measures how different the sectoral composition of Indigenous businesses are from non-Indigenous businesses. The index varies between 0 and 1, where 0 means that the sectoral composition of Indigenous businesses is exactly the same as Indigenous businesses and 1 is that they are </w:t>
      </w:r>
      <w:r w:rsidR="000E3040">
        <w:rPr>
          <w:rFonts w:asciiTheme="minorHAnsi" w:hAnsiTheme="minorHAnsi" w:cstheme="minorHAnsi"/>
          <w:sz w:val="18"/>
          <w:szCs w:val="18"/>
        </w:rPr>
        <w:t>completely</w:t>
      </w:r>
      <w:r w:rsidR="000E3040" w:rsidRPr="00726602">
        <w:rPr>
          <w:rFonts w:asciiTheme="minorHAnsi" w:hAnsiTheme="minorHAnsi" w:cstheme="minorHAnsi"/>
          <w:sz w:val="18"/>
          <w:szCs w:val="18"/>
        </w:rPr>
        <w:t xml:space="preserve"> </w:t>
      </w:r>
      <w:r w:rsidRPr="00726602">
        <w:rPr>
          <w:rFonts w:asciiTheme="minorHAnsi" w:hAnsiTheme="minorHAnsi" w:cstheme="minorHAnsi"/>
          <w:sz w:val="18"/>
          <w:szCs w:val="18"/>
        </w:rPr>
        <w:t>different.</w:t>
      </w:r>
    </w:p>
    <w:p w14:paraId="4CBE3CFC" w14:textId="77777777" w:rsidR="00CB51ED" w:rsidRDefault="00CB51ED" w:rsidP="00C12398">
      <w:pPr>
        <w:jc w:val="both"/>
        <w:rPr>
          <w:rFonts w:asciiTheme="minorHAnsi" w:hAnsiTheme="minorHAnsi" w:cstheme="minorHAnsi"/>
        </w:rPr>
      </w:pPr>
    </w:p>
    <w:p w14:paraId="6F8EE23A" w14:textId="39102DBE" w:rsidR="008C4FD6" w:rsidRPr="002B1666" w:rsidRDefault="00C12398" w:rsidP="00DC2B2E">
      <w:pPr>
        <w:rPr>
          <w:rFonts w:asciiTheme="minorHAnsi" w:hAnsiTheme="minorHAnsi" w:cstheme="minorHAnsi"/>
        </w:rPr>
      </w:pPr>
      <w:r>
        <w:rPr>
          <w:rFonts w:asciiTheme="minorHAnsi" w:hAnsiTheme="minorHAnsi" w:cstheme="minorHAnsi"/>
        </w:rPr>
        <w:t xml:space="preserve">In major cities where the numbers of businesses have grown the most, we have observed a slight increase in the dissimilarity index, suggesting that growth in numbers has tended to be mostly concentrated in existing sectors. By 2017-18, we see no difference in the dissimilarity index of Indigenous businesses in major cities and in remote areas. The interpretation is that </w:t>
      </w:r>
      <w:r w:rsidRPr="00CE315D">
        <w:rPr>
          <w:rFonts w:asciiTheme="minorHAnsi" w:hAnsiTheme="minorHAnsi" w:cstheme="minorHAnsi"/>
          <w:b/>
          <w:bCs/>
        </w:rPr>
        <w:t>Indigenous businesses in remote and major cities are taking up the regional economic opportunities at about the same rate, but that businesses in regional areas are lagging.</w:t>
      </w:r>
      <w:r w:rsidR="00CB51ED" w:rsidRPr="00CE315D">
        <w:rPr>
          <w:rFonts w:asciiTheme="minorHAnsi" w:hAnsiTheme="minorHAnsi" w:cstheme="minorHAnsi"/>
          <w:b/>
          <w:bCs/>
        </w:rPr>
        <w:t xml:space="preserve"> </w:t>
      </w:r>
      <w:r w:rsidR="00CB51ED">
        <w:rPr>
          <w:rFonts w:asciiTheme="minorHAnsi" w:hAnsiTheme="minorHAnsi" w:cstheme="minorHAnsi"/>
        </w:rPr>
        <w:t xml:space="preserve">A major difference in the sectoral composition of Indigenous businesses and non-Indigenous businesses in regional areas is in the importance of primary industries. </w:t>
      </w:r>
      <w:r w:rsidR="00CB51ED" w:rsidRPr="002B1666">
        <w:rPr>
          <w:rFonts w:asciiTheme="minorHAnsi" w:hAnsiTheme="minorHAnsi" w:cstheme="minorHAnsi"/>
          <w:b/>
          <w:bCs/>
        </w:rPr>
        <w:t xml:space="preserve">In regional areas, 21% of non-Indigenous businesses are in Agriculture, Forestry and Fishing, compared to </w:t>
      </w:r>
      <w:r w:rsidR="000E3040" w:rsidRPr="002B1666">
        <w:rPr>
          <w:rFonts w:asciiTheme="minorHAnsi" w:hAnsiTheme="minorHAnsi" w:cstheme="minorHAnsi"/>
          <w:b/>
          <w:bCs/>
        </w:rPr>
        <w:t xml:space="preserve">only </w:t>
      </w:r>
      <w:r w:rsidR="00CB51ED" w:rsidRPr="002B1666">
        <w:rPr>
          <w:rFonts w:asciiTheme="minorHAnsi" w:hAnsiTheme="minorHAnsi" w:cstheme="minorHAnsi"/>
          <w:b/>
          <w:bCs/>
        </w:rPr>
        <w:t xml:space="preserve">4% of Indigenous businesses. </w:t>
      </w:r>
      <w:r w:rsidRPr="002B1666">
        <w:rPr>
          <w:rFonts w:asciiTheme="minorHAnsi" w:hAnsiTheme="minorHAnsi" w:cstheme="minorHAnsi"/>
          <w:b/>
          <w:bCs/>
        </w:rPr>
        <w:t>This</w:t>
      </w:r>
      <w:r w:rsidR="00CB51ED" w:rsidRPr="002B1666">
        <w:rPr>
          <w:rFonts w:asciiTheme="minorHAnsi" w:hAnsiTheme="minorHAnsi" w:cstheme="minorHAnsi"/>
          <w:b/>
          <w:bCs/>
        </w:rPr>
        <w:t xml:space="preserve"> underlines the importance of land ownership to business opportunities in regional areas.</w:t>
      </w:r>
      <w:r w:rsidR="00DC6FFE" w:rsidRPr="002B1666">
        <w:rPr>
          <w:rFonts w:asciiTheme="minorHAnsi" w:hAnsiTheme="minorHAnsi" w:cstheme="minorHAnsi"/>
          <w:b/>
          <w:bCs/>
        </w:rPr>
        <w:t xml:space="preserve"> It also raises important questions about the productive quality of the land Indigenous interests are able to secure via Native Title. </w:t>
      </w:r>
    </w:p>
    <w:p w14:paraId="1F31764E" w14:textId="77777777" w:rsidR="00CB51ED" w:rsidRDefault="00CB51ED" w:rsidP="00DC2B2E">
      <w:pPr>
        <w:rPr>
          <w:rFonts w:asciiTheme="minorHAnsi" w:hAnsiTheme="minorHAnsi" w:cstheme="minorHAnsi"/>
        </w:rPr>
      </w:pPr>
    </w:p>
    <w:p w14:paraId="0E2040AF" w14:textId="0CF32BA5" w:rsidR="00EB0A32" w:rsidRPr="00A86BEC" w:rsidRDefault="00EB0A32" w:rsidP="00EB0A32">
      <w:pPr>
        <w:rPr>
          <w:rFonts w:asciiTheme="minorHAnsi" w:hAnsiTheme="minorHAnsi" w:cstheme="minorHAnsi"/>
          <w:b/>
          <w:bCs/>
        </w:rPr>
      </w:pPr>
      <w:r w:rsidRPr="00A86BEC">
        <w:rPr>
          <w:rFonts w:asciiTheme="minorHAnsi" w:hAnsiTheme="minorHAnsi" w:cstheme="minorHAnsi"/>
          <w:b/>
          <w:bCs/>
        </w:rPr>
        <w:t xml:space="preserve">Figure 8: Composition of Indigenous businesses by ABS </w:t>
      </w:r>
      <w:r w:rsidR="000E3040" w:rsidRPr="00A86BEC">
        <w:rPr>
          <w:rFonts w:asciiTheme="minorHAnsi" w:hAnsiTheme="minorHAnsi" w:cstheme="minorHAnsi"/>
          <w:b/>
          <w:bCs/>
        </w:rPr>
        <w:t xml:space="preserve">ANZSIC </w:t>
      </w:r>
      <w:r w:rsidRPr="00A86BEC">
        <w:rPr>
          <w:rFonts w:asciiTheme="minorHAnsi" w:hAnsiTheme="minorHAnsi" w:cstheme="minorHAnsi"/>
          <w:b/>
          <w:bCs/>
        </w:rPr>
        <w:t>Division</w:t>
      </w:r>
      <w:r w:rsidR="000E3040" w:rsidRPr="00A86BEC">
        <w:rPr>
          <w:rFonts w:asciiTheme="minorHAnsi" w:hAnsiTheme="minorHAnsi" w:cstheme="minorHAnsi"/>
          <w:b/>
          <w:bCs/>
        </w:rPr>
        <w:t>s</w:t>
      </w:r>
      <w:r w:rsidRPr="00A86BEC">
        <w:rPr>
          <w:rFonts w:asciiTheme="minorHAnsi" w:hAnsiTheme="minorHAnsi" w:cstheme="minorHAnsi"/>
          <w:b/>
          <w:bCs/>
        </w:rPr>
        <w:t>, 2017-18</w:t>
      </w:r>
    </w:p>
    <w:p w14:paraId="065E2D81" w14:textId="77777777" w:rsidR="00EB0A32" w:rsidRDefault="00EB0A32" w:rsidP="00EB0A32">
      <w:pPr>
        <w:rPr>
          <w:rFonts w:asciiTheme="minorHAnsi" w:hAnsiTheme="minorHAnsi" w:cstheme="minorHAnsi"/>
        </w:rPr>
      </w:pPr>
    </w:p>
    <w:p w14:paraId="66045C9E" w14:textId="77777777" w:rsidR="00EB0A32" w:rsidRDefault="00EB0A32" w:rsidP="00EB0A32">
      <w:pPr>
        <w:rPr>
          <w:rFonts w:asciiTheme="minorHAnsi" w:hAnsiTheme="minorHAnsi" w:cstheme="minorHAnsi"/>
        </w:rPr>
      </w:pPr>
      <w:r>
        <w:rPr>
          <w:noProof/>
          <w:lang w:val="en-GB" w:eastAsia="en-GB"/>
        </w:rPr>
        <w:lastRenderedPageBreak/>
        <w:drawing>
          <wp:inline distT="0" distB="0" distL="0" distR="0" wp14:anchorId="5AB72612" wp14:editId="3976177B">
            <wp:extent cx="5455920" cy="3130658"/>
            <wp:effectExtent l="0" t="0" r="11430" b="12700"/>
            <wp:docPr id="42" name="Chart 42">
              <a:extLst xmlns:a="http://schemas.openxmlformats.org/drawingml/2006/main">
                <a:ext uri="{FF2B5EF4-FFF2-40B4-BE49-F238E27FC236}">
                  <a16:creationId xmlns:a16="http://schemas.microsoft.com/office/drawing/2014/main" id="{125F6186-B2F9-4E21-B9A6-D458BC4B8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6E3B04ED" w14:textId="6B3C146C" w:rsidR="00EB0A32" w:rsidRPr="00C12398" w:rsidRDefault="00CD3C75" w:rsidP="00DC2B2E">
      <w:pPr>
        <w:rPr>
          <w:rFonts w:asciiTheme="minorHAnsi" w:hAnsiTheme="minorHAnsi" w:cstheme="minorHAnsi"/>
          <w:sz w:val="20"/>
          <w:szCs w:val="20"/>
        </w:rPr>
      </w:pPr>
      <w:r w:rsidRPr="00E36748">
        <w:rPr>
          <w:rFonts w:asciiTheme="minorHAnsi" w:hAnsiTheme="minorHAnsi" w:cstheme="minorHAnsi"/>
          <w:sz w:val="20"/>
          <w:szCs w:val="20"/>
        </w:rPr>
        <w:t xml:space="preserve">Source: I-BLADE </w:t>
      </w:r>
      <w:r w:rsidR="00B50DF3">
        <w:rPr>
          <w:rFonts w:asciiTheme="minorHAnsi" w:hAnsiTheme="minorHAnsi" w:cstheme="minorHAnsi"/>
          <w:sz w:val="20"/>
          <w:szCs w:val="20"/>
        </w:rPr>
        <w:t>1.0</w:t>
      </w:r>
      <w:r>
        <w:rPr>
          <w:rFonts w:asciiTheme="minorHAnsi" w:hAnsiTheme="minorHAnsi" w:cstheme="minorHAnsi"/>
          <w:sz w:val="20"/>
          <w:szCs w:val="20"/>
        </w:rPr>
        <w:t>, restricted to businesses that are active for tax purposes.</w:t>
      </w:r>
      <w:r w:rsidR="00800E16">
        <w:rPr>
          <w:rFonts w:asciiTheme="minorHAnsi" w:hAnsiTheme="minorHAnsi" w:cstheme="minorHAnsi"/>
          <w:sz w:val="20"/>
          <w:szCs w:val="20"/>
        </w:rPr>
        <w:t xml:space="preserve"> </w:t>
      </w:r>
      <w:r w:rsidR="00800E16" w:rsidRPr="00800E16">
        <w:rPr>
          <w:rFonts w:asciiTheme="minorHAnsi" w:hAnsiTheme="minorHAnsi" w:cstheme="minorHAnsi"/>
          <w:sz w:val="18"/>
          <w:szCs w:val="18"/>
        </w:rPr>
        <w:t>Indigenous businesses are from Indigenous business registries (Supply Nation registry, ICN Gateway data, Victorian Aboriginal Business Directory or the ORIC database).</w:t>
      </w:r>
    </w:p>
    <w:p w14:paraId="00A2B640" w14:textId="77777777" w:rsidR="00CD3C75" w:rsidRDefault="00CD3C75" w:rsidP="009E5754">
      <w:pPr>
        <w:jc w:val="both"/>
        <w:rPr>
          <w:rFonts w:asciiTheme="minorHAnsi" w:hAnsiTheme="minorHAnsi" w:cstheme="minorHAnsi"/>
        </w:rPr>
      </w:pPr>
    </w:p>
    <w:p w14:paraId="1541ED73" w14:textId="67DE1DCC" w:rsidR="003719AA" w:rsidRDefault="003719AA" w:rsidP="009E5754">
      <w:pPr>
        <w:jc w:val="both"/>
        <w:rPr>
          <w:rFonts w:asciiTheme="minorHAnsi" w:hAnsiTheme="minorHAnsi" w:cstheme="minorHAnsi"/>
        </w:rPr>
      </w:pPr>
      <w:r>
        <w:rPr>
          <w:rFonts w:asciiTheme="minorHAnsi" w:hAnsiTheme="minorHAnsi" w:cstheme="minorHAnsi"/>
        </w:rPr>
        <w:t xml:space="preserve">Although there are Indigenous businesses represented in all nineteen ABS </w:t>
      </w:r>
      <w:r w:rsidR="000E3040">
        <w:rPr>
          <w:rFonts w:asciiTheme="minorHAnsi" w:hAnsiTheme="minorHAnsi" w:cstheme="minorHAnsi"/>
        </w:rPr>
        <w:t xml:space="preserve">ANZSIC </w:t>
      </w:r>
      <w:r>
        <w:rPr>
          <w:rFonts w:asciiTheme="minorHAnsi" w:hAnsiTheme="minorHAnsi" w:cstheme="minorHAnsi"/>
        </w:rPr>
        <w:t>sectoral divisions</w:t>
      </w:r>
      <w:r w:rsidR="00414394">
        <w:rPr>
          <w:rFonts w:asciiTheme="minorHAnsi" w:hAnsiTheme="minorHAnsi" w:cstheme="minorHAnsi"/>
        </w:rPr>
        <w:t xml:space="preserve"> in I-BLADE</w:t>
      </w:r>
      <w:r>
        <w:rPr>
          <w:rFonts w:asciiTheme="minorHAnsi" w:hAnsiTheme="minorHAnsi" w:cstheme="minorHAnsi"/>
        </w:rPr>
        <w:t xml:space="preserve">, there are </w:t>
      </w:r>
      <w:r w:rsidR="00B84E1F">
        <w:rPr>
          <w:rFonts w:asciiTheme="minorHAnsi" w:hAnsiTheme="minorHAnsi" w:cstheme="minorHAnsi"/>
        </w:rPr>
        <w:t>6</w:t>
      </w:r>
      <w:r>
        <w:rPr>
          <w:rFonts w:asciiTheme="minorHAnsi" w:hAnsiTheme="minorHAnsi" w:cstheme="minorHAnsi"/>
        </w:rPr>
        <w:t xml:space="preserve"> main sectors that comprise over half of all businesses in 2017-18, these are: </w:t>
      </w:r>
    </w:p>
    <w:p w14:paraId="1D3F1F42" w14:textId="77777777" w:rsidR="003719AA" w:rsidRDefault="003719AA" w:rsidP="009E5754">
      <w:pPr>
        <w:pStyle w:val="ListParagraph"/>
        <w:numPr>
          <w:ilvl w:val="0"/>
          <w:numId w:val="19"/>
        </w:numPr>
        <w:jc w:val="both"/>
        <w:rPr>
          <w:rFonts w:asciiTheme="minorHAnsi" w:hAnsiTheme="minorHAnsi" w:cstheme="minorHAnsi"/>
        </w:rPr>
      </w:pPr>
      <w:r w:rsidRPr="00F243C5">
        <w:rPr>
          <w:rFonts w:asciiTheme="minorHAnsi" w:hAnsiTheme="minorHAnsi" w:cstheme="minorHAnsi"/>
        </w:rPr>
        <w:t>Construction 17%</w:t>
      </w:r>
      <w:r>
        <w:rPr>
          <w:rFonts w:asciiTheme="minorHAnsi" w:hAnsiTheme="minorHAnsi" w:cstheme="minorHAnsi"/>
        </w:rPr>
        <w:t>;</w:t>
      </w:r>
    </w:p>
    <w:p w14:paraId="199EEF96" w14:textId="77777777" w:rsidR="003719AA" w:rsidRDefault="003719AA" w:rsidP="009E5754">
      <w:pPr>
        <w:pStyle w:val="ListParagraph"/>
        <w:numPr>
          <w:ilvl w:val="0"/>
          <w:numId w:val="19"/>
        </w:numPr>
        <w:jc w:val="both"/>
        <w:rPr>
          <w:rFonts w:asciiTheme="minorHAnsi" w:hAnsiTheme="minorHAnsi" w:cstheme="minorHAnsi"/>
        </w:rPr>
      </w:pPr>
      <w:r w:rsidRPr="00F243C5">
        <w:rPr>
          <w:rFonts w:asciiTheme="minorHAnsi" w:hAnsiTheme="minorHAnsi" w:cstheme="minorHAnsi"/>
        </w:rPr>
        <w:t>Professional, Scientific and Technical Services 1</w:t>
      </w:r>
      <w:r>
        <w:rPr>
          <w:rFonts w:asciiTheme="minorHAnsi" w:hAnsiTheme="minorHAnsi" w:cstheme="minorHAnsi"/>
        </w:rPr>
        <w:t>4</w:t>
      </w:r>
      <w:r w:rsidRPr="00F243C5">
        <w:rPr>
          <w:rFonts w:asciiTheme="minorHAnsi" w:hAnsiTheme="minorHAnsi" w:cstheme="minorHAnsi"/>
        </w:rPr>
        <w:t>%</w:t>
      </w:r>
      <w:r>
        <w:rPr>
          <w:rFonts w:asciiTheme="minorHAnsi" w:hAnsiTheme="minorHAnsi" w:cstheme="minorHAnsi"/>
        </w:rPr>
        <w:t>;</w:t>
      </w:r>
    </w:p>
    <w:p w14:paraId="015A0159" w14:textId="77777777" w:rsidR="003719AA" w:rsidRDefault="003719AA" w:rsidP="009E5754">
      <w:pPr>
        <w:pStyle w:val="ListParagraph"/>
        <w:numPr>
          <w:ilvl w:val="0"/>
          <w:numId w:val="19"/>
        </w:numPr>
        <w:jc w:val="both"/>
        <w:rPr>
          <w:rFonts w:asciiTheme="minorHAnsi" w:hAnsiTheme="minorHAnsi" w:cstheme="minorHAnsi"/>
        </w:rPr>
      </w:pPr>
      <w:r w:rsidRPr="00F243C5">
        <w:rPr>
          <w:rFonts w:asciiTheme="minorHAnsi" w:hAnsiTheme="minorHAnsi" w:cstheme="minorHAnsi"/>
        </w:rPr>
        <w:t xml:space="preserve">Health Care and Social Assistance </w:t>
      </w:r>
      <w:r>
        <w:rPr>
          <w:rFonts w:asciiTheme="minorHAnsi" w:hAnsiTheme="minorHAnsi" w:cstheme="minorHAnsi"/>
        </w:rPr>
        <w:t>10</w:t>
      </w:r>
      <w:r w:rsidRPr="00F243C5">
        <w:rPr>
          <w:rFonts w:asciiTheme="minorHAnsi" w:hAnsiTheme="minorHAnsi" w:cstheme="minorHAnsi"/>
        </w:rPr>
        <w:t>%</w:t>
      </w:r>
      <w:r>
        <w:rPr>
          <w:rFonts w:asciiTheme="minorHAnsi" w:hAnsiTheme="minorHAnsi" w:cstheme="minorHAnsi"/>
        </w:rPr>
        <w:t>;</w:t>
      </w:r>
    </w:p>
    <w:p w14:paraId="74F25B1E" w14:textId="77777777" w:rsidR="003719AA" w:rsidRDefault="003719AA" w:rsidP="009E5754">
      <w:pPr>
        <w:pStyle w:val="ListParagraph"/>
        <w:numPr>
          <w:ilvl w:val="0"/>
          <w:numId w:val="19"/>
        </w:numPr>
        <w:jc w:val="both"/>
        <w:rPr>
          <w:rFonts w:asciiTheme="minorHAnsi" w:hAnsiTheme="minorHAnsi" w:cstheme="minorHAnsi"/>
        </w:rPr>
      </w:pPr>
      <w:r w:rsidRPr="00F243C5">
        <w:rPr>
          <w:rFonts w:asciiTheme="minorHAnsi" w:hAnsiTheme="minorHAnsi" w:cstheme="minorHAnsi"/>
        </w:rPr>
        <w:t>Administrative and Support Services 7%</w:t>
      </w:r>
      <w:r>
        <w:rPr>
          <w:rFonts w:asciiTheme="minorHAnsi" w:hAnsiTheme="minorHAnsi" w:cstheme="minorHAnsi"/>
        </w:rPr>
        <w:t xml:space="preserve">; </w:t>
      </w:r>
    </w:p>
    <w:p w14:paraId="109E790D" w14:textId="77777777" w:rsidR="003719AA" w:rsidRDefault="003719AA" w:rsidP="009E5754">
      <w:pPr>
        <w:pStyle w:val="ListParagraph"/>
        <w:numPr>
          <w:ilvl w:val="0"/>
          <w:numId w:val="19"/>
        </w:numPr>
        <w:jc w:val="both"/>
        <w:rPr>
          <w:rFonts w:asciiTheme="minorHAnsi" w:hAnsiTheme="minorHAnsi" w:cstheme="minorHAnsi"/>
        </w:rPr>
      </w:pPr>
      <w:r>
        <w:rPr>
          <w:rFonts w:asciiTheme="minorHAnsi" w:hAnsiTheme="minorHAnsi" w:cstheme="minorHAnsi"/>
        </w:rPr>
        <w:t>Rental, Hiring and Real Estate Services 5%; and</w:t>
      </w:r>
    </w:p>
    <w:p w14:paraId="2A969D00" w14:textId="77777777" w:rsidR="003719AA" w:rsidRPr="00F243C5" w:rsidRDefault="003719AA" w:rsidP="009E5754">
      <w:pPr>
        <w:pStyle w:val="ListParagraph"/>
        <w:numPr>
          <w:ilvl w:val="0"/>
          <w:numId w:val="19"/>
        </w:numPr>
        <w:jc w:val="both"/>
        <w:rPr>
          <w:rFonts w:asciiTheme="minorHAnsi" w:hAnsiTheme="minorHAnsi" w:cstheme="minorHAnsi"/>
        </w:rPr>
      </w:pPr>
      <w:r w:rsidRPr="00F243C5">
        <w:rPr>
          <w:rFonts w:asciiTheme="minorHAnsi" w:hAnsiTheme="minorHAnsi" w:cstheme="minorHAnsi"/>
        </w:rPr>
        <w:t>Education and Training 5%</w:t>
      </w:r>
      <w:r>
        <w:rPr>
          <w:rFonts w:asciiTheme="minorHAnsi" w:hAnsiTheme="minorHAnsi" w:cstheme="minorHAnsi"/>
        </w:rPr>
        <w:t>.</w:t>
      </w:r>
    </w:p>
    <w:p w14:paraId="6F11C218" w14:textId="77777777" w:rsidR="003719AA" w:rsidRDefault="003719AA" w:rsidP="009E5754">
      <w:pPr>
        <w:jc w:val="both"/>
        <w:rPr>
          <w:rFonts w:asciiTheme="minorHAnsi" w:hAnsiTheme="minorHAnsi" w:cstheme="minorHAnsi"/>
        </w:rPr>
      </w:pPr>
    </w:p>
    <w:p w14:paraId="206DB25F" w14:textId="2D72124E" w:rsidR="00B40A83" w:rsidRPr="00CE315D" w:rsidRDefault="00807BD5" w:rsidP="009E5754">
      <w:pPr>
        <w:jc w:val="both"/>
        <w:rPr>
          <w:rFonts w:asciiTheme="minorHAnsi" w:hAnsiTheme="minorHAnsi" w:cstheme="minorHAnsi"/>
          <w:b/>
          <w:bCs/>
        </w:rPr>
      </w:pPr>
      <w:r>
        <w:rPr>
          <w:rFonts w:asciiTheme="minorHAnsi" w:hAnsiTheme="minorHAnsi" w:cstheme="minorHAnsi"/>
        </w:rPr>
        <w:t>Reflecting differences in the relative size of businesses</w:t>
      </w:r>
      <w:r w:rsidR="00377E7A">
        <w:rPr>
          <w:rFonts w:asciiTheme="minorHAnsi" w:hAnsiTheme="minorHAnsi" w:cstheme="minorHAnsi"/>
        </w:rPr>
        <w:t xml:space="preserve"> and their labour intensity</w:t>
      </w:r>
      <w:r>
        <w:rPr>
          <w:rFonts w:asciiTheme="minorHAnsi" w:hAnsiTheme="minorHAnsi" w:cstheme="minorHAnsi"/>
        </w:rPr>
        <w:t>, th</w:t>
      </w:r>
      <w:r w:rsidR="00745013">
        <w:rPr>
          <w:rFonts w:asciiTheme="minorHAnsi" w:hAnsiTheme="minorHAnsi" w:cstheme="minorHAnsi"/>
        </w:rPr>
        <w:t>e contribution of these sectors to employment and gross earnings are quite different</w:t>
      </w:r>
      <w:r w:rsidR="009B22C2">
        <w:rPr>
          <w:rFonts w:asciiTheme="minorHAnsi" w:hAnsiTheme="minorHAnsi" w:cstheme="minorHAnsi"/>
        </w:rPr>
        <w:t xml:space="preserve"> (Figure 8)</w:t>
      </w:r>
      <w:r w:rsidR="00745013">
        <w:rPr>
          <w:rFonts w:asciiTheme="minorHAnsi" w:hAnsiTheme="minorHAnsi" w:cstheme="minorHAnsi"/>
        </w:rPr>
        <w:t xml:space="preserve">. </w:t>
      </w:r>
      <w:r w:rsidR="00377E7A" w:rsidRPr="00CE315D">
        <w:rPr>
          <w:rFonts w:asciiTheme="minorHAnsi" w:hAnsiTheme="minorHAnsi" w:cstheme="minorHAnsi"/>
          <w:b/>
          <w:bCs/>
        </w:rPr>
        <w:t>Health Care and Social Assistance</w:t>
      </w:r>
      <w:r w:rsidR="002D65A0" w:rsidRPr="00CE315D">
        <w:rPr>
          <w:rFonts w:asciiTheme="minorHAnsi" w:hAnsiTheme="minorHAnsi" w:cstheme="minorHAnsi"/>
          <w:b/>
          <w:bCs/>
        </w:rPr>
        <w:t>,</w:t>
      </w:r>
      <w:r w:rsidR="00377E7A" w:rsidRPr="00CE315D">
        <w:rPr>
          <w:rFonts w:asciiTheme="minorHAnsi" w:hAnsiTheme="minorHAnsi" w:cstheme="minorHAnsi"/>
          <w:b/>
          <w:bCs/>
        </w:rPr>
        <w:t xml:space="preserve"> </w:t>
      </w:r>
      <w:r w:rsidR="00F71009" w:rsidRPr="00CE315D">
        <w:rPr>
          <w:rFonts w:asciiTheme="minorHAnsi" w:hAnsiTheme="minorHAnsi" w:cstheme="minorHAnsi"/>
          <w:b/>
          <w:bCs/>
        </w:rPr>
        <w:t>despite only making up 10% of all businesses</w:t>
      </w:r>
      <w:r w:rsidR="002D65A0" w:rsidRPr="00CE315D">
        <w:rPr>
          <w:rFonts w:asciiTheme="minorHAnsi" w:hAnsiTheme="minorHAnsi" w:cstheme="minorHAnsi"/>
          <w:b/>
          <w:bCs/>
        </w:rPr>
        <w:t>,</w:t>
      </w:r>
      <w:r w:rsidR="00F71009" w:rsidRPr="00CE315D">
        <w:rPr>
          <w:rFonts w:asciiTheme="minorHAnsi" w:hAnsiTheme="minorHAnsi" w:cstheme="minorHAnsi"/>
          <w:b/>
          <w:bCs/>
        </w:rPr>
        <w:t xml:space="preserve"> </w:t>
      </w:r>
      <w:r w:rsidR="005379E8" w:rsidRPr="00CE315D">
        <w:rPr>
          <w:rFonts w:asciiTheme="minorHAnsi" w:hAnsiTheme="minorHAnsi" w:cstheme="minorHAnsi"/>
          <w:b/>
          <w:bCs/>
        </w:rPr>
        <w:t>are responsible for</w:t>
      </w:r>
      <w:r w:rsidR="00F71009" w:rsidRPr="00CE315D">
        <w:rPr>
          <w:rFonts w:asciiTheme="minorHAnsi" w:hAnsiTheme="minorHAnsi" w:cstheme="minorHAnsi"/>
          <w:b/>
          <w:bCs/>
        </w:rPr>
        <w:t xml:space="preserve"> 24% of </w:t>
      </w:r>
      <w:r w:rsidR="002D65A0" w:rsidRPr="00CE315D">
        <w:rPr>
          <w:rFonts w:asciiTheme="minorHAnsi" w:hAnsiTheme="minorHAnsi" w:cstheme="minorHAnsi"/>
          <w:b/>
          <w:bCs/>
        </w:rPr>
        <w:t>all</w:t>
      </w:r>
      <w:r w:rsidR="005379E8" w:rsidRPr="00CE315D">
        <w:rPr>
          <w:rFonts w:asciiTheme="minorHAnsi" w:hAnsiTheme="minorHAnsi" w:cstheme="minorHAnsi"/>
          <w:b/>
          <w:bCs/>
        </w:rPr>
        <w:t xml:space="preserve"> employees and 19% of gross income. </w:t>
      </w:r>
      <w:r w:rsidR="00595423" w:rsidRPr="00CE315D">
        <w:rPr>
          <w:rFonts w:asciiTheme="minorHAnsi" w:hAnsiTheme="minorHAnsi" w:cstheme="minorHAnsi"/>
          <w:b/>
          <w:bCs/>
        </w:rPr>
        <w:t xml:space="preserve">Construction that makes up 17% of all businesses, contributes 12% of all employment and 20% of gross income. </w:t>
      </w:r>
    </w:p>
    <w:p w14:paraId="34288EC6" w14:textId="77777777" w:rsidR="00B40A83" w:rsidRDefault="00B40A83" w:rsidP="009E5754">
      <w:pPr>
        <w:jc w:val="both"/>
        <w:rPr>
          <w:rFonts w:asciiTheme="minorHAnsi" w:hAnsiTheme="minorHAnsi" w:cstheme="minorHAnsi"/>
        </w:rPr>
      </w:pPr>
    </w:p>
    <w:p w14:paraId="174FFC4C" w14:textId="0E1C4DA1" w:rsidR="003719AA" w:rsidRDefault="003719AA" w:rsidP="009E5754">
      <w:pPr>
        <w:jc w:val="both"/>
        <w:rPr>
          <w:rFonts w:asciiTheme="minorHAnsi" w:hAnsiTheme="minorHAnsi" w:cstheme="minorHAnsi"/>
        </w:rPr>
      </w:pPr>
      <w:r>
        <w:rPr>
          <w:rFonts w:asciiTheme="minorHAnsi" w:hAnsiTheme="minorHAnsi" w:cstheme="minorHAnsi"/>
        </w:rPr>
        <w:t>Over the period of analysis</w:t>
      </w:r>
      <w:r w:rsidR="009B22C2">
        <w:rPr>
          <w:rFonts w:asciiTheme="minorHAnsi" w:hAnsiTheme="minorHAnsi" w:cstheme="minorHAnsi"/>
        </w:rPr>
        <w:t xml:space="preserve"> (Figure 9)</w:t>
      </w:r>
      <w:r>
        <w:rPr>
          <w:rFonts w:asciiTheme="minorHAnsi" w:hAnsiTheme="minorHAnsi" w:cstheme="minorHAnsi"/>
        </w:rPr>
        <w:t>, the contribution of Construction and Professional, Scientific and Technical Services and Administrative and Support Services have grown as a share of all Indigenous businesses in I-BLADE on the back of strong average annual growth in numbers — 8%, 8.5% and 8.6% respectively. On the other hand, the contribution of Health Care and Social Assistance businesses has shrun</w:t>
      </w:r>
      <w:r w:rsidR="004B0D81">
        <w:rPr>
          <w:rFonts w:asciiTheme="minorHAnsi" w:hAnsiTheme="minorHAnsi" w:cstheme="minorHAnsi"/>
        </w:rPr>
        <w:t>k</w:t>
      </w:r>
      <w:r>
        <w:rPr>
          <w:rFonts w:asciiTheme="minorHAnsi" w:hAnsiTheme="minorHAnsi" w:cstheme="minorHAnsi"/>
        </w:rPr>
        <w:t xml:space="preserve">. Since 2006, the number of businesses in this sector has remained constant </w:t>
      </w:r>
      <w:r w:rsidR="005877C5">
        <w:rPr>
          <w:rFonts w:asciiTheme="minorHAnsi" w:hAnsiTheme="minorHAnsi" w:cstheme="minorHAnsi"/>
        </w:rPr>
        <w:t xml:space="preserve">in remote and major </w:t>
      </w:r>
      <w:r w:rsidR="00DC6FFE">
        <w:rPr>
          <w:rFonts w:asciiTheme="minorHAnsi" w:hAnsiTheme="minorHAnsi" w:cstheme="minorHAnsi"/>
        </w:rPr>
        <w:t>cities but</w:t>
      </w:r>
      <w:r w:rsidR="005877C5">
        <w:rPr>
          <w:rFonts w:asciiTheme="minorHAnsi" w:hAnsiTheme="minorHAnsi" w:cstheme="minorHAnsi"/>
        </w:rPr>
        <w:t xml:space="preserve"> has </w:t>
      </w:r>
      <w:r>
        <w:rPr>
          <w:rFonts w:asciiTheme="minorHAnsi" w:hAnsiTheme="minorHAnsi" w:cstheme="minorHAnsi"/>
        </w:rPr>
        <w:t>declined slightly in r</w:t>
      </w:r>
      <w:r w:rsidR="005877C5">
        <w:rPr>
          <w:rFonts w:asciiTheme="minorHAnsi" w:hAnsiTheme="minorHAnsi" w:cstheme="minorHAnsi"/>
        </w:rPr>
        <w:t>egional</w:t>
      </w:r>
      <w:r>
        <w:rPr>
          <w:rFonts w:asciiTheme="minorHAnsi" w:hAnsiTheme="minorHAnsi" w:cstheme="minorHAnsi"/>
        </w:rPr>
        <w:t xml:space="preserve"> areas. The composition of Education and Training and Rental, Hiring and Real Estate Services has remained steady, as their average annual growth rates have remained about the sector average in I-BLADE. </w:t>
      </w:r>
    </w:p>
    <w:p w14:paraId="67FE184B" w14:textId="4B499C32" w:rsidR="00EB0A32" w:rsidRDefault="00EB0A32" w:rsidP="00DC2B2E">
      <w:pPr>
        <w:rPr>
          <w:b/>
          <w:bCs/>
        </w:rPr>
      </w:pPr>
    </w:p>
    <w:p w14:paraId="61FA0FB1" w14:textId="77777777" w:rsidR="00FB3592" w:rsidRDefault="00FB3592" w:rsidP="00DC2B2E">
      <w:pPr>
        <w:rPr>
          <w:b/>
          <w:bCs/>
        </w:rPr>
      </w:pPr>
    </w:p>
    <w:p w14:paraId="74F88E35" w14:textId="17D677D7" w:rsidR="007A4E97" w:rsidRPr="00A86BEC" w:rsidRDefault="00080845" w:rsidP="00DC2B2E">
      <w:pPr>
        <w:rPr>
          <w:rFonts w:asciiTheme="minorHAnsi" w:hAnsiTheme="minorHAnsi" w:cstheme="minorHAnsi"/>
          <w:b/>
          <w:bCs/>
        </w:rPr>
      </w:pPr>
      <w:r w:rsidRPr="00A86BEC">
        <w:rPr>
          <w:rFonts w:asciiTheme="minorHAnsi" w:hAnsiTheme="minorHAnsi" w:cstheme="minorHAnsi"/>
          <w:b/>
          <w:bCs/>
        </w:rPr>
        <w:t xml:space="preserve">Figure </w:t>
      </w:r>
      <w:r w:rsidR="00EB0A32" w:rsidRPr="00A86BEC">
        <w:rPr>
          <w:rFonts w:asciiTheme="minorHAnsi" w:hAnsiTheme="minorHAnsi" w:cstheme="minorHAnsi"/>
          <w:b/>
          <w:bCs/>
        </w:rPr>
        <w:t>9</w:t>
      </w:r>
      <w:r w:rsidRPr="00A86BEC">
        <w:rPr>
          <w:rFonts w:asciiTheme="minorHAnsi" w:hAnsiTheme="minorHAnsi" w:cstheme="minorHAnsi"/>
          <w:b/>
          <w:bCs/>
        </w:rPr>
        <w:t xml:space="preserve">: </w:t>
      </w:r>
      <w:r w:rsidR="00866A54" w:rsidRPr="00A86BEC">
        <w:rPr>
          <w:rFonts w:asciiTheme="minorHAnsi" w:hAnsiTheme="minorHAnsi" w:cstheme="minorHAnsi"/>
          <w:b/>
          <w:bCs/>
        </w:rPr>
        <w:t>Composition of</w:t>
      </w:r>
      <w:r w:rsidRPr="00A86BEC">
        <w:rPr>
          <w:rFonts w:asciiTheme="minorHAnsi" w:hAnsiTheme="minorHAnsi" w:cstheme="minorHAnsi"/>
          <w:b/>
          <w:bCs/>
        </w:rPr>
        <w:t xml:space="preserve"> </w:t>
      </w:r>
      <w:r w:rsidR="001B2BC3" w:rsidRPr="00A86BEC">
        <w:rPr>
          <w:rFonts w:asciiTheme="minorHAnsi" w:hAnsiTheme="minorHAnsi" w:cstheme="minorHAnsi"/>
          <w:b/>
          <w:bCs/>
        </w:rPr>
        <w:t xml:space="preserve">Indigenous </w:t>
      </w:r>
      <w:r w:rsidRPr="00A86BEC">
        <w:rPr>
          <w:rFonts w:asciiTheme="minorHAnsi" w:hAnsiTheme="minorHAnsi" w:cstheme="minorHAnsi"/>
          <w:b/>
          <w:bCs/>
        </w:rPr>
        <w:t xml:space="preserve">businesses </w:t>
      </w:r>
      <w:r w:rsidR="009410BB" w:rsidRPr="00A86BEC">
        <w:rPr>
          <w:rFonts w:asciiTheme="minorHAnsi" w:hAnsiTheme="minorHAnsi" w:cstheme="minorHAnsi"/>
          <w:b/>
          <w:bCs/>
        </w:rPr>
        <w:t xml:space="preserve">numbers over time </w:t>
      </w:r>
      <w:r w:rsidRPr="00A86BEC">
        <w:rPr>
          <w:rFonts w:asciiTheme="minorHAnsi" w:hAnsiTheme="minorHAnsi" w:cstheme="minorHAnsi"/>
          <w:b/>
          <w:bCs/>
        </w:rPr>
        <w:t xml:space="preserve">by </w:t>
      </w:r>
      <w:r w:rsidR="001B2BC3" w:rsidRPr="00A86BEC">
        <w:rPr>
          <w:rFonts w:asciiTheme="minorHAnsi" w:hAnsiTheme="minorHAnsi" w:cstheme="minorHAnsi"/>
          <w:b/>
          <w:bCs/>
        </w:rPr>
        <w:t xml:space="preserve">ABS </w:t>
      </w:r>
      <w:r w:rsidR="00E50BC4" w:rsidRPr="00A86BEC">
        <w:rPr>
          <w:rFonts w:asciiTheme="minorHAnsi" w:hAnsiTheme="minorHAnsi" w:cstheme="minorHAnsi"/>
          <w:b/>
          <w:bCs/>
        </w:rPr>
        <w:t xml:space="preserve">ANZSIC </w:t>
      </w:r>
      <w:r w:rsidR="001B2BC3" w:rsidRPr="00A86BEC">
        <w:rPr>
          <w:rFonts w:asciiTheme="minorHAnsi" w:hAnsiTheme="minorHAnsi" w:cstheme="minorHAnsi"/>
          <w:b/>
          <w:bCs/>
        </w:rPr>
        <w:t>Division</w:t>
      </w:r>
      <w:r w:rsidR="00E50BC4" w:rsidRPr="00A86BEC">
        <w:rPr>
          <w:rFonts w:asciiTheme="minorHAnsi" w:hAnsiTheme="minorHAnsi" w:cstheme="minorHAnsi"/>
          <w:b/>
          <w:bCs/>
        </w:rPr>
        <w:t>s</w:t>
      </w:r>
    </w:p>
    <w:p w14:paraId="07A30A09" w14:textId="77777777" w:rsidR="00866A54" w:rsidRDefault="00866A54" w:rsidP="00DC2B2E">
      <w:pPr>
        <w:rPr>
          <w:b/>
          <w:bCs/>
        </w:rPr>
      </w:pPr>
    </w:p>
    <w:p w14:paraId="43E38D43" w14:textId="01021839" w:rsidR="007A4E97" w:rsidRPr="00866A54" w:rsidRDefault="00866A54" w:rsidP="00DC2B2E">
      <w:pPr>
        <w:rPr>
          <w:b/>
          <w:bCs/>
        </w:rPr>
      </w:pPr>
      <w:r>
        <w:rPr>
          <w:noProof/>
          <w:lang w:val="en-GB" w:eastAsia="en-GB"/>
        </w:rPr>
        <w:lastRenderedPageBreak/>
        <w:drawing>
          <wp:inline distT="0" distB="0" distL="0" distR="0" wp14:anchorId="3D846326" wp14:editId="6C3069F5">
            <wp:extent cx="5618136" cy="3329940"/>
            <wp:effectExtent l="0" t="0" r="1905" b="3810"/>
            <wp:docPr id="41" name="Chart 41">
              <a:extLst xmlns:a="http://schemas.openxmlformats.org/drawingml/2006/main">
                <a:ext uri="{FF2B5EF4-FFF2-40B4-BE49-F238E27FC236}">
                  <a16:creationId xmlns:a16="http://schemas.microsoft.com/office/drawing/2014/main" id="{00000000-0008-0000-0800-000007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DC7994E" w14:textId="77777777" w:rsidR="00800E16" w:rsidRDefault="00CD3C75" w:rsidP="00DC2B2E">
      <w:pPr>
        <w:rPr>
          <w:rFonts w:asciiTheme="minorHAnsi" w:hAnsiTheme="minorHAnsi" w:cstheme="minorHAnsi"/>
          <w:sz w:val="18"/>
          <w:szCs w:val="18"/>
        </w:rPr>
      </w:pPr>
      <w:r w:rsidRPr="00E36748">
        <w:rPr>
          <w:rFonts w:asciiTheme="minorHAnsi" w:hAnsiTheme="minorHAnsi" w:cstheme="minorHAnsi"/>
          <w:sz w:val="20"/>
          <w:szCs w:val="20"/>
        </w:rPr>
        <w:t xml:space="preserve">Source: I-BLADE </w:t>
      </w:r>
      <w:r w:rsidR="00B50DF3">
        <w:rPr>
          <w:rFonts w:asciiTheme="minorHAnsi" w:hAnsiTheme="minorHAnsi" w:cstheme="minorHAnsi"/>
          <w:sz w:val="20"/>
          <w:szCs w:val="20"/>
        </w:rPr>
        <w:t>1.0</w:t>
      </w:r>
      <w:r>
        <w:rPr>
          <w:rFonts w:asciiTheme="minorHAnsi" w:hAnsiTheme="minorHAnsi" w:cstheme="minorHAnsi"/>
          <w:sz w:val="20"/>
          <w:szCs w:val="20"/>
        </w:rPr>
        <w:t xml:space="preserve">, restricted to businesses that are active for tax purposes. </w:t>
      </w:r>
      <w:r w:rsidR="00800E16" w:rsidRPr="00800E16">
        <w:rPr>
          <w:rFonts w:asciiTheme="minorHAnsi" w:hAnsiTheme="minorHAnsi" w:cstheme="minorHAnsi"/>
          <w:sz w:val="18"/>
          <w:szCs w:val="18"/>
        </w:rPr>
        <w:t>Indigenous businesses are from Indigenous business registries (Supply Nation registry, ICN Gateway data, Victorian Aboriginal Business Directory or the ORIC database).</w:t>
      </w:r>
    </w:p>
    <w:p w14:paraId="57272921" w14:textId="2D510EFE" w:rsidR="007A4E97" w:rsidRPr="00715BC8" w:rsidRDefault="001B2BC3" w:rsidP="00DC2B2E">
      <w:pPr>
        <w:rPr>
          <w:rFonts w:asciiTheme="minorHAnsi" w:hAnsiTheme="minorHAnsi" w:cstheme="minorHAnsi"/>
          <w:sz w:val="18"/>
          <w:szCs w:val="18"/>
        </w:rPr>
      </w:pPr>
      <w:r w:rsidRPr="00715BC8">
        <w:rPr>
          <w:rFonts w:asciiTheme="minorHAnsi" w:hAnsiTheme="minorHAnsi" w:cstheme="minorHAnsi"/>
          <w:sz w:val="18"/>
          <w:szCs w:val="18"/>
        </w:rPr>
        <w:t>Note: The number of Indigenous businesses i</w:t>
      </w:r>
      <w:r w:rsidR="00A16387" w:rsidRPr="00715BC8">
        <w:rPr>
          <w:rFonts w:asciiTheme="minorHAnsi" w:hAnsiTheme="minorHAnsi" w:cstheme="minorHAnsi"/>
          <w:sz w:val="18"/>
          <w:szCs w:val="18"/>
        </w:rPr>
        <w:t xml:space="preserve">n the figure is </w:t>
      </w:r>
      <w:r w:rsidR="00592D48" w:rsidRPr="00715BC8">
        <w:rPr>
          <w:rFonts w:asciiTheme="minorHAnsi" w:hAnsiTheme="minorHAnsi" w:cstheme="minorHAnsi"/>
          <w:sz w:val="18"/>
          <w:szCs w:val="18"/>
        </w:rPr>
        <w:t>3,460</w:t>
      </w:r>
      <w:r w:rsidRPr="00715BC8">
        <w:rPr>
          <w:rFonts w:asciiTheme="minorHAnsi" w:hAnsiTheme="minorHAnsi" w:cstheme="minorHAnsi"/>
          <w:sz w:val="18"/>
          <w:szCs w:val="18"/>
        </w:rPr>
        <w:t xml:space="preserve"> </w:t>
      </w:r>
      <w:r w:rsidR="00592D48" w:rsidRPr="00715BC8">
        <w:rPr>
          <w:rFonts w:asciiTheme="minorHAnsi" w:hAnsiTheme="minorHAnsi" w:cstheme="minorHAnsi"/>
          <w:sz w:val="18"/>
          <w:szCs w:val="18"/>
        </w:rPr>
        <w:t xml:space="preserve">and not </w:t>
      </w:r>
      <w:r w:rsidR="00A16387" w:rsidRPr="00715BC8">
        <w:rPr>
          <w:rFonts w:asciiTheme="minorHAnsi" w:hAnsiTheme="minorHAnsi" w:cstheme="minorHAnsi"/>
          <w:sz w:val="18"/>
          <w:szCs w:val="18"/>
        </w:rPr>
        <w:t>3,619</w:t>
      </w:r>
      <w:r w:rsidR="00592D48" w:rsidRPr="00715BC8">
        <w:rPr>
          <w:rFonts w:asciiTheme="minorHAnsi" w:hAnsiTheme="minorHAnsi" w:cstheme="minorHAnsi"/>
          <w:sz w:val="18"/>
          <w:szCs w:val="18"/>
        </w:rPr>
        <w:t xml:space="preserve"> because </w:t>
      </w:r>
      <w:r w:rsidR="00CA4233" w:rsidRPr="00715BC8">
        <w:rPr>
          <w:rFonts w:asciiTheme="minorHAnsi" w:hAnsiTheme="minorHAnsi" w:cstheme="minorHAnsi"/>
          <w:sz w:val="18"/>
          <w:szCs w:val="18"/>
        </w:rPr>
        <w:t>159 Indigenous businesses have missing</w:t>
      </w:r>
      <w:r w:rsidR="00715BC8" w:rsidRPr="00715BC8">
        <w:rPr>
          <w:rFonts w:asciiTheme="minorHAnsi" w:hAnsiTheme="minorHAnsi" w:cstheme="minorHAnsi"/>
          <w:sz w:val="18"/>
          <w:szCs w:val="18"/>
        </w:rPr>
        <w:t xml:space="preserve"> sectoral data. </w:t>
      </w:r>
      <w:r w:rsidR="00A16387" w:rsidRPr="00715BC8">
        <w:rPr>
          <w:rFonts w:asciiTheme="minorHAnsi" w:hAnsiTheme="minorHAnsi" w:cstheme="minorHAnsi"/>
          <w:sz w:val="18"/>
          <w:szCs w:val="18"/>
        </w:rPr>
        <w:t xml:space="preserve"> </w:t>
      </w:r>
    </w:p>
    <w:p w14:paraId="572E98B3" w14:textId="3046927F" w:rsidR="007A4E97" w:rsidRDefault="007A4E97" w:rsidP="00ED2BE1">
      <w:pPr>
        <w:jc w:val="both"/>
        <w:rPr>
          <w:rFonts w:asciiTheme="minorHAnsi" w:hAnsiTheme="minorHAnsi" w:cstheme="minorHAnsi"/>
        </w:rPr>
      </w:pPr>
    </w:p>
    <w:p w14:paraId="3F116273" w14:textId="56B0FC3E" w:rsidR="00C12398" w:rsidRDefault="00251FB4" w:rsidP="00ED2BE1">
      <w:pPr>
        <w:jc w:val="both"/>
        <w:rPr>
          <w:rFonts w:asciiTheme="minorHAnsi" w:hAnsiTheme="minorHAnsi" w:cstheme="minorHAnsi"/>
        </w:rPr>
      </w:pPr>
      <w:r>
        <w:rPr>
          <w:rFonts w:asciiTheme="minorHAnsi" w:hAnsiTheme="minorHAnsi" w:cstheme="minorHAnsi"/>
        </w:rPr>
        <w:t xml:space="preserve">Figure 6 shows that Indigenous businesses in I-BLADE are found </w:t>
      </w:r>
      <w:r w:rsidR="00F32DE8">
        <w:rPr>
          <w:rFonts w:asciiTheme="minorHAnsi" w:hAnsiTheme="minorHAnsi" w:cstheme="minorHAnsi"/>
        </w:rPr>
        <w:t>throughout Australia,</w:t>
      </w:r>
      <w:r w:rsidR="00F140DA">
        <w:rPr>
          <w:rFonts w:asciiTheme="minorHAnsi" w:hAnsiTheme="minorHAnsi" w:cstheme="minorHAnsi"/>
        </w:rPr>
        <w:t xml:space="preserve"> but </w:t>
      </w:r>
      <w:r w:rsidR="00FB3592">
        <w:rPr>
          <w:rFonts w:asciiTheme="minorHAnsi" w:hAnsiTheme="minorHAnsi" w:cstheme="minorHAnsi"/>
        </w:rPr>
        <w:t xml:space="preserve">at the </w:t>
      </w:r>
      <w:r w:rsidR="00E56900">
        <w:rPr>
          <w:rFonts w:asciiTheme="minorHAnsi" w:hAnsiTheme="minorHAnsi" w:cstheme="minorHAnsi"/>
        </w:rPr>
        <w:t>ABS SA4 region</w:t>
      </w:r>
      <w:r w:rsidR="00FB3592">
        <w:rPr>
          <w:rFonts w:asciiTheme="minorHAnsi" w:hAnsiTheme="minorHAnsi" w:cstheme="minorHAnsi"/>
        </w:rPr>
        <w:t xml:space="preserve"> level,</w:t>
      </w:r>
      <w:r w:rsidR="00E56900">
        <w:rPr>
          <w:rFonts w:asciiTheme="minorHAnsi" w:hAnsiTheme="minorHAnsi" w:cstheme="minorHAnsi"/>
        </w:rPr>
        <w:t xml:space="preserve"> with at least 10 businesses</w:t>
      </w:r>
      <w:r w:rsidR="00FB3592">
        <w:rPr>
          <w:rFonts w:asciiTheme="minorHAnsi" w:hAnsiTheme="minorHAnsi" w:cstheme="minorHAnsi"/>
        </w:rPr>
        <w:t>,</w:t>
      </w:r>
      <w:r w:rsidR="00E56900">
        <w:rPr>
          <w:rFonts w:asciiTheme="minorHAnsi" w:hAnsiTheme="minorHAnsi" w:cstheme="minorHAnsi"/>
        </w:rPr>
        <w:t xml:space="preserve"> these sectors are </w:t>
      </w:r>
      <w:r w:rsidR="00B84E1F">
        <w:rPr>
          <w:rFonts w:asciiTheme="minorHAnsi" w:hAnsiTheme="minorHAnsi" w:cstheme="minorHAnsi"/>
        </w:rPr>
        <w:t xml:space="preserve">concentrated in </w:t>
      </w:r>
      <w:r w:rsidR="003601FA">
        <w:rPr>
          <w:rFonts w:asciiTheme="minorHAnsi" w:hAnsiTheme="minorHAnsi" w:cstheme="minorHAnsi"/>
        </w:rPr>
        <w:t xml:space="preserve">remote areas of Australia, especially </w:t>
      </w:r>
      <w:r w:rsidR="00D256BC">
        <w:rPr>
          <w:rFonts w:asciiTheme="minorHAnsi" w:hAnsiTheme="minorHAnsi" w:cstheme="minorHAnsi"/>
        </w:rPr>
        <w:t>in outback Northern Territory</w:t>
      </w:r>
      <w:r w:rsidR="00E33590">
        <w:rPr>
          <w:rFonts w:asciiTheme="minorHAnsi" w:hAnsiTheme="minorHAnsi" w:cstheme="minorHAnsi"/>
        </w:rPr>
        <w:t xml:space="preserve">, </w:t>
      </w:r>
      <w:r w:rsidR="00D256BC">
        <w:rPr>
          <w:rFonts w:asciiTheme="minorHAnsi" w:hAnsiTheme="minorHAnsi" w:cstheme="minorHAnsi"/>
        </w:rPr>
        <w:t>Western Australia</w:t>
      </w:r>
      <w:r w:rsidR="00A57DB4">
        <w:rPr>
          <w:rFonts w:asciiTheme="minorHAnsi" w:hAnsiTheme="minorHAnsi" w:cstheme="minorHAnsi"/>
        </w:rPr>
        <w:t xml:space="preserve"> and Queensland </w:t>
      </w:r>
      <w:r w:rsidR="003601FA">
        <w:rPr>
          <w:rFonts w:asciiTheme="minorHAnsi" w:hAnsiTheme="minorHAnsi" w:cstheme="minorHAnsi"/>
        </w:rPr>
        <w:t>(Figure 10)</w:t>
      </w:r>
      <w:r w:rsidR="0075718D">
        <w:rPr>
          <w:rFonts w:asciiTheme="minorHAnsi" w:hAnsiTheme="minorHAnsi" w:cstheme="minorHAnsi"/>
        </w:rPr>
        <w:t xml:space="preserve">. </w:t>
      </w:r>
      <w:r w:rsidR="00753F0E">
        <w:rPr>
          <w:rFonts w:asciiTheme="minorHAnsi" w:hAnsiTheme="minorHAnsi" w:cstheme="minorHAnsi"/>
        </w:rPr>
        <w:t xml:space="preserve">This is consistent with </w:t>
      </w:r>
      <w:r w:rsidR="003078CD">
        <w:rPr>
          <w:rFonts w:asciiTheme="minorHAnsi" w:hAnsiTheme="minorHAnsi" w:cstheme="minorHAnsi"/>
        </w:rPr>
        <w:t xml:space="preserve">businesses servicing </w:t>
      </w:r>
      <w:r w:rsidR="004349EF">
        <w:rPr>
          <w:rFonts w:asciiTheme="minorHAnsi" w:hAnsiTheme="minorHAnsi" w:cstheme="minorHAnsi"/>
        </w:rPr>
        <w:t>mining, tourism and health sectors</w:t>
      </w:r>
      <w:r w:rsidR="00D55988">
        <w:rPr>
          <w:rFonts w:asciiTheme="minorHAnsi" w:hAnsiTheme="minorHAnsi" w:cstheme="minorHAnsi"/>
        </w:rPr>
        <w:t xml:space="preserve"> in these areas</w:t>
      </w:r>
      <w:r w:rsidR="004349EF">
        <w:rPr>
          <w:rFonts w:asciiTheme="minorHAnsi" w:hAnsiTheme="minorHAnsi" w:cstheme="minorHAnsi"/>
        </w:rPr>
        <w:t xml:space="preserve">. </w:t>
      </w:r>
      <w:r w:rsidR="0075718D">
        <w:rPr>
          <w:rFonts w:asciiTheme="minorHAnsi" w:hAnsiTheme="minorHAnsi" w:cstheme="minorHAnsi"/>
        </w:rPr>
        <w:t>In contrast</w:t>
      </w:r>
      <w:r w:rsidR="00A405CE">
        <w:rPr>
          <w:rFonts w:asciiTheme="minorHAnsi" w:hAnsiTheme="minorHAnsi" w:cstheme="minorHAnsi"/>
        </w:rPr>
        <w:t>,</w:t>
      </w:r>
      <w:r w:rsidR="007D488C">
        <w:rPr>
          <w:rFonts w:asciiTheme="minorHAnsi" w:hAnsiTheme="minorHAnsi" w:cstheme="minorHAnsi"/>
        </w:rPr>
        <w:t xml:space="preserve"> in </w:t>
      </w:r>
      <w:r w:rsidR="00A405CE">
        <w:rPr>
          <w:rFonts w:asciiTheme="minorHAnsi" w:hAnsiTheme="minorHAnsi" w:cstheme="minorHAnsi"/>
        </w:rPr>
        <w:t xml:space="preserve">regional and </w:t>
      </w:r>
      <w:r w:rsidR="007D488C">
        <w:rPr>
          <w:rFonts w:asciiTheme="minorHAnsi" w:hAnsiTheme="minorHAnsi" w:cstheme="minorHAnsi"/>
        </w:rPr>
        <w:t xml:space="preserve">major cities, </w:t>
      </w:r>
      <w:r w:rsidR="00F94A43">
        <w:rPr>
          <w:rFonts w:asciiTheme="minorHAnsi" w:hAnsiTheme="minorHAnsi" w:cstheme="minorHAnsi"/>
        </w:rPr>
        <w:t xml:space="preserve">Indigenous businesses </w:t>
      </w:r>
      <w:r w:rsidR="007F33E9">
        <w:rPr>
          <w:rFonts w:asciiTheme="minorHAnsi" w:hAnsiTheme="minorHAnsi" w:cstheme="minorHAnsi"/>
        </w:rPr>
        <w:t xml:space="preserve">operate across more diverse sectors and are </w:t>
      </w:r>
      <w:r w:rsidR="009A4ADC">
        <w:rPr>
          <w:rFonts w:asciiTheme="minorHAnsi" w:hAnsiTheme="minorHAnsi" w:cstheme="minorHAnsi"/>
        </w:rPr>
        <w:t xml:space="preserve">geographically </w:t>
      </w:r>
      <w:r w:rsidR="007F33E9">
        <w:rPr>
          <w:rFonts w:asciiTheme="minorHAnsi" w:hAnsiTheme="minorHAnsi" w:cstheme="minorHAnsi"/>
        </w:rPr>
        <w:t xml:space="preserve">more dispersed </w:t>
      </w:r>
      <w:r w:rsidR="00735652">
        <w:rPr>
          <w:rFonts w:asciiTheme="minorHAnsi" w:hAnsiTheme="minorHAnsi" w:cstheme="minorHAnsi"/>
        </w:rPr>
        <w:t xml:space="preserve">across ABS SA4 regions so that only one </w:t>
      </w:r>
      <w:r w:rsidR="00880AFB">
        <w:rPr>
          <w:rFonts w:asciiTheme="minorHAnsi" w:hAnsiTheme="minorHAnsi" w:cstheme="minorHAnsi"/>
        </w:rPr>
        <w:t xml:space="preserve">SA4 area in a </w:t>
      </w:r>
      <w:r w:rsidR="00735652">
        <w:rPr>
          <w:rFonts w:asciiTheme="minorHAnsi" w:hAnsiTheme="minorHAnsi" w:cstheme="minorHAnsi"/>
        </w:rPr>
        <w:t xml:space="preserve">major city (Darwin) </w:t>
      </w:r>
      <w:r w:rsidR="00492EA9">
        <w:rPr>
          <w:rFonts w:asciiTheme="minorHAnsi" w:hAnsiTheme="minorHAnsi" w:cstheme="minorHAnsi"/>
        </w:rPr>
        <w:t xml:space="preserve">and a handful of </w:t>
      </w:r>
      <w:r w:rsidR="00880AFB">
        <w:rPr>
          <w:rFonts w:asciiTheme="minorHAnsi" w:hAnsiTheme="minorHAnsi" w:cstheme="minorHAnsi"/>
        </w:rPr>
        <w:t xml:space="preserve">SA4s in </w:t>
      </w:r>
      <w:r w:rsidR="00492EA9">
        <w:rPr>
          <w:rFonts w:asciiTheme="minorHAnsi" w:hAnsiTheme="minorHAnsi" w:cstheme="minorHAnsi"/>
        </w:rPr>
        <w:t>regional areas have</w:t>
      </w:r>
      <w:r w:rsidR="00735652">
        <w:rPr>
          <w:rFonts w:asciiTheme="minorHAnsi" w:hAnsiTheme="minorHAnsi" w:cstheme="minorHAnsi"/>
        </w:rPr>
        <w:t xml:space="preserve"> as le</w:t>
      </w:r>
      <w:r w:rsidR="00492EA9">
        <w:rPr>
          <w:rFonts w:asciiTheme="minorHAnsi" w:hAnsiTheme="minorHAnsi" w:cstheme="minorHAnsi"/>
        </w:rPr>
        <w:t>a</w:t>
      </w:r>
      <w:r w:rsidR="00735652">
        <w:rPr>
          <w:rFonts w:asciiTheme="minorHAnsi" w:hAnsiTheme="minorHAnsi" w:cstheme="minorHAnsi"/>
        </w:rPr>
        <w:t xml:space="preserve">st 10 businesses in the </w:t>
      </w:r>
      <w:r w:rsidR="00D35358">
        <w:rPr>
          <w:rFonts w:asciiTheme="minorHAnsi" w:hAnsiTheme="minorHAnsi" w:cstheme="minorHAnsi"/>
        </w:rPr>
        <w:t>‘big six’ sectors</w:t>
      </w:r>
      <w:r w:rsidR="00D7536B">
        <w:rPr>
          <w:rFonts w:asciiTheme="minorHAnsi" w:hAnsiTheme="minorHAnsi" w:cstheme="minorHAnsi"/>
        </w:rPr>
        <w:t>.</w:t>
      </w:r>
      <w:r w:rsidR="00BD5CC1">
        <w:rPr>
          <w:rFonts w:asciiTheme="minorHAnsi" w:hAnsiTheme="minorHAnsi" w:cstheme="minorHAnsi"/>
        </w:rPr>
        <w:t xml:space="preserve"> Figure 10 also highlights the </w:t>
      </w:r>
      <w:r w:rsidR="00FB3592">
        <w:rPr>
          <w:rFonts w:asciiTheme="minorHAnsi" w:hAnsiTheme="minorHAnsi" w:cstheme="minorHAnsi"/>
        </w:rPr>
        <w:t xml:space="preserve">extensive </w:t>
      </w:r>
      <w:r w:rsidR="0033408E">
        <w:rPr>
          <w:rFonts w:asciiTheme="minorHAnsi" w:hAnsiTheme="minorHAnsi" w:cstheme="minorHAnsi"/>
        </w:rPr>
        <w:t xml:space="preserve">nature of </w:t>
      </w:r>
      <w:r w:rsidR="002C4A60">
        <w:rPr>
          <w:rFonts w:asciiTheme="minorHAnsi" w:hAnsiTheme="minorHAnsi" w:cstheme="minorHAnsi"/>
        </w:rPr>
        <w:t xml:space="preserve">Health Care and Social Assistance sector </w:t>
      </w:r>
      <w:r w:rsidR="0033408E">
        <w:rPr>
          <w:rFonts w:asciiTheme="minorHAnsi" w:hAnsiTheme="minorHAnsi" w:cstheme="minorHAnsi"/>
        </w:rPr>
        <w:t xml:space="preserve">that provide </w:t>
      </w:r>
      <w:r w:rsidR="002C4A60">
        <w:rPr>
          <w:rFonts w:asciiTheme="minorHAnsi" w:hAnsiTheme="minorHAnsi" w:cstheme="minorHAnsi"/>
        </w:rPr>
        <w:t xml:space="preserve">health </w:t>
      </w:r>
      <w:r w:rsidR="007C3FB3">
        <w:rPr>
          <w:rFonts w:asciiTheme="minorHAnsi" w:hAnsiTheme="minorHAnsi" w:cstheme="minorHAnsi"/>
        </w:rPr>
        <w:t>services throughout</w:t>
      </w:r>
      <w:r w:rsidR="00F70DEA">
        <w:rPr>
          <w:rFonts w:asciiTheme="minorHAnsi" w:hAnsiTheme="minorHAnsi" w:cstheme="minorHAnsi"/>
        </w:rPr>
        <w:t xml:space="preserve"> </w:t>
      </w:r>
      <w:r w:rsidR="007C3FB3">
        <w:rPr>
          <w:rFonts w:asciiTheme="minorHAnsi" w:hAnsiTheme="minorHAnsi" w:cstheme="minorHAnsi"/>
        </w:rPr>
        <w:t xml:space="preserve">remote </w:t>
      </w:r>
      <w:r w:rsidR="00F70DEA">
        <w:rPr>
          <w:rFonts w:asciiTheme="minorHAnsi" w:hAnsiTheme="minorHAnsi" w:cstheme="minorHAnsi"/>
        </w:rPr>
        <w:t xml:space="preserve">Indigenous </w:t>
      </w:r>
      <w:r w:rsidR="007C3FB3">
        <w:rPr>
          <w:rFonts w:asciiTheme="minorHAnsi" w:hAnsiTheme="minorHAnsi" w:cstheme="minorHAnsi"/>
        </w:rPr>
        <w:t xml:space="preserve">communities. </w:t>
      </w:r>
    </w:p>
    <w:p w14:paraId="63D6F614" w14:textId="1CAA3369" w:rsidR="009318CA" w:rsidRDefault="00C12398" w:rsidP="00DC2B2E">
      <w:pPr>
        <w:rPr>
          <w:rFonts w:asciiTheme="minorHAnsi" w:hAnsiTheme="minorHAnsi" w:cstheme="minorHAnsi"/>
        </w:rPr>
      </w:pPr>
      <w:r>
        <w:rPr>
          <w:rFonts w:asciiTheme="minorHAnsi" w:hAnsiTheme="minorHAnsi" w:cstheme="minorHAnsi"/>
        </w:rPr>
        <w:br w:type="page"/>
      </w:r>
    </w:p>
    <w:p w14:paraId="237B90F4" w14:textId="5F2A8AA2" w:rsidR="00743F9D" w:rsidRPr="00A86BEC" w:rsidRDefault="00743F9D" w:rsidP="00DC2B2E">
      <w:pPr>
        <w:rPr>
          <w:rFonts w:asciiTheme="minorHAnsi" w:hAnsiTheme="minorHAnsi" w:cstheme="minorHAnsi"/>
          <w:b/>
          <w:bCs/>
        </w:rPr>
      </w:pPr>
      <w:r w:rsidRPr="00A86BEC">
        <w:rPr>
          <w:rFonts w:asciiTheme="minorHAnsi" w:hAnsiTheme="minorHAnsi" w:cstheme="minorHAnsi"/>
          <w:b/>
          <w:bCs/>
        </w:rPr>
        <w:lastRenderedPageBreak/>
        <w:t xml:space="preserve">Figure 10: </w:t>
      </w:r>
      <w:r w:rsidR="00CB1EA0" w:rsidRPr="00A86BEC">
        <w:rPr>
          <w:rFonts w:asciiTheme="minorHAnsi" w:hAnsiTheme="minorHAnsi" w:cstheme="minorHAnsi"/>
          <w:b/>
          <w:bCs/>
        </w:rPr>
        <w:t xml:space="preserve">Number </w:t>
      </w:r>
      <w:r w:rsidR="00682A83" w:rsidRPr="00A86BEC">
        <w:rPr>
          <w:rFonts w:asciiTheme="minorHAnsi" w:hAnsiTheme="minorHAnsi" w:cstheme="minorHAnsi"/>
          <w:b/>
          <w:bCs/>
        </w:rPr>
        <w:t xml:space="preserve">of </w:t>
      </w:r>
      <w:r w:rsidRPr="00A86BEC">
        <w:rPr>
          <w:rFonts w:asciiTheme="minorHAnsi" w:hAnsiTheme="minorHAnsi" w:cstheme="minorHAnsi"/>
          <w:b/>
          <w:bCs/>
        </w:rPr>
        <w:t xml:space="preserve">Indigenous businesses </w:t>
      </w:r>
      <w:r w:rsidR="00D231C5" w:rsidRPr="00A86BEC">
        <w:rPr>
          <w:rFonts w:asciiTheme="minorHAnsi" w:hAnsiTheme="minorHAnsi" w:cstheme="minorHAnsi"/>
          <w:b/>
          <w:bCs/>
        </w:rPr>
        <w:t>by key ABS Sector Division</w:t>
      </w:r>
      <w:r w:rsidR="007A55B0" w:rsidRPr="00A86BEC">
        <w:rPr>
          <w:rFonts w:asciiTheme="minorHAnsi" w:hAnsiTheme="minorHAnsi" w:cstheme="minorHAnsi"/>
          <w:b/>
          <w:bCs/>
        </w:rPr>
        <w:t>, 2017-18</w:t>
      </w:r>
    </w:p>
    <w:p w14:paraId="541AB546" w14:textId="77777777" w:rsidR="00743F9D" w:rsidRDefault="00743F9D" w:rsidP="00DC2B2E">
      <w:pPr>
        <w:rPr>
          <w:rFonts w:asciiTheme="minorHAnsi" w:hAnsiTheme="minorHAnsi" w:cstheme="minorHAnsi"/>
        </w:rPr>
      </w:pPr>
    </w:p>
    <w:p w14:paraId="4D6A782E" w14:textId="7AA027D3" w:rsidR="009318CA" w:rsidRDefault="008221B3" w:rsidP="00DC2B2E">
      <w:pPr>
        <w:rPr>
          <w:rFonts w:asciiTheme="minorHAnsi" w:hAnsiTheme="minorHAnsi" w:cstheme="minorHAnsi"/>
        </w:rPr>
      </w:pPr>
      <w:r>
        <w:rPr>
          <w:noProof/>
          <w:lang w:val="en-GB" w:eastAsia="en-GB"/>
        </w:rPr>
        <w:drawing>
          <wp:inline distT="0" distB="0" distL="0" distR="0" wp14:anchorId="6DBA5577" wp14:editId="280DD5BB">
            <wp:extent cx="2758698" cy="2591707"/>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85307" cy="2616706"/>
                    </a:xfrm>
                    <a:prstGeom prst="rect">
                      <a:avLst/>
                    </a:prstGeom>
                    <a:noFill/>
                    <a:ln>
                      <a:noFill/>
                    </a:ln>
                  </pic:spPr>
                </pic:pic>
              </a:graphicData>
            </a:graphic>
          </wp:inline>
        </w:drawing>
      </w:r>
      <w:r w:rsidR="00156E1D" w:rsidRPr="00156E1D">
        <w:t xml:space="preserve"> </w:t>
      </w:r>
      <w:r w:rsidR="00156E1D">
        <w:rPr>
          <w:noProof/>
          <w:lang w:val="en-GB" w:eastAsia="en-GB"/>
        </w:rPr>
        <w:drawing>
          <wp:inline distT="0" distB="0" distL="0" distR="0" wp14:anchorId="26556E0D" wp14:editId="2F20D842">
            <wp:extent cx="2664248" cy="2502976"/>
            <wp:effectExtent l="0" t="0" r="317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89411" cy="2526616"/>
                    </a:xfrm>
                    <a:prstGeom prst="rect">
                      <a:avLst/>
                    </a:prstGeom>
                    <a:noFill/>
                    <a:ln>
                      <a:noFill/>
                    </a:ln>
                  </pic:spPr>
                </pic:pic>
              </a:graphicData>
            </a:graphic>
          </wp:inline>
        </w:drawing>
      </w:r>
    </w:p>
    <w:p w14:paraId="3BF348C8" w14:textId="7F3BE61C" w:rsidR="00156E1D" w:rsidRDefault="00156E1D" w:rsidP="00DC2B2E">
      <w:pPr>
        <w:rPr>
          <w:rFonts w:asciiTheme="minorHAnsi" w:hAnsiTheme="minorHAnsi" w:cstheme="minorHAnsi"/>
        </w:rPr>
      </w:pPr>
    </w:p>
    <w:p w14:paraId="37F7CEFC" w14:textId="6AD3176F" w:rsidR="00156E1D" w:rsidRDefault="00D55FFF" w:rsidP="00DC2B2E">
      <w:r>
        <w:rPr>
          <w:noProof/>
          <w:lang w:val="en-GB" w:eastAsia="en-GB"/>
        </w:rPr>
        <w:drawing>
          <wp:inline distT="0" distB="0" distL="0" distR="0" wp14:anchorId="770B5923" wp14:editId="16D080AC">
            <wp:extent cx="2789695" cy="2620829"/>
            <wp:effectExtent l="0" t="0" r="0" b="82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5419" cy="2626206"/>
                    </a:xfrm>
                    <a:prstGeom prst="rect">
                      <a:avLst/>
                    </a:prstGeom>
                    <a:noFill/>
                    <a:ln>
                      <a:noFill/>
                    </a:ln>
                  </pic:spPr>
                </pic:pic>
              </a:graphicData>
            </a:graphic>
          </wp:inline>
        </w:drawing>
      </w:r>
      <w:r w:rsidR="00B17981" w:rsidRPr="00B17981">
        <w:t xml:space="preserve"> </w:t>
      </w:r>
      <w:r w:rsidR="00B17981">
        <w:rPr>
          <w:noProof/>
          <w:lang w:val="en-GB" w:eastAsia="en-GB"/>
        </w:rPr>
        <w:drawing>
          <wp:inline distT="0" distB="0" distL="0" distR="0" wp14:anchorId="6EE5742C" wp14:editId="2D30D147">
            <wp:extent cx="2712203" cy="2548028"/>
            <wp:effectExtent l="0" t="0" r="0" b="508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717401" cy="2552912"/>
                    </a:xfrm>
                    <a:prstGeom prst="rect">
                      <a:avLst/>
                    </a:prstGeom>
                    <a:noFill/>
                    <a:ln>
                      <a:noFill/>
                    </a:ln>
                  </pic:spPr>
                </pic:pic>
              </a:graphicData>
            </a:graphic>
          </wp:inline>
        </w:drawing>
      </w:r>
    </w:p>
    <w:p w14:paraId="3F36E327" w14:textId="388591B1" w:rsidR="000F598E" w:rsidRDefault="00F55486" w:rsidP="00DC2B2E">
      <w:pPr>
        <w:rPr>
          <w:rFonts w:asciiTheme="minorHAnsi" w:hAnsiTheme="minorHAnsi" w:cstheme="minorHAnsi"/>
        </w:rPr>
      </w:pPr>
      <w:r>
        <w:rPr>
          <w:noProof/>
          <w:lang w:val="en-GB" w:eastAsia="en-GB"/>
        </w:rPr>
        <w:drawing>
          <wp:inline distT="0" distB="0" distL="0" distR="0" wp14:anchorId="6442B0F3" wp14:editId="508A4CF7">
            <wp:extent cx="2789555" cy="2620697"/>
            <wp:effectExtent l="0" t="0" r="0" b="825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92556" cy="2623516"/>
                    </a:xfrm>
                    <a:prstGeom prst="rect">
                      <a:avLst/>
                    </a:prstGeom>
                    <a:noFill/>
                    <a:ln>
                      <a:noFill/>
                    </a:ln>
                  </pic:spPr>
                </pic:pic>
              </a:graphicData>
            </a:graphic>
          </wp:inline>
        </w:drawing>
      </w:r>
      <w:r w:rsidR="00482C7D" w:rsidRPr="00482C7D">
        <w:t xml:space="preserve"> </w:t>
      </w:r>
      <w:r w:rsidR="00482C7D">
        <w:rPr>
          <w:noProof/>
          <w:lang w:val="en-GB" w:eastAsia="en-GB"/>
        </w:rPr>
        <w:drawing>
          <wp:inline distT="0" distB="0" distL="0" distR="0" wp14:anchorId="57352B08" wp14:editId="1B389F14">
            <wp:extent cx="2712085" cy="2547916"/>
            <wp:effectExtent l="0" t="0" r="0" b="508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729602" cy="2564373"/>
                    </a:xfrm>
                    <a:prstGeom prst="rect">
                      <a:avLst/>
                    </a:prstGeom>
                    <a:noFill/>
                    <a:ln>
                      <a:noFill/>
                    </a:ln>
                  </pic:spPr>
                </pic:pic>
              </a:graphicData>
            </a:graphic>
          </wp:inline>
        </w:drawing>
      </w:r>
    </w:p>
    <w:p w14:paraId="17A9E0AC" w14:textId="5F8425BB" w:rsidR="00156E1D" w:rsidRPr="001B528E" w:rsidRDefault="00800E16" w:rsidP="00DC2B2E">
      <w:pPr>
        <w:rPr>
          <w:rFonts w:asciiTheme="majorHAnsi" w:eastAsiaTheme="majorEastAsia" w:hAnsiTheme="majorHAnsi" w:cstheme="majorBidi"/>
          <w:color w:val="2F5496" w:themeColor="accent1" w:themeShade="BF"/>
          <w:sz w:val="32"/>
          <w:szCs w:val="32"/>
        </w:rPr>
      </w:pPr>
      <w:r w:rsidRPr="00E36748">
        <w:rPr>
          <w:rFonts w:asciiTheme="minorHAnsi" w:hAnsiTheme="minorHAnsi" w:cstheme="minorHAnsi"/>
          <w:sz w:val="20"/>
          <w:szCs w:val="20"/>
        </w:rPr>
        <w:t xml:space="preserve">Source: I-BLADE </w:t>
      </w:r>
      <w:r>
        <w:rPr>
          <w:rFonts w:asciiTheme="minorHAnsi" w:hAnsiTheme="minorHAnsi" w:cstheme="minorHAnsi"/>
          <w:sz w:val="20"/>
          <w:szCs w:val="20"/>
        </w:rPr>
        <w:t xml:space="preserve">1.0, restricted to businesses that are active for tax purposes. </w:t>
      </w:r>
      <w:r w:rsidRPr="00800E16">
        <w:rPr>
          <w:rFonts w:asciiTheme="minorHAnsi" w:hAnsiTheme="minorHAnsi" w:cstheme="minorHAnsi"/>
          <w:sz w:val="18"/>
          <w:szCs w:val="18"/>
        </w:rPr>
        <w:t>Indigenous businesses are from Indigenous business registries (Supply Nation registry, ICN Gateway data, Victorian Aboriginal Business Directory or the ORIC database).</w:t>
      </w:r>
    </w:p>
    <w:p w14:paraId="17904375" w14:textId="3447A6BC" w:rsidR="00DC2B2E" w:rsidRPr="00C12398" w:rsidRDefault="00B8328F" w:rsidP="00C12398">
      <w:pPr>
        <w:pStyle w:val="Heading1"/>
      </w:pPr>
      <w:r>
        <w:br w:type="page"/>
      </w:r>
      <w:r w:rsidR="00884F1A">
        <w:lastRenderedPageBreak/>
        <w:t>Impact of the Indigenous business sector</w:t>
      </w:r>
    </w:p>
    <w:p w14:paraId="62520DDF" w14:textId="5E3FEA78" w:rsidR="002E0245" w:rsidRDefault="00380969" w:rsidP="00ED2BE1">
      <w:pPr>
        <w:jc w:val="both"/>
        <w:rPr>
          <w:rFonts w:asciiTheme="minorHAnsi" w:hAnsiTheme="minorHAnsi" w:cstheme="minorHAnsi"/>
        </w:rPr>
      </w:pPr>
      <w:r w:rsidRPr="00D45058">
        <w:rPr>
          <w:rFonts w:asciiTheme="minorHAnsi" w:hAnsiTheme="minorHAnsi" w:cstheme="minorHAnsi"/>
          <w:b/>
          <w:bCs/>
        </w:rPr>
        <w:t xml:space="preserve">Promoting the growth of </w:t>
      </w:r>
      <w:r w:rsidR="0022718E" w:rsidRPr="00D45058">
        <w:rPr>
          <w:rFonts w:asciiTheme="minorHAnsi" w:hAnsiTheme="minorHAnsi" w:cstheme="minorHAnsi"/>
          <w:b/>
          <w:bCs/>
        </w:rPr>
        <w:t xml:space="preserve">the </w:t>
      </w:r>
      <w:r w:rsidRPr="00D45058">
        <w:rPr>
          <w:rFonts w:asciiTheme="minorHAnsi" w:hAnsiTheme="minorHAnsi" w:cstheme="minorHAnsi"/>
          <w:b/>
          <w:bCs/>
        </w:rPr>
        <w:t>Indigenous business</w:t>
      </w:r>
      <w:r w:rsidR="0022718E" w:rsidRPr="00D45058">
        <w:rPr>
          <w:rFonts w:asciiTheme="minorHAnsi" w:hAnsiTheme="minorHAnsi" w:cstheme="minorHAnsi"/>
          <w:b/>
          <w:bCs/>
        </w:rPr>
        <w:t xml:space="preserve"> sector</w:t>
      </w:r>
      <w:r w:rsidRPr="00D45058">
        <w:rPr>
          <w:rFonts w:asciiTheme="minorHAnsi" w:hAnsiTheme="minorHAnsi" w:cstheme="minorHAnsi"/>
          <w:b/>
          <w:bCs/>
        </w:rPr>
        <w:t xml:space="preserve"> is part of a shift in governmen</w:t>
      </w:r>
      <w:r w:rsidR="005A4666" w:rsidRPr="00D45058">
        <w:rPr>
          <w:rFonts w:asciiTheme="minorHAnsi" w:hAnsiTheme="minorHAnsi" w:cstheme="minorHAnsi"/>
          <w:b/>
          <w:bCs/>
        </w:rPr>
        <w:t xml:space="preserve">t and corporate policy </w:t>
      </w:r>
      <w:r w:rsidR="00AF1D52" w:rsidRPr="00D45058">
        <w:rPr>
          <w:rFonts w:asciiTheme="minorHAnsi" w:hAnsiTheme="minorHAnsi" w:cstheme="minorHAnsi"/>
          <w:b/>
          <w:bCs/>
        </w:rPr>
        <w:t xml:space="preserve">towards encouraging </w:t>
      </w:r>
      <w:r w:rsidRPr="00D45058">
        <w:rPr>
          <w:rFonts w:asciiTheme="minorHAnsi" w:hAnsiTheme="minorHAnsi" w:cstheme="minorHAnsi"/>
          <w:b/>
          <w:bCs/>
        </w:rPr>
        <w:t>greater</w:t>
      </w:r>
      <w:r w:rsidR="00AF1D52" w:rsidRPr="00D45058">
        <w:rPr>
          <w:rFonts w:asciiTheme="minorHAnsi" w:hAnsiTheme="minorHAnsi" w:cstheme="minorHAnsi"/>
          <w:b/>
          <w:bCs/>
        </w:rPr>
        <w:t xml:space="preserve"> Indigenous</w:t>
      </w:r>
      <w:r w:rsidRPr="00D45058">
        <w:rPr>
          <w:rFonts w:asciiTheme="minorHAnsi" w:hAnsiTheme="minorHAnsi" w:cstheme="minorHAnsi"/>
          <w:b/>
          <w:bCs/>
        </w:rPr>
        <w:t xml:space="preserve"> entrepreneurship and economic </w:t>
      </w:r>
      <w:r w:rsidR="00D45058">
        <w:rPr>
          <w:rFonts w:asciiTheme="minorHAnsi" w:hAnsiTheme="minorHAnsi" w:cstheme="minorHAnsi"/>
          <w:b/>
          <w:bCs/>
        </w:rPr>
        <w:t>participation</w:t>
      </w:r>
      <w:r w:rsidR="00AD17E5" w:rsidRPr="00D45058">
        <w:rPr>
          <w:rFonts w:asciiTheme="minorHAnsi" w:hAnsiTheme="minorHAnsi" w:cstheme="minorHAnsi"/>
          <w:b/>
          <w:bCs/>
        </w:rPr>
        <w:t>.</w:t>
      </w:r>
      <w:r w:rsidR="00AD17E5">
        <w:rPr>
          <w:rFonts w:asciiTheme="minorHAnsi" w:hAnsiTheme="minorHAnsi" w:cstheme="minorHAnsi"/>
        </w:rPr>
        <w:t xml:space="preserve"> </w:t>
      </w:r>
      <w:r w:rsidR="00B32389">
        <w:rPr>
          <w:rFonts w:asciiTheme="minorHAnsi" w:hAnsiTheme="minorHAnsi" w:cstheme="minorHAnsi"/>
        </w:rPr>
        <w:t xml:space="preserve">To these ends, statistics presented </w:t>
      </w:r>
      <w:r w:rsidR="004146FD">
        <w:rPr>
          <w:rFonts w:asciiTheme="minorHAnsi" w:hAnsiTheme="minorHAnsi" w:cstheme="minorHAnsi"/>
        </w:rPr>
        <w:t>above</w:t>
      </w:r>
      <w:r w:rsidR="00B32389">
        <w:rPr>
          <w:rFonts w:asciiTheme="minorHAnsi" w:hAnsiTheme="minorHAnsi" w:cstheme="minorHAnsi"/>
        </w:rPr>
        <w:t xml:space="preserve"> demonstrate th</w:t>
      </w:r>
      <w:r w:rsidR="00BE384A">
        <w:rPr>
          <w:rFonts w:asciiTheme="minorHAnsi" w:hAnsiTheme="minorHAnsi" w:cstheme="minorHAnsi"/>
        </w:rPr>
        <w:t xml:space="preserve">at these changes are being realised in Indigenous businesses growth and diversification. </w:t>
      </w:r>
      <w:r w:rsidR="00F85383">
        <w:rPr>
          <w:rFonts w:asciiTheme="minorHAnsi" w:hAnsiTheme="minorHAnsi" w:cstheme="minorHAnsi"/>
        </w:rPr>
        <w:t xml:space="preserve">While these </w:t>
      </w:r>
      <w:r w:rsidR="008A5D91">
        <w:rPr>
          <w:rFonts w:asciiTheme="minorHAnsi" w:hAnsiTheme="minorHAnsi" w:cstheme="minorHAnsi"/>
        </w:rPr>
        <w:t xml:space="preserve">changes are benefiting </w:t>
      </w:r>
      <w:r w:rsidR="00341DCB">
        <w:rPr>
          <w:rFonts w:asciiTheme="minorHAnsi" w:hAnsiTheme="minorHAnsi" w:cstheme="minorHAnsi"/>
        </w:rPr>
        <w:t xml:space="preserve">Indigenous </w:t>
      </w:r>
      <w:r w:rsidR="008A5D91">
        <w:rPr>
          <w:rFonts w:asciiTheme="minorHAnsi" w:hAnsiTheme="minorHAnsi" w:cstheme="minorHAnsi"/>
        </w:rPr>
        <w:t xml:space="preserve">business </w:t>
      </w:r>
      <w:r w:rsidR="00341DCB">
        <w:rPr>
          <w:rFonts w:asciiTheme="minorHAnsi" w:hAnsiTheme="minorHAnsi" w:cstheme="minorHAnsi"/>
        </w:rPr>
        <w:t xml:space="preserve">owners </w:t>
      </w:r>
      <w:r w:rsidR="002E0245">
        <w:rPr>
          <w:rFonts w:asciiTheme="minorHAnsi" w:hAnsiTheme="minorHAnsi" w:cstheme="minorHAnsi"/>
        </w:rPr>
        <w:t>through</w:t>
      </w:r>
      <w:r w:rsidR="00F85383">
        <w:rPr>
          <w:rFonts w:asciiTheme="minorHAnsi" w:hAnsiTheme="minorHAnsi" w:cstheme="minorHAnsi"/>
        </w:rPr>
        <w:t xml:space="preserve"> improved networks, business skills and</w:t>
      </w:r>
      <w:r w:rsidR="002E0245">
        <w:rPr>
          <w:rFonts w:asciiTheme="minorHAnsi" w:hAnsiTheme="minorHAnsi" w:cstheme="minorHAnsi"/>
        </w:rPr>
        <w:t xml:space="preserve"> financial </w:t>
      </w:r>
      <w:r w:rsidR="006F5E05">
        <w:rPr>
          <w:rFonts w:asciiTheme="minorHAnsi" w:hAnsiTheme="minorHAnsi" w:cstheme="minorHAnsi"/>
        </w:rPr>
        <w:t>wellbeing</w:t>
      </w:r>
      <w:r w:rsidR="00166E84">
        <w:rPr>
          <w:rFonts w:asciiTheme="minorHAnsi" w:hAnsiTheme="minorHAnsi" w:cstheme="minorHAnsi"/>
        </w:rPr>
        <w:t xml:space="preserve">, these are likely to be dwarfed when considered against the wider </w:t>
      </w:r>
      <w:r w:rsidR="00E54F31">
        <w:rPr>
          <w:rFonts w:asciiTheme="minorHAnsi" w:hAnsiTheme="minorHAnsi" w:cstheme="minorHAnsi"/>
        </w:rPr>
        <w:t>public benefits to local communities and to all Australians</w:t>
      </w:r>
      <w:r w:rsidR="00A862FB">
        <w:rPr>
          <w:rFonts w:asciiTheme="minorHAnsi" w:hAnsiTheme="minorHAnsi" w:cstheme="minorHAnsi"/>
        </w:rPr>
        <w:t>.</w:t>
      </w:r>
    </w:p>
    <w:p w14:paraId="557A9EF0" w14:textId="77777777" w:rsidR="002E0245" w:rsidRDefault="002E0245" w:rsidP="00ED2BE1">
      <w:pPr>
        <w:jc w:val="both"/>
        <w:rPr>
          <w:rFonts w:asciiTheme="minorHAnsi" w:hAnsiTheme="minorHAnsi" w:cstheme="minorHAnsi"/>
        </w:rPr>
      </w:pPr>
    </w:p>
    <w:p w14:paraId="46CC252A" w14:textId="67327348" w:rsidR="00F57240" w:rsidRDefault="00E54F31" w:rsidP="00ED2BE1">
      <w:pPr>
        <w:jc w:val="both"/>
        <w:rPr>
          <w:rFonts w:asciiTheme="minorHAnsi" w:hAnsiTheme="minorHAnsi" w:cstheme="minorHAnsi"/>
        </w:rPr>
      </w:pPr>
      <w:r>
        <w:rPr>
          <w:rFonts w:asciiTheme="minorHAnsi" w:hAnsiTheme="minorHAnsi" w:cstheme="minorHAnsi"/>
        </w:rPr>
        <w:t>These public benefits</w:t>
      </w:r>
      <w:r w:rsidR="00A071FD">
        <w:rPr>
          <w:rFonts w:asciiTheme="minorHAnsi" w:hAnsiTheme="minorHAnsi" w:cstheme="minorHAnsi"/>
        </w:rPr>
        <w:t xml:space="preserve">, </w:t>
      </w:r>
      <w:r>
        <w:rPr>
          <w:rFonts w:asciiTheme="minorHAnsi" w:hAnsiTheme="minorHAnsi" w:cstheme="minorHAnsi"/>
        </w:rPr>
        <w:t xml:space="preserve">often called externalities or </w:t>
      </w:r>
      <w:proofErr w:type="spellStart"/>
      <w:r w:rsidR="006F5E05">
        <w:rPr>
          <w:rFonts w:asciiTheme="minorHAnsi" w:hAnsiTheme="minorHAnsi" w:cstheme="minorHAnsi"/>
        </w:rPr>
        <w:t>spillovers</w:t>
      </w:r>
      <w:proofErr w:type="spellEnd"/>
      <w:r>
        <w:rPr>
          <w:rFonts w:asciiTheme="minorHAnsi" w:hAnsiTheme="minorHAnsi" w:cstheme="minorHAnsi"/>
        </w:rPr>
        <w:t xml:space="preserve">, </w:t>
      </w:r>
      <w:r w:rsidR="008E39CB">
        <w:rPr>
          <w:rFonts w:asciiTheme="minorHAnsi" w:hAnsiTheme="minorHAnsi" w:cstheme="minorHAnsi"/>
        </w:rPr>
        <w:t xml:space="preserve">are </w:t>
      </w:r>
      <w:r w:rsidR="009D7F34">
        <w:rPr>
          <w:rFonts w:asciiTheme="minorHAnsi" w:hAnsiTheme="minorHAnsi" w:cstheme="minorHAnsi"/>
        </w:rPr>
        <w:t>incidental benefits of a growing Indigenous business sector</w:t>
      </w:r>
      <w:r w:rsidR="00D9202A">
        <w:rPr>
          <w:rFonts w:asciiTheme="minorHAnsi" w:hAnsiTheme="minorHAnsi" w:cstheme="minorHAnsi"/>
        </w:rPr>
        <w:t xml:space="preserve"> and </w:t>
      </w:r>
      <w:r w:rsidR="00090E0C">
        <w:rPr>
          <w:rFonts w:asciiTheme="minorHAnsi" w:hAnsiTheme="minorHAnsi" w:cstheme="minorHAnsi"/>
        </w:rPr>
        <w:t xml:space="preserve">are over and above those that would occur if the same growth were experienced in the non-Indigenous business sector. </w:t>
      </w:r>
      <w:r w:rsidR="009D7F34">
        <w:rPr>
          <w:rFonts w:asciiTheme="minorHAnsi" w:hAnsiTheme="minorHAnsi" w:cstheme="minorHAnsi"/>
        </w:rPr>
        <w:t xml:space="preserve">Ultimately, it is these </w:t>
      </w:r>
      <w:r w:rsidR="00315408">
        <w:rPr>
          <w:rFonts w:asciiTheme="minorHAnsi" w:hAnsiTheme="minorHAnsi" w:cstheme="minorHAnsi"/>
        </w:rPr>
        <w:t xml:space="preserve">incidental benefits that motivate government and the corporate sector to support growth </w:t>
      </w:r>
      <w:r w:rsidR="009F2E69">
        <w:rPr>
          <w:rFonts w:asciiTheme="minorHAnsi" w:hAnsiTheme="minorHAnsi" w:cstheme="minorHAnsi"/>
        </w:rPr>
        <w:t xml:space="preserve">in the Indigenous business sector </w:t>
      </w:r>
      <w:r w:rsidR="00315408">
        <w:rPr>
          <w:rFonts w:asciiTheme="minorHAnsi" w:hAnsiTheme="minorHAnsi" w:cstheme="minorHAnsi"/>
        </w:rPr>
        <w:t xml:space="preserve">and it is important to </w:t>
      </w:r>
      <w:r w:rsidR="00565EE9">
        <w:rPr>
          <w:rFonts w:asciiTheme="minorHAnsi" w:hAnsiTheme="minorHAnsi" w:cstheme="minorHAnsi"/>
        </w:rPr>
        <w:t xml:space="preserve">articulate, and where possible, quantify them to </w:t>
      </w:r>
      <w:r w:rsidR="00966DBF">
        <w:rPr>
          <w:rFonts w:asciiTheme="minorHAnsi" w:hAnsiTheme="minorHAnsi" w:cstheme="minorHAnsi"/>
        </w:rPr>
        <w:t>justify ongoing support for the sector</w:t>
      </w:r>
      <w:r w:rsidR="00565EE9">
        <w:rPr>
          <w:rFonts w:asciiTheme="minorHAnsi" w:hAnsiTheme="minorHAnsi" w:cstheme="minorHAnsi"/>
        </w:rPr>
        <w:t>. These benefits take on many forms</w:t>
      </w:r>
      <w:r w:rsidR="00D33FA7">
        <w:rPr>
          <w:rFonts w:asciiTheme="minorHAnsi" w:hAnsiTheme="minorHAnsi" w:cstheme="minorHAnsi"/>
        </w:rPr>
        <w:t xml:space="preserve">. </w:t>
      </w:r>
      <w:r w:rsidR="007E323F">
        <w:rPr>
          <w:rFonts w:asciiTheme="minorHAnsi" w:hAnsiTheme="minorHAnsi" w:cstheme="minorHAnsi"/>
        </w:rPr>
        <w:t>First,</w:t>
      </w:r>
      <w:r w:rsidR="00D177F8">
        <w:rPr>
          <w:rFonts w:asciiTheme="minorHAnsi" w:hAnsiTheme="minorHAnsi" w:cstheme="minorHAnsi"/>
        </w:rPr>
        <w:t xml:space="preserve"> and most directly,</w:t>
      </w:r>
      <w:r w:rsidR="007E323F">
        <w:rPr>
          <w:rFonts w:asciiTheme="minorHAnsi" w:hAnsiTheme="minorHAnsi" w:cstheme="minorHAnsi"/>
        </w:rPr>
        <w:t xml:space="preserve"> </w:t>
      </w:r>
      <w:r w:rsidR="00D33FA7" w:rsidRPr="002B1666">
        <w:rPr>
          <w:rFonts w:asciiTheme="minorHAnsi" w:hAnsiTheme="minorHAnsi" w:cstheme="minorHAnsi"/>
          <w:b/>
          <w:bCs/>
        </w:rPr>
        <w:t xml:space="preserve">Indigenous businesses </w:t>
      </w:r>
      <w:r w:rsidR="00E60A0A" w:rsidRPr="002B1666">
        <w:rPr>
          <w:rFonts w:asciiTheme="minorHAnsi" w:hAnsiTheme="minorHAnsi" w:cstheme="minorHAnsi"/>
          <w:b/>
          <w:bCs/>
        </w:rPr>
        <w:t xml:space="preserve">deliver a range of </w:t>
      </w:r>
      <w:r w:rsidR="00B73FA2" w:rsidRPr="002B1666">
        <w:rPr>
          <w:rFonts w:asciiTheme="minorHAnsi" w:hAnsiTheme="minorHAnsi" w:cstheme="minorHAnsi"/>
          <w:b/>
          <w:bCs/>
        </w:rPr>
        <w:t>services</w:t>
      </w:r>
      <w:r w:rsidR="00405AC7" w:rsidRPr="002B1666">
        <w:rPr>
          <w:rFonts w:asciiTheme="minorHAnsi" w:hAnsiTheme="minorHAnsi" w:cstheme="minorHAnsi"/>
          <w:b/>
          <w:bCs/>
        </w:rPr>
        <w:t xml:space="preserve"> to local Indigenous communities</w:t>
      </w:r>
      <w:r w:rsidR="00B73FA2" w:rsidRPr="002B1666">
        <w:rPr>
          <w:rFonts w:asciiTheme="minorHAnsi" w:hAnsiTheme="minorHAnsi" w:cstheme="minorHAnsi"/>
          <w:b/>
          <w:bCs/>
        </w:rPr>
        <w:t xml:space="preserve">, including </w:t>
      </w:r>
      <w:r w:rsidR="00E60A0A" w:rsidRPr="002B1666">
        <w:rPr>
          <w:rFonts w:asciiTheme="minorHAnsi" w:hAnsiTheme="minorHAnsi" w:cstheme="minorHAnsi"/>
          <w:b/>
          <w:bCs/>
        </w:rPr>
        <w:t xml:space="preserve">health and education services in a </w:t>
      </w:r>
      <w:r w:rsidR="00D33FA7" w:rsidRPr="002B1666">
        <w:rPr>
          <w:rFonts w:asciiTheme="minorHAnsi" w:hAnsiTheme="minorHAnsi" w:cstheme="minorHAnsi"/>
          <w:b/>
          <w:bCs/>
        </w:rPr>
        <w:t xml:space="preserve">culturally sensitive </w:t>
      </w:r>
      <w:r w:rsidR="00E60A0A" w:rsidRPr="002B1666">
        <w:rPr>
          <w:rFonts w:asciiTheme="minorHAnsi" w:hAnsiTheme="minorHAnsi" w:cstheme="minorHAnsi"/>
          <w:b/>
          <w:bCs/>
        </w:rPr>
        <w:t xml:space="preserve">manner that is essential </w:t>
      </w:r>
      <w:r w:rsidR="003D759C" w:rsidRPr="002B1666">
        <w:rPr>
          <w:rFonts w:asciiTheme="minorHAnsi" w:hAnsiTheme="minorHAnsi" w:cstheme="minorHAnsi"/>
          <w:b/>
          <w:bCs/>
        </w:rPr>
        <w:t xml:space="preserve">for </w:t>
      </w:r>
      <w:r w:rsidR="00DA70BF" w:rsidRPr="002B1666">
        <w:rPr>
          <w:rFonts w:asciiTheme="minorHAnsi" w:hAnsiTheme="minorHAnsi" w:cstheme="minorHAnsi"/>
          <w:b/>
          <w:bCs/>
        </w:rPr>
        <w:t xml:space="preserve">ensuring </w:t>
      </w:r>
      <w:r w:rsidR="00930166" w:rsidRPr="002B1666">
        <w:rPr>
          <w:rFonts w:asciiTheme="minorHAnsi" w:hAnsiTheme="minorHAnsi" w:cstheme="minorHAnsi"/>
          <w:b/>
          <w:bCs/>
        </w:rPr>
        <w:t>trust and accessibility</w:t>
      </w:r>
      <w:r w:rsidR="002B721C" w:rsidRPr="002B1666">
        <w:rPr>
          <w:rFonts w:asciiTheme="minorHAnsi" w:hAnsiTheme="minorHAnsi" w:cstheme="minorHAnsi"/>
          <w:b/>
          <w:bCs/>
        </w:rPr>
        <w:t xml:space="preserve"> of service</w:t>
      </w:r>
      <w:r w:rsidR="00930166" w:rsidRPr="002B1666">
        <w:rPr>
          <w:rFonts w:asciiTheme="minorHAnsi" w:hAnsiTheme="minorHAnsi" w:cstheme="minorHAnsi"/>
          <w:b/>
          <w:bCs/>
        </w:rPr>
        <w:t xml:space="preserve"> </w:t>
      </w:r>
      <w:r w:rsidR="002B721C" w:rsidRPr="002B1666">
        <w:rPr>
          <w:rFonts w:asciiTheme="minorHAnsi" w:hAnsiTheme="minorHAnsi" w:cstheme="minorHAnsi"/>
          <w:b/>
          <w:bCs/>
        </w:rPr>
        <w:t>for</w:t>
      </w:r>
      <w:r w:rsidR="00930166" w:rsidRPr="002B1666">
        <w:rPr>
          <w:rFonts w:asciiTheme="minorHAnsi" w:hAnsiTheme="minorHAnsi" w:cstheme="minorHAnsi"/>
          <w:b/>
          <w:bCs/>
        </w:rPr>
        <w:t xml:space="preserve"> Indigenous people</w:t>
      </w:r>
      <w:r w:rsidR="003D759C" w:rsidRPr="002B1666">
        <w:rPr>
          <w:rFonts w:asciiTheme="minorHAnsi" w:hAnsiTheme="minorHAnsi" w:cstheme="minorHAnsi"/>
          <w:b/>
          <w:bCs/>
        </w:rPr>
        <w:t xml:space="preserve"> that rely on them</w:t>
      </w:r>
      <w:r w:rsidR="00271856" w:rsidRPr="002B1666">
        <w:rPr>
          <w:rFonts w:asciiTheme="minorHAnsi" w:hAnsiTheme="minorHAnsi" w:cstheme="minorHAnsi"/>
          <w:b/>
          <w:bCs/>
        </w:rPr>
        <w:t>.</w:t>
      </w:r>
      <w:r w:rsidR="00F57240" w:rsidRPr="002B1666">
        <w:rPr>
          <w:rFonts w:asciiTheme="minorHAnsi" w:hAnsiTheme="minorHAnsi" w:cstheme="minorHAnsi"/>
          <w:b/>
          <w:bCs/>
        </w:rPr>
        <w:t xml:space="preserve"> </w:t>
      </w:r>
      <w:r w:rsidR="00F57240" w:rsidRPr="00F57240">
        <w:rPr>
          <w:rFonts w:asciiTheme="minorHAnsi" w:hAnsiTheme="minorHAnsi" w:cstheme="minorHAnsi"/>
          <w:b/>
          <w:bCs/>
        </w:rPr>
        <w:t>The services provided by Indigenous businesses are significant, especially in regional and remote areas that are under-serviced.</w:t>
      </w:r>
      <w:r w:rsidR="00F57240">
        <w:rPr>
          <w:rFonts w:asciiTheme="minorHAnsi" w:hAnsiTheme="minorHAnsi" w:cstheme="minorHAnsi"/>
        </w:rPr>
        <w:t xml:space="preserve"> And further, this business activity attracts associated infrastructure such as air strips, maintained roads and telecommunications.</w:t>
      </w:r>
      <w:r w:rsidR="00271856">
        <w:rPr>
          <w:rFonts w:asciiTheme="minorHAnsi" w:hAnsiTheme="minorHAnsi" w:cstheme="minorHAnsi"/>
        </w:rPr>
        <w:t xml:space="preserve"> </w:t>
      </w:r>
    </w:p>
    <w:p w14:paraId="71B25BEC" w14:textId="77777777" w:rsidR="00F57240" w:rsidRDefault="00F57240" w:rsidP="00ED2BE1">
      <w:pPr>
        <w:jc w:val="both"/>
        <w:rPr>
          <w:rFonts w:asciiTheme="minorHAnsi" w:hAnsiTheme="minorHAnsi" w:cstheme="minorHAnsi"/>
        </w:rPr>
      </w:pPr>
    </w:p>
    <w:p w14:paraId="4F59DC08" w14:textId="4F2E2593" w:rsidR="00F74F23" w:rsidRDefault="005F720D" w:rsidP="00ED2BE1">
      <w:pPr>
        <w:jc w:val="both"/>
        <w:rPr>
          <w:rFonts w:asciiTheme="minorHAnsi" w:hAnsiTheme="minorHAnsi" w:cstheme="minorHAnsi"/>
        </w:rPr>
      </w:pPr>
      <w:r w:rsidRPr="00F57240">
        <w:rPr>
          <w:rFonts w:asciiTheme="minorHAnsi" w:hAnsiTheme="minorHAnsi" w:cstheme="minorHAnsi"/>
          <w:b/>
          <w:bCs/>
        </w:rPr>
        <w:t>The</w:t>
      </w:r>
      <w:r w:rsidR="002B721C" w:rsidRPr="00F57240">
        <w:rPr>
          <w:rFonts w:asciiTheme="minorHAnsi" w:hAnsiTheme="minorHAnsi" w:cstheme="minorHAnsi"/>
          <w:b/>
          <w:bCs/>
        </w:rPr>
        <w:t xml:space="preserve"> </w:t>
      </w:r>
      <w:r w:rsidR="00766069" w:rsidRPr="00F57240">
        <w:rPr>
          <w:rFonts w:asciiTheme="minorHAnsi" w:hAnsiTheme="minorHAnsi" w:cstheme="minorHAnsi"/>
          <w:b/>
          <w:bCs/>
        </w:rPr>
        <w:t xml:space="preserve">leading </w:t>
      </w:r>
      <w:r w:rsidR="00FE27C8" w:rsidRPr="00F57240">
        <w:rPr>
          <w:rFonts w:asciiTheme="minorHAnsi" w:hAnsiTheme="minorHAnsi" w:cstheme="minorHAnsi"/>
          <w:b/>
          <w:bCs/>
        </w:rPr>
        <w:t xml:space="preserve">role of </w:t>
      </w:r>
      <w:r w:rsidRPr="00F57240">
        <w:rPr>
          <w:rFonts w:asciiTheme="minorHAnsi" w:hAnsiTheme="minorHAnsi" w:cstheme="minorHAnsi"/>
          <w:b/>
          <w:bCs/>
        </w:rPr>
        <w:t>Indigenous health services in informing</w:t>
      </w:r>
      <w:r w:rsidR="00F74F23" w:rsidRPr="00F57240">
        <w:rPr>
          <w:rFonts w:asciiTheme="minorHAnsi" w:hAnsiTheme="minorHAnsi" w:cstheme="minorHAnsi"/>
          <w:b/>
          <w:bCs/>
        </w:rPr>
        <w:t xml:space="preserve"> and leading the response to </w:t>
      </w:r>
      <w:r w:rsidR="00FE27C8" w:rsidRPr="00F57240">
        <w:rPr>
          <w:rFonts w:asciiTheme="minorHAnsi" w:hAnsiTheme="minorHAnsi" w:cstheme="minorHAnsi"/>
          <w:b/>
          <w:bCs/>
        </w:rPr>
        <w:t xml:space="preserve">COVID-19 </w:t>
      </w:r>
      <w:r w:rsidR="00F74F23" w:rsidRPr="00F57240">
        <w:rPr>
          <w:rFonts w:asciiTheme="minorHAnsi" w:hAnsiTheme="minorHAnsi" w:cstheme="minorHAnsi"/>
          <w:b/>
          <w:bCs/>
        </w:rPr>
        <w:t xml:space="preserve">in remote communities, where no loss of life was recorded, is testament to the importance of </w:t>
      </w:r>
      <w:r w:rsidR="005F0BB5" w:rsidRPr="00F57240">
        <w:rPr>
          <w:rFonts w:asciiTheme="minorHAnsi" w:hAnsiTheme="minorHAnsi" w:cstheme="minorHAnsi"/>
          <w:b/>
          <w:bCs/>
        </w:rPr>
        <w:t>the services that Indigenous businesses provide to their communities</w:t>
      </w:r>
      <w:r w:rsidR="005F0BB5">
        <w:rPr>
          <w:rFonts w:asciiTheme="minorHAnsi" w:hAnsiTheme="minorHAnsi" w:cstheme="minorHAnsi"/>
        </w:rPr>
        <w:t xml:space="preserve"> (Crooks et al. 2020</w:t>
      </w:r>
      <w:r w:rsidR="005F0BB5" w:rsidRPr="00F57240">
        <w:rPr>
          <w:rFonts w:asciiTheme="minorHAnsi" w:hAnsiTheme="minorHAnsi" w:cstheme="minorHAnsi"/>
        </w:rPr>
        <w:t>).</w:t>
      </w:r>
      <w:r w:rsidR="00F57240" w:rsidRPr="00F57240">
        <w:rPr>
          <w:rFonts w:asciiTheme="minorHAnsi" w:hAnsiTheme="minorHAnsi" w:cstheme="minorHAnsi"/>
        </w:rPr>
        <w:t xml:space="preserve"> The Indigenous health sector leaders, doctors, professionals and workforce rapidly implemented best practice pandemic planning across all their community-controlled health and welfare organisations.  They were well organised and had built collaborations with relevant government departments based on trust. This was one of the best responses of any Indigenous group in the world, saving hundreds of cases and deaths that were expected given the predicted impact of the virus, and also avoiding significant hospital and intensive care costs.</w:t>
      </w:r>
      <w:r w:rsidR="00F57240">
        <w:rPr>
          <w:rFonts w:cs="Times New Roman"/>
          <w:sz w:val="24"/>
          <w:szCs w:val="24"/>
        </w:rPr>
        <w:t xml:space="preserve"> </w:t>
      </w:r>
      <w:r w:rsidR="005F0BB5">
        <w:rPr>
          <w:rFonts w:asciiTheme="minorHAnsi" w:hAnsiTheme="minorHAnsi" w:cstheme="minorHAnsi"/>
        </w:rPr>
        <w:t xml:space="preserve"> </w:t>
      </w:r>
      <w:r w:rsidR="00872C71">
        <w:rPr>
          <w:rFonts w:asciiTheme="minorHAnsi" w:hAnsiTheme="minorHAnsi" w:cstheme="minorHAnsi"/>
        </w:rPr>
        <w:t>Indigenous businesses also provide cultural services</w:t>
      </w:r>
      <w:r w:rsidR="007919A6">
        <w:rPr>
          <w:rFonts w:asciiTheme="minorHAnsi" w:hAnsiTheme="minorHAnsi" w:cstheme="minorHAnsi"/>
        </w:rPr>
        <w:t xml:space="preserve"> to the wider community</w:t>
      </w:r>
      <w:r w:rsidR="002F6B56">
        <w:rPr>
          <w:rFonts w:asciiTheme="minorHAnsi" w:hAnsiTheme="minorHAnsi" w:cstheme="minorHAnsi"/>
        </w:rPr>
        <w:t>, for example through art and tourism,</w:t>
      </w:r>
      <w:r w:rsidR="00872C71">
        <w:rPr>
          <w:rFonts w:asciiTheme="minorHAnsi" w:hAnsiTheme="minorHAnsi" w:cstheme="minorHAnsi"/>
        </w:rPr>
        <w:t xml:space="preserve"> </w:t>
      </w:r>
      <w:r w:rsidR="00CA4256">
        <w:rPr>
          <w:rFonts w:asciiTheme="minorHAnsi" w:hAnsiTheme="minorHAnsi" w:cstheme="minorHAnsi"/>
        </w:rPr>
        <w:t>that help preserve and educate the wider community</w:t>
      </w:r>
      <w:r w:rsidR="0000554A">
        <w:rPr>
          <w:rFonts w:asciiTheme="minorHAnsi" w:hAnsiTheme="minorHAnsi" w:cstheme="minorHAnsi"/>
        </w:rPr>
        <w:t xml:space="preserve"> a</w:t>
      </w:r>
      <w:r w:rsidR="002F6B56">
        <w:rPr>
          <w:rFonts w:asciiTheme="minorHAnsi" w:hAnsiTheme="minorHAnsi" w:cstheme="minorHAnsi"/>
        </w:rPr>
        <w:t xml:space="preserve">bout </w:t>
      </w:r>
      <w:r w:rsidR="007919A6">
        <w:rPr>
          <w:rFonts w:asciiTheme="minorHAnsi" w:hAnsiTheme="minorHAnsi" w:cstheme="minorHAnsi"/>
        </w:rPr>
        <w:t xml:space="preserve">the </w:t>
      </w:r>
      <w:r w:rsidR="00F57240">
        <w:rPr>
          <w:rFonts w:asciiTheme="minorHAnsi" w:hAnsiTheme="minorHAnsi" w:cstheme="minorHAnsi"/>
        </w:rPr>
        <w:t>world’s</w:t>
      </w:r>
      <w:r w:rsidR="007919A6">
        <w:rPr>
          <w:rFonts w:asciiTheme="minorHAnsi" w:hAnsiTheme="minorHAnsi" w:cstheme="minorHAnsi"/>
        </w:rPr>
        <w:t xml:space="preserve"> </w:t>
      </w:r>
      <w:r w:rsidR="003248B0">
        <w:rPr>
          <w:rFonts w:asciiTheme="minorHAnsi" w:hAnsiTheme="minorHAnsi" w:cstheme="minorHAnsi"/>
        </w:rPr>
        <w:t>oldest living cult</w:t>
      </w:r>
      <w:r w:rsidR="00C257AC">
        <w:rPr>
          <w:rFonts w:asciiTheme="minorHAnsi" w:hAnsiTheme="minorHAnsi" w:cstheme="minorHAnsi"/>
        </w:rPr>
        <w:t>ure, enrich</w:t>
      </w:r>
      <w:r w:rsidR="00F57240">
        <w:rPr>
          <w:rFonts w:asciiTheme="minorHAnsi" w:hAnsiTheme="minorHAnsi" w:cstheme="minorHAnsi"/>
        </w:rPr>
        <w:t>ing</w:t>
      </w:r>
      <w:r w:rsidR="00C257AC">
        <w:rPr>
          <w:rFonts w:asciiTheme="minorHAnsi" w:hAnsiTheme="minorHAnsi" w:cstheme="minorHAnsi"/>
        </w:rPr>
        <w:t xml:space="preserve"> the lives of all Australians and build</w:t>
      </w:r>
      <w:r w:rsidR="00F57240">
        <w:rPr>
          <w:rFonts w:asciiTheme="minorHAnsi" w:hAnsiTheme="minorHAnsi" w:cstheme="minorHAnsi"/>
        </w:rPr>
        <w:t>ing</w:t>
      </w:r>
      <w:r w:rsidR="00C257AC">
        <w:rPr>
          <w:rFonts w:asciiTheme="minorHAnsi" w:hAnsiTheme="minorHAnsi" w:cstheme="minorHAnsi"/>
        </w:rPr>
        <w:t xml:space="preserve"> </w:t>
      </w:r>
      <w:r w:rsidR="00C16DF7">
        <w:rPr>
          <w:rFonts w:asciiTheme="minorHAnsi" w:hAnsiTheme="minorHAnsi" w:cstheme="minorHAnsi"/>
        </w:rPr>
        <w:t xml:space="preserve">understanding, </w:t>
      </w:r>
      <w:r w:rsidR="00912FC2">
        <w:rPr>
          <w:rFonts w:asciiTheme="minorHAnsi" w:hAnsiTheme="minorHAnsi" w:cstheme="minorHAnsi"/>
        </w:rPr>
        <w:t>trust,</w:t>
      </w:r>
      <w:r w:rsidR="00C16DF7">
        <w:rPr>
          <w:rFonts w:asciiTheme="minorHAnsi" w:hAnsiTheme="minorHAnsi" w:cstheme="minorHAnsi"/>
        </w:rPr>
        <w:t xml:space="preserve"> and</w:t>
      </w:r>
      <w:r w:rsidR="00C257AC">
        <w:rPr>
          <w:rFonts w:asciiTheme="minorHAnsi" w:hAnsiTheme="minorHAnsi" w:cstheme="minorHAnsi"/>
        </w:rPr>
        <w:t xml:space="preserve"> social cohesion. </w:t>
      </w:r>
    </w:p>
    <w:p w14:paraId="445B6FC6" w14:textId="02DBE224" w:rsidR="00C16DF7" w:rsidRDefault="00C16DF7" w:rsidP="00ED2BE1">
      <w:pPr>
        <w:jc w:val="both"/>
        <w:rPr>
          <w:rFonts w:asciiTheme="minorHAnsi" w:hAnsiTheme="minorHAnsi" w:cstheme="minorHAnsi"/>
        </w:rPr>
      </w:pPr>
    </w:p>
    <w:p w14:paraId="6903AD46" w14:textId="2B951410" w:rsidR="00306AA6" w:rsidRDefault="005E2E6B" w:rsidP="00ED2BE1">
      <w:pPr>
        <w:jc w:val="both"/>
        <w:rPr>
          <w:rFonts w:asciiTheme="minorHAnsi" w:hAnsiTheme="minorHAnsi" w:cstheme="minorHAnsi"/>
        </w:rPr>
      </w:pPr>
      <w:r w:rsidRPr="002B1666">
        <w:rPr>
          <w:rFonts w:asciiTheme="minorHAnsi" w:hAnsiTheme="minorHAnsi" w:cstheme="minorHAnsi"/>
          <w:b/>
          <w:bCs/>
        </w:rPr>
        <w:t xml:space="preserve">Indigenous businesses also provide </w:t>
      </w:r>
      <w:r w:rsidR="00687A32" w:rsidRPr="002B1666">
        <w:rPr>
          <w:rFonts w:asciiTheme="minorHAnsi" w:hAnsiTheme="minorHAnsi" w:cstheme="minorHAnsi"/>
          <w:b/>
          <w:bCs/>
        </w:rPr>
        <w:t>public benefits through employing Indigenous people</w:t>
      </w:r>
      <w:r w:rsidR="008A252A" w:rsidRPr="002B1666">
        <w:rPr>
          <w:rFonts w:asciiTheme="minorHAnsi" w:hAnsiTheme="minorHAnsi" w:cstheme="minorHAnsi"/>
          <w:b/>
          <w:bCs/>
        </w:rPr>
        <w:t>.</w:t>
      </w:r>
      <w:r w:rsidR="008A252A">
        <w:rPr>
          <w:rFonts w:asciiTheme="minorHAnsi" w:hAnsiTheme="minorHAnsi" w:cstheme="minorHAnsi"/>
        </w:rPr>
        <w:t xml:space="preserve"> </w:t>
      </w:r>
      <w:r>
        <w:rPr>
          <w:rFonts w:asciiTheme="minorHAnsi" w:hAnsiTheme="minorHAnsi" w:cstheme="minorHAnsi"/>
        </w:rPr>
        <w:t xml:space="preserve"> </w:t>
      </w:r>
      <w:r w:rsidR="008A252A">
        <w:rPr>
          <w:rFonts w:asciiTheme="minorHAnsi" w:hAnsiTheme="minorHAnsi" w:cstheme="minorHAnsi"/>
        </w:rPr>
        <w:t xml:space="preserve">Evidence suggests </w:t>
      </w:r>
      <w:r w:rsidR="000349CB">
        <w:rPr>
          <w:rFonts w:asciiTheme="minorHAnsi" w:hAnsiTheme="minorHAnsi" w:cstheme="minorHAnsi"/>
        </w:rPr>
        <w:t xml:space="preserve">that </w:t>
      </w:r>
      <w:r w:rsidR="0050446A">
        <w:rPr>
          <w:rFonts w:asciiTheme="minorHAnsi" w:hAnsiTheme="minorHAnsi" w:cstheme="minorHAnsi"/>
        </w:rPr>
        <w:t>Indigenous businesses</w:t>
      </w:r>
      <w:r w:rsidR="008A252A" w:rsidRPr="008A252A">
        <w:rPr>
          <w:rFonts w:asciiTheme="minorHAnsi" w:hAnsiTheme="minorHAnsi" w:cstheme="minorHAnsi"/>
        </w:rPr>
        <w:t xml:space="preserve"> </w:t>
      </w:r>
      <w:r w:rsidR="008A252A">
        <w:rPr>
          <w:rFonts w:asciiTheme="minorHAnsi" w:hAnsiTheme="minorHAnsi" w:cstheme="minorHAnsi"/>
        </w:rPr>
        <w:t>are more likely than non-Indigenous businesses to hire Indigenous workers (Hunter 2014), which helps</w:t>
      </w:r>
      <w:r w:rsidR="00935A93">
        <w:rPr>
          <w:rFonts w:asciiTheme="minorHAnsi" w:hAnsiTheme="minorHAnsi" w:cstheme="minorHAnsi"/>
        </w:rPr>
        <w:t xml:space="preserve"> </w:t>
      </w:r>
      <w:r w:rsidR="008A252A">
        <w:rPr>
          <w:rFonts w:asciiTheme="minorHAnsi" w:hAnsiTheme="minorHAnsi" w:cstheme="minorHAnsi"/>
        </w:rPr>
        <w:t>overcome discrimination</w:t>
      </w:r>
      <w:r w:rsidR="00AA2916">
        <w:rPr>
          <w:rFonts w:asciiTheme="minorHAnsi" w:hAnsiTheme="minorHAnsi" w:cstheme="minorHAnsi"/>
        </w:rPr>
        <w:t>, a major barrier to employment</w:t>
      </w:r>
      <w:r w:rsidR="008A252A">
        <w:rPr>
          <w:rFonts w:asciiTheme="minorHAnsi" w:hAnsiTheme="minorHAnsi" w:cstheme="minorHAnsi"/>
        </w:rPr>
        <w:t xml:space="preserve"> </w:t>
      </w:r>
      <w:r w:rsidR="00287A72">
        <w:rPr>
          <w:rFonts w:asciiTheme="minorHAnsi" w:hAnsiTheme="minorHAnsi" w:cstheme="minorHAnsi"/>
        </w:rPr>
        <w:t xml:space="preserve">for Indigenous people </w:t>
      </w:r>
      <w:r w:rsidR="008A252A">
        <w:rPr>
          <w:rFonts w:asciiTheme="minorHAnsi" w:hAnsiTheme="minorHAnsi" w:cstheme="minorHAnsi"/>
        </w:rPr>
        <w:t>(</w:t>
      </w:r>
      <w:r w:rsidR="008A252A" w:rsidRPr="00FC654F">
        <w:rPr>
          <w:rFonts w:asciiTheme="minorHAnsi" w:hAnsiTheme="minorHAnsi" w:cstheme="minorHAnsi"/>
        </w:rPr>
        <w:t>Shirodkar</w:t>
      </w:r>
      <w:r w:rsidR="008A252A">
        <w:rPr>
          <w:rFonts w:asciiTheme="minorHAnsi" w:hAnsiTheme="minorHAnsi" w:cstheme="minorHAnsi"/>
        </w:rPr>
        <w:t xml:space="preserve"> </w:t>
      </w:r>
      <w:r w:rsidR="008A252A" w:rsidRPr="00FC654F">
        <w:rPr>
          <w:rFonts w:asciiTheme="minorHAnsi" w:hAnsiTheme="minorHAnsi" w:cstheme="minorHAnsi"/>
        </w:rPr>
        <w:t>2019</w:t>
      </w:r>
      <w:r w:rsidR="008A252A">
        <w:rPr>
          <w:rFonts w:asciiTheme="minorHAnsi" w:hAnsiTheme="minorHAnsi" w:cstheme="minorHAnsi"/>
        </w:rPr>
        <w:t xml:space="preserve">, </w:t>
      </w:r>
      <w:r w:rsidR="008A252A" w:rsidRPr="00522C2E">
        <w:rPr>
          <w:rFonts w:asciiTheme="minorHAnsi" w:hAnsiTheme="minorHAnsi" w:cstheme="minorHAnsi"/>
        </w:rPr>
        <w:t>Biddle</w:t>
      </w:r>
      <w:r w:rsidR="008A252A">
        <w:rPr>
          <w:rFonts w:asciiTheme="minorHAnsi" w:hAnsiTheme="minorHAnsi" w:cstheme="minorHAnsi"/>
        </w:rPr>
        <w:t xml:space="preserve"> 2013)</w:t>
      </w:r>
      <w:r w:rsidR="00935A93">
        <w:rPr>
          <w:rFonts w:asciiTheme="minorHAnsi" w:hAnsiTheme="minorHAnsi" w:cstheme="minorHAnsi"/>
        </w:rPr>
        <w:t xml:space="preserve">. </w:t>
      </w:r>
      <w:r w:rsidR="00F57240" w:rsidRPr="00F57240">
        <w:rPr>
          <w:rFonts w:asciiTheme="minorHAnsi" w:hAnsiTheme="minorHAnsi" w:cstheme="minorHAnsi"/>
          <w:b/>
          <w:bCs/>
        </w:rPr>
        <w:t>Increased Indigenous employment accelerates income levels and wealth generation, unlikely to occur without employment in an historically dispossessed and excluded population, and catapults individuals out of the welfare economy.</w:t>
      </w:r>
      <w:r w:rsidR="00F57240">
        <w:rPr>
          <w:rFonts w:asciiTheme="minorHAnsi" w:hAnsiTheme="minorHAnsi" w:cstheme="minorHAnsi"/>
        </w:rPr>
        <w:t xml:space="preserve"> </w:t>
      </w:r>
      <w:r w:rsidR="00303ECA">
        <w:rPr>
          <w:rFonts w:asciiTheme="minorHAnsi" w:hAnsiTheme="minorHAnsi" w:cstheme="minorHAnsi"/>
        </w:rPr>
        <w:t xml:space="preserve">Indigenous </w:t>
      </w:r>
      <w:r w:rsidR="002001AB">
        <w:rPr>
          <w:rFonts w:asciiTheme="minorHAnsi" w:hAnsiTheme="minorHAnsi" w:cstheme="minorHAnsi"/>
        </w:rPr>
        <w:t xml:space="preserve">businesses may also </w:t>
      </w:r>
      <w:r w:rsidR="00D81E35">
        <w:rPr>
          <w:rFonts w:asciiTheme="minorHAnsi" w:hAnsiTheme="minorHAnsi" w:cstheme="minorHAnsi"/>
        </w:rPr>
        <w:t xml:space="preserve">provide a </w:t>
      </w:r>
      <w:r w:rsidR="00616B03">
        <w:rPr>
          <w:rFonts w:asciiTheme="minorHAnsi" w:hAnsiTheme="minorHAnsi" w:cstheme="minorHAnsi"/>
        </w:rPr>
        <w:t xml:space="preserve">more </w:t>
      </w:r>
      <w:r w:rsidR="00303ECA">
        <w:rPr>
          <w:rFonts w:asciiTheme="minorHAnsi" w:hAnsiTheme="minorHAnsi" w:cstheme="minorHAnsi"/>
        </w:rPr>
        <w:t xml:space="preserve">culturally </w:t>
      </w:r>
      <w:r w:rsidR="005B2F37">
        <w:rPr>
          <w:rFonts w:asciiTheme="minorHAnsi" w:hAnsiTheme="minorHAnsi" w:cstheme="minorHAnsi"/>
        </w:rPr>
        <w:t>supportive</w:t>
      </w:r>
      <w:r w:rsidR="00D81E35">
        <w:rPr>
          <w:rFonts w:asciiTheme="minorHAnsi" w:hAnsiTheme="minorHAnsi" w:cstheme="minorHAnsi"/>
        </w:rPr>
        <w:t xml:space="preserve"> </w:t>
      </w:r>
      <w:r w:rsidR="0044515E">
        <w:rPr>
          <w:rFonts w:asciiTheme="minorHAnsi" w:hAnsiTheme="minorHAnsi" w:cstheme="minorHAnsi"/>
        </w:rPr>
        <w:t>work</w:t>
      </w:r>
      <w:r w:rsidR="001218E2">
        <w:rPr>
          <w:rFonts w:asciiTheme="minorHAnsi" w:hAnsiTheme="minorHAnsi" w:cstheme="minorHAnsi"/>
        </w:rPr>
        <w:t>ing environment</w:t>
      </w:r>
      <w:r w:rsidR="00D81E35">
        <w:rPr>
          <w:rFonts w:asciiTheme="minorHAnsi" w:hAnsiTheme="minorHAnsi" w:cstheme="minorHAnsi"/>
        </w:rPr>
        <w:t xml:space="preserve"> </w:t>
      </w:r>
      <w:r w:rsidR="0044515E">
        <w:rPr>
          <w:rFonts w:asciiTheme="minorHAnsi" w:hAnsiTheme="minorHAnsi" w:cstheme="minorHAnsi"/>
        </w:rPr>
        <w:t xml:space="preserve">that </w:t>
      </w:r>
      <w:r w:rsidR="001218E2">
        <w:rPr>
          <w:rFonts w:asciiTheme="minorHAnsi" w:hAnsiTheme="minorHAnsi" w:cstheme="minorHAnsi"/>
        </w:rPr>
        <w:t xml:space="preserve">may help in attaining </w:t>
      </w:r>
      <w:r w:rsidR="0084721C">
        <w:rPr>
          <w:rFonts w:asciiTheme="minorHAnsi" w:hAnsiTheme="minorHAnsi" w:cstheme="minorHAnsi"/>
        </w:rPr>
        <w:t xml:space="preserve">sustainable </w:t>
      </w:r>
      <w:r w:rsidR="00C873FB">
        <w:rPr>
          <w:rFonts w:asciiTheme="minorHAnsi" w:hAnsiTheme="minorHAnsi" w:cstheme="minorHAnsi"/>
        </w:rPr>
        <w:t xml:space="preserve">and rewarding </w:t>
      </w:r>
      <w:r w:rsidR="001218E2">
        <w:rPr>
          <w:rFonts w:asciiTheme="minorHAnsi" w:hAnsiTheme="minorHAnsi" w:cstheme="minorHAnsi"/>
        </w:rPr>
        <w:t xml:space="preserve">employment for </w:t>
      </w:r>
      <w:r w:rsidR="0044515E">
        <w:rPr>
          <w:rFonts w:asciiTheme="minorHAnsi" w:hAnsiTheme="minorHAnsi" w:cstheme="minorHAnsi"/>
        </w:rPr>
        <w:t xml:space="preserve">Indigenous </w:t>
      </w:r>
      <w:r w:rsidR="006D65DF">
        <w:rPr>
          <w:rFonts w:asciiTheme="minorHAnsi" w:hAnsiTheme="minorHAnsi" w:cstheme="minorHAnsi"/>
        </w:rPr>
        <w:t>employees</w:t>
      </w:r>
      <w:r w:rsidR="0044515E">
        <w:rPr>
          <w:rFonts w:asciiTheme="minorHAnsi" w:hAnsiTheme="minorHAnsi" w:cstheme="minorHAnsi"/>
        </w:rPr>
        <w:t xml:space="preserve">. </w:t>
      </w:r>
      <w:r w:rsidR="002C4DB0">
        <w:rPr>
          <w:rFonts w:asciiTheme="minorHAnsi" w:hAnsiTheme="minorHAnsi" w:cstheme="minorHAnsi"/>
        </w:rPr>
        <w:t xml:space="preserve">To the extent that </w:t>
      </w:r>
      <w:r w:rsidR="00AC35D3">
        <w:rPr>
          <w:rFonts w:asciiTheme="minorHAnsi" w:hAnsiTheme="minorHAnsi" w:cstheme="minorHAnsi"/>
        </w:rPr>
        <w:t xml:space="preserve">improved employment rates increase the </w:t>
      </w:r>
      <w:r w:rsidR="00402CBA">
        <w:rPr>
          <w:rFonts w:asciiTheme="minorHAnsi" w:hAnsiTheme="minorHAnsi" w:cstheme="minorHAnsi"/>
        </w:rPr>
        <w:t xml:space="preserve">financial autonomy, </w:t>
      </w:r>
      <w:r w:rsidR="00803209">
        <w:rPr>
          <w:rFonts w:asciiTheme="minorHAnsi" w:hAnsiTheme="minorHAnsi" w:cstheme="minorHAnsi"/>
        </w:rPr>
        <w:t>self-esteem,</w:t>
      </w:r>
      <w:r w:rsidR="002B5D61">
        <w:rPr>
          <w:rFonts w:asciiTheme="minorHAnsi" w:hAnsiTheme="minorHAnsi" w:cstheme="minorHAnsi"/>
        </w:rPr>
        <w:t xml:space="preserve"> and wellbeing of Indigenous people, then this is likely to benefit the wider </w:t>
      </w:r>
      <w:r w:rsidR="00AC35D3">
        <w:rPr>
          <w:rFonts w:asciiTheme="minorHAnsi" w:hAnsiTheme="minorHAnsi" w:cstheme="minorHAnsi"/>
        </w:rPr>
        <w:t xml:space="preserve">community through reduced </w:t>
      </w:r>
      <w:r w:rsidR="005E295F">
        <w:rPr>
          <w:rFonts w:asciiTheme="minorHAnsi" w:hAnsiTheme="minorHAnsi" w:cstheme="minorHAnsi"/>
        </w:rPr>
        <w:t xml:space="preserve">public </w:t>
      </w:r>
      <w:r w:rsidR="00AC35D3">
        <w:rPr>
          <w:rFonts w:asciiTheme="minorHAnsi" w:hAnsiTheme="minorHAnsi" w:cstheme="minorHAnsi"/>
        </w:rPr>
        <w:t>cost of</w:t>
      </w:r>
      <w:r w:rsidR="00803209">
        <w:rPr>
          <w:rFonts w:asciiTheme="minorHAnsi" w:hAnsiTheme="minorHAnsi" w:cstheme="minorHAnsi"/>
        </w:rPr>
        <w:t xml:space="preserve"> health and</w:t>
      </w:r>
      <w:r w:rsidR="00AC35D3">
        <w:rPr>
          <w:rFonts w:asciiTheme="minorHAnsi" w:hAnsiTheme="minorHAnsi" w:cstheme="minorHAnsi"/>
        </w:rPr>
        <w:t xml:space="preserve"> income support payments</w:t>
      </w:r>
      <w:r w:rsidR="00803209">
        <w:rPr>
          <w:rFonts w:asciiTheme="minorHAnsi" w:hAnsiTheme="minorHAnsi" w:cstheme="minorHAnsi"/>
        </w:rPr>
        <w:t xml:space="preserve">. </w:t>
      </w:r>
    </w:p>
    <w:p w14:paraId="27F7CEA7" w14:textId="77777777" w:rsidR="00306AA6" w:rsidRDefault="00306AA6" w:rsidP="00ED2BE1">
      <w:pPr>
        <w:jc w:val="both"/>
        <w:rPr>
          <w:rFonts w:asciiTheme="minorHAnsi" w:hAnsiTheme="minorHAnsi" w:cstheme="minorHAnsi"/>
        </w:rPr>
      </w:pPr>
    </w:p>
    <w:p w14:paraId="6609CCAA" w14:textId="2CA23E2C" w:rsidR="00594BB3" w:rsidRDefault="00E8751C" w:rsidP="00ED2BE1">
      <w:pPr>
        <w:jc w:val="both"/>
        <w:rPr>
          <w:rFonts w:asciiTheme="minorHAnsi" w:hAnsiTheme="minorHAnsi" w:cstheme="minorHAnsi"/>
        </w:rPr>
      </w:pPr>
      <w:r>
        <w:rPr>
          <w:rFonts w:asciiTheme="minorHAnsi" w:hAnsiTheme="minorHAnsi" w:cstheme="minorHAnsi"/>
        </w:rPr>
        <w:t>More generally, i</w:t>
      </w:r>
      <w:r w:rsidR="00AC419B">
        <w:rPr>
          <w:rFonts w:asciiTheme="minorHAnsi" w:hAnsiTheme="minorHAnsi" w:cstheme="minorHAnsi"/>
        </w:rPr>
        <w:t>mproved</w:t>
      </w:r>
      <w:r w:rsidR="00196F20">
        <w:rPr>
          <w:rFonts w:asciiTheme="minorHAnsi" w:hAnsiTheme="minorHAnsi" w:cstheme="minorHAnsi"/>
        </w:rPr>
        <w:t xml:space="preserve"> employment</w:t>
      </w:r>
      <w:r w:rsidR="00AC419B">
        <w:rPr>
          <w:rFonts w:asciiTheme="minorHAnsi" w:hAnsiTheme="minorHAnsi" w:cstheme="minorHAnsi"/>
        </w:rPr>
        <w:t xml:space="preserve"> and economic opportunities </w:t>
      </w:r>
      <w:r w:rsidR="001C7A5A">
        <w:rPr>
          <w:rFonts w:asciiTheme="minorHAnsi" w:hAnsiTheme="minorHAnsi" w:cstheme="minorHAnsi"/>
        </w:rPr>
        <w:t xml:space="preserve">for </w:t>
      </w:r>
      <w:r w:rsidR="00CE3FBF">
        <w:rPr>
          <w:rFonts w:asciiTheme="minorHAnsi" w:hAnsiTheme="minorHAnsi" w:cstheme="minorHAnsi"/>
        </w:rPr>
        <w:t xml:space="preserve">Indigenous </w:t>
      </w:r>
      <w:r w:rsidR="001C7A5A">
        <w:rPr>
          <w:rFonts w:asciiTheme="minorHAnsi" w:hAnsiTheme="minorHAnsi" w:cstheme="minorHAnsi"/>
        </w:rPr>
        <w:t xml:space="preserve">people, </w:t>
      </w:r>
      <w:r w:rsidR="007C153A">
        <w:rPr>
          <w:rFonts w:asciiTheme="minorHAnsi" w:hAnsiTheme="minorHAnsi" w:cstheme="minorHAnsi"/>
        </w:rPr>
        <w:t xml:space="preserve">can also have transformative impacts on </w:t>
      </w:r>
      <w:r>
        <w:rPr>
          <w:rFonts w:asciiTheme="minorHAnsi" w:hAnsiTheme="minorHAnsi" w:cstheme="minorHAnsi"/>
        </w:rPr>
        <w:t xml:space="preserve">career and life aspirations. There is strong evidence </w:t>
      </w:r>
      <w:r w:rsidR="00ED30F6">
        <w:rPr>
          <w:rFonts w:asciiTheme="minorHAnsi" w:hAnsiTheme="minorHAnsi" w:cstheme="minorHAnsi"/>
        </w:rPr>
        <w:t>that affirmative action policies</w:t>
      </w:r>
      <w:r w:rsidR="005E40F9">
        <w:rPr>
          <w:rFonts w:asciiTheme="minorHAnsi" w:hAnsiTheme="minorHAnsi" w:cstheme="minorHAnsi"/>
        </w:rPr>
        <w:t xml:space="preserve"> </w:t>
      </w:r>
      <w:r w:rsidR="007C268F">
        <w:rPr>
          <w:rFonts w:asciiTheme="minorHAnsi" w:hAnsiTheme="minorHAnsi" w:cstheme="minorHAnsi"/>
        </w:rPr>
        <w:t xml:space="preserve">that aim to enhance economic opportunities </w:t>
      </w:r>
      <w:r w:rsidR="00ED30F6">
        <w:rPr>
          <w:rFonts w:asciiTheme="minorHAnsi" w:hAnsiTheme="minorHAnsi" w:cstheme="minorHAnsi"/>
        </w:rPr>
        <w:t>have</w:t>
      </w:r>
      <w:r w:rsidR="00D0723E">
        <w:rPr>
          <w:rFonts w:asciiTheme="minorHAnsi" w:hAnsiTheme="minorHAnsi" w:cstheme="minorHAnsi"/>
        </w:rPr>
        <w:t xml:space="preserve"> large impacts on lifting </w:t>
      </w:r>
      <w:r w:rsidR="00937FDC">
        <w:rPr>
          <w:rFonts w:asciiTheme="minorHAnsi" w:hAnsiTheme="minorHAnsi" w:cstheme="minorHAnsi"/>
        </w:rPr>
        <w:t>engagement in education and training</w:t>
      </w:r>
      <w:r w:rsidR="00633E3E">
        <w:rPr>
          <w:rFonts w:asciiTheme="minorHAnsi" w:hAnsiTheme="minorHAnsi" w:cstheme="minorHAnsi"/>
        </w:rPr>
        <w:t xml:space="preserve">, an important indicator of </w:t>
      </w:r>
      <w:r w:rsidR="00701C9A">
        <w:rPr>
          <w:rFonts w:asciiTheme="minorHAnsi" w:hAnsiTheme="minorHAnsi" w:cstheme="minorHAnsi"/>
        </w:rPr>
        <w:t xml:space="preserve">future </w:t>
      </w:r>
      <w:r w:rsidR="00AE54B5">
        <w:rPr>
          <w:rFonts w:asciiTheme="minorHAnsi" w:hAnsiTheme="minorHAnsi" w:cstheme="minorHAnsi"/>
        </w:rPr>
        <w:t>skills and labour market participation</w:t>
      </w:r>
      <w:r w:rsidR="00633E3E">
        <w:rPr>
          <w:rFonts w:asciiTheme="minorHAnsi" w:hAnsiTheme="minorHAnsi" w:cstheme="minorHAnsi"/>
        </w:rPr>
        <w:t xml:space="preserve"> </w:t>
      </w:r>
      <w:r w:rsidR="00654052">
        <w:rPr>
          <w:rFonts w:asciiTheme="minorHAnsi" w:hAnsiTheme="minorHAnsi" w:cstheme="minorHAnsi"/>
        </w:rPr>
        <w:t>(</w:t>
      </w:r>
      <w:r w:rsidR="006275F5">
        <w:rPr>
          <w:rFonts w:asciiTheme="minorHAnsi" w:hAnsiTheme="minorHAnsi" w:cstheme="minorHAnsi"/>
        </w:rPr>
        <w:t xml:space="preserve">see </w:t>
      </w:r>
      <w:r w:rsidR="006D1DA9">
        <w:rPr>
          <w:rFonts w:asciiTheme="minorHAnsi" w:hAnsiTheme="minorHAnsi" w:cstheme="minorHAnsi"/>
        </w:rPr>
        <w:t xml:space="preserve">Holzer and </w:t>
      </w:r>
      <w:proofErr w:type="spellStart"/>
      <w:r w:rsidR="006D1DA9">
        <w:rPr>
          <w:rFonts w:asciiTheme="minorHAnsi" w:hAnsiTheme="minorHAnsi" w:cstheme="minorHAnsi"/>
        </w:rPr>
        <w:t>Neumark</w:t>
      </w:r>
      <w:proofErr w:type="spellEnd"/>
      <w:r w:rsidR="006D1DA9">
        <w:rPr>
          <w:rFonts w:asciiTheme="minorHAnsi" w:hAnsiTheme="minorHAnsi" w:cstheme="minorHAnsi"/>
        </w:rPr>
        <w:t xml:space="preserve"> 2006</w:t>
      </w:r>
      <w:r w:rsidR="006275F5">
        <w:rPr>
          <w:rFonts w:asciiTheme="minorHAnsi" w:hAnsiTheme="minorHAnsi" w:cstheme="minorHAnsi"/>
        </w:rPr>
        <w:t xml:space="preserve"> for a review</w:t>
      </w:r>
      <w:r w:rsidR="006D1DA9">
        <w:rPr>
          <w:rFonts w:asciiTheme="minorHAnsi" w:hAnsiTheme="minorHAnsi" w:cstheme="minorHAnsi"/>
        </w:rPr>
        <w:t>)</w:t>
      </w:r>
      <w:r w:rsidR="00EE71C3">
        <w:rPr>
          <w:rFonts w:asciiTheme="minorHAnsi" w:hAnsiTheme="minorHAnsi" w:cstheme="minorHAnsi"/>
        </w:rPr>
        <w:t>.</w:t>
      </w:r>
      <w:r w:rsidR="00BB21F2">
        <w:rPr>
          <w:rFonts w:asciiTheme="minorHAnsi" w:hAnsiTheme="minorHAnsi" w:cstheme="minorHAnsi"/>
        </w:rPr>
        <w:t xml:space="preserve"> </w:t>
      </w:r>
      <w:r w:rsidR="009A40C1">
        <w:rPr>
          <w:rFonts w:asciiTheme="minorHAnsi" w:hAnsiTheme="minorHAnsi" w:cstheme="minorHAnsi"/>
        </w:rPr>
        <w:t>Especially in communities w</w:t>
      </w:r>
      <w:r w:rsidR="00CC4F46">
        <w:rPr>
          <w:rFonts w:asciiTheme="minorHAnsi" w:hAnsiTheme="minorHAnsi" w:cstheme="minorHAnsi"/>
        </w:rPr>
        <w:t>ith strong businesses leader</w:t>
      </w:r>
      <w:r w:rsidR="00994B05">
        <w:rPr>
          <w:rFonts w:asciiTheme="minorHAnsi" w:hAnsiTheme="minorHAnsi" w:cstheme="minorHAnsi"/>
        </w:rPr>
        <w:t xml:space="preserve">s </w:t>
      </w:r>
      <w:r w:rsidR="00EC6A40">
        <w:rPr>
          <w:rFonts w:asciiTheme="minorHAnsi" w:hAnsiTheme="minorHAnsi" w:cstheme="minorHAnsi"/>
        </w:rPr>
        <w:t xml:space="preserve">who </w:t>
      </w:r>
      <w:r w:rsidR="00AF28FE">
        <w:rPr>
          <w:rFonts w:asciiTheme="minorHAnsi" w:hAnsiTheme="minorHAnsi" w:cstheme="minorHAnsi"/>
        </w:rPr>
        <w:lastRenderedPageBreak/>
        <w:t xml:space="preserve">share </w:t>
      </w:r>
      <w:r w:rsidR="00994B05">
        <w:rPr>
          <w:rFonts w:asciiTheme="minorHAnsi" w:hAnsiTheme="minorHAnsi" w:cstheme="minorHAnsi"/>
        </w:rPr>
        <w:t>their knowledge and network</w:t>
      </w:r>
      <w:r w:rsidR="00E51B06">
        <w:rPr>
          <w:rFonts w:asciiTheme="minorHAnsi" w:hAnsiTheme="minorHAnsi" w:cstheme="minorHAnsi"/>
        </w:rPr>
        <w:t>s, the</w:t>
      </w:r>
      <w:r w:rsidR="00DE20FF">
        <w:rPr>
          <w:rFonts w:asciiTheme="minorHAnsi" w:hAnsiTheme="minorHAnsi" w:cstheme="minorHAnsi"/>
        </w:rPr>
        <w:t xml:space="preserve"> new opportunities can transform the </w:t>
      </w:r>
      <w:r w:rsidR="00701C9A">
        <w:rPr>
          <w:rFonts w:asciiTheme="minorHAnsi" w:hAnsiTheme="minorHAnsi" w:cstheme="minorHAnsi"/>
        </w:rPr>
        <w:t xml:space="preserve">aspirations of an </w:t>
      </w:r>
      <w:r w:rsidR="00DE20FF">
        <w:rPr>
          <w:rFonts w:asciiTheme="minorHAnsi" w:hAnsiTheme="minorHAnsi" w:cstheme="minorHAnsi"/>
        </w:rPr>
        <w:t>entire community</w:t>
      </w:r>
      <w:r w:rsidR="009D6F00">
        <w:rPr>
          <w:rFonts w:asciiTheme="minorHAnsi" w:hAnsiTheme="minorHAnsi" w:cstheme="minorHAnsi"/>
        </w:rPr>
        <w:t>.</w:t>
      </w:r>
    </w:p>
    <w:p w14:paraId="11ACC3E7" w14:textId="6912CE54" w:rsidR="00196F20" w:rsidRDefault="00196F20" w:rsidP="00ED2BE1">
      <w:pPr>
        <w:jc w:val="both"/>
        <w:rPr>
          <w:rFonts w:asciiTheme="minorHAnsi" w:hAnsiTheme="minorHAnsi" w:cstheme="minorHAnsi"/>
        </w:rPr>
      </w:pPr>
    </w:p>
    <w:p w14:paraId="24F8DE35" w14:textId="003BEEC1" w:rsidR="00E33E4C" w:rsidRDefault="00A2247B" w:rsidP="00ED2BE1">
      <w:pPr>
        <w:jc w:val="both"/>
        <w:rPr>
          <w:rFonts w:asciiTheme="minorHAnsi" w:hAnsiTheme="minorHAnsi" w:cstheme="minorHAnsi"/>
        </w:rPr>
      </w:pPr>
      <w:r>
        <w:rPr>
          <w:rFonts w:asciiTheme="minorHAnsi" w:hAnsiTheme="minorHAnsi" w:cstheme="minorHAnsi"/>
        </w:rPr>
        <w:t xml:space="preserve">Development of a vibrant </w:t>
      </w:r>
      <w:r w:rsidR="00E33E4C">
        <w:rPr>
          <w:rFonts w:asciiTheme="minorHAnsi" w:hAnsiTheme="minorHAnsi" w:cstheme="minorHAnsi"/>
        </w:rPr>
        <w:t xml:space="preserve">business sector </w:t>
      </w:r>
      <w:r w:rsidR="00CB5080">
        <w:rPr>
          <w:rFonts w:asciiTheme="minorHAnsi" w:hAnsiTheme="minorHAnsi" w:cstheme="minorHAnsi"/>
        </w:rPr>
        <w:t xml:space="preserve">where Indigenous people participate and interact on equal term with non-Indigenous Australians also </w:t>
      </w:r>
      <w:r w:rsidR="007C1BFB">
        <w:rPr>
          <w:rFonts w:asciiTheme="minorHAnsi" w:hAnsiTheme="minorHAnsi" w:cstheme="minorHAnsi"/>
        </w:rPr>
        <w:t xml:space="preserve">can also help </w:t>
      </w:r>
      <w:r w:rsidR="00D513B2">
        <w:rPr>
          <w:rFonts w:asciiTheme="minorHAnsi" w:hAnsiTheme="minorHAnsi" w:cstheme="minorHAnsi"/>
        </w:rPr>
        <w:t xml:space="preserve">build </w:t>
      </w:r>
      <w:r w:rsidR="007C1BFB">
        <w:rPr>
          <w:rFonts w:asciiTheme="minorHAnsi" w:hAnsiTheme="minorHAnsi" w:cstheme="minorHAnsi"/>
        </w:rPr>
        <w:t>understanding</w:t>
      </w:r>
      <w:r w:rsidR="00D513B2">
        <w:rPr>
          <w:rFonts w:asciiTheme="minorHAnsi" w:hAnsiTheme="minorHAnsi" w:cstheme="minorHAnsi"/>
        </w:rPr>
        <w:t xml:space="preserve"> and trust</w:t>
      </w:r>
      <w:r w:rsidR="007C1BFB">
        <w:rPr>
          <w:rFonts w:asciiTheme="minorHAnsi" w:hAnsiTheme="minorHAnsi" w:cstheme="minorHAnsi"/>
        </w:rPr>
        <w:t xml:space="preserve"> that </w:t>
      </w:r>
      <w:r w:rsidR="00D513B2">
        <w:rPr>
          <w:rFonts w:asciiTheme="minorHAnsi" w:hAnsiTheme="minorHAnsi" w:cstheme="minorHAnsi"/>
        </w:rPr>
        <w:t xml:space="preserve">is vital for healing the nation. </w:t>
      </w:r>
      <w:r w:rsidR="00E350E8">
        <w:rPr>
          <w:rFonts w:asciiTheme="minorHAnsi" w:hAnsiTheme="minorHAnsi" w:cstheme="minorHAnsi"/>
        </w:rPr>
        <w:t xml:space="preserve">This is consistent with </w:t>
      </w:r>
      <w:r w:rsidR="00A978C0">
        <w:rPr>
          <w:rFonts w:asciiTheme="minorHAnsi" w:hAnsiTheme="minorHAnsi" w:cstheme="minorHAnsi"/>
        </w:rPr>
        <w:t xml:space="preserve">the notion that greater </w:t>
      </w:r>
      <w:r w:rsidR="006B3FC8">
        <w:rPr>
          <w:rFonts w:asciiTheme="minorHAnsi" w:hAnsiTheme="minorHAnsi" w:cstheme="minorHAnsi"/>
        </w:rPr>
        <w:t>connectedness and interactions between</w:t>
      </w:r>
      <w:r w:rsidR="00B10AE6">
        <w:rPr>
          <w:rFonts w:asciiTheme="minorHAnsi" w:hAnsiTheme="minorHAnsi" w:cstheme="minorHAnsi"/>
        </w:rPr>
        <w:t xml:space="preserve"> people from</w:t>
      </w:r>
      <w:r w:rsidR="006B3FC8">
        <w:rPr>
          <w:rFonts w:asciiTheme="minorHAnsi" w:hAnsiTheme="minorHAnsi" w:cstheme="minorHAnsi"/>
        </w:rPr>
        <w:t xml:space="preserve"> </w:t>
      </w:r>
      <w:r w:rsidR="00B10AE6">
        <w:rPr>
          <w:rFonts w:asciiTheme="minorHAnsi" w:hAnsiTheme="minorHAnsi" w:cstheme="minorHAnsi"/>
        </w:rPr>
        <w:t xml:space="preserve">dominant and minority cultures </w:t>
      </w:r>
      <w:r w:rsidR="00CE3775">
        <w:rPr>
          <w:rFonts w:asciiTheme="minorHAnsi" w:hAnsiTheme="minorHAnsi" w:cstheme="minorHAnsi"/>
        </w:rPr>
        <w:t xml:space="preserve">helps build social capital, a commonly articulated </w:t>
      </w:r>
      <w:r w:rsidR="00D513B2">
        <w:rPr>
          <w:rFonts w:asciiTheme="minorHAnsi" w:hAnsiTheme="minorHAnsi" w:cstheme="minorHAnsi"/>
        </w:rPr>
        <w:t>motivat</w:t>
      </w:r>
      <w:r w:rsidR="00E350E8">
        <w:rPr>
          <w:rFonts w:asciiTheme="minorHAnsi" w:hAnsiTheme="minorHAnsi" w:cstheme="minorHAnsi"/>
        </w:rPr>
        <w:t>ions</w:t>
      </w:r>
      <w:r w:rsidR="00D513B2">
        <w:rPr>
          <w:rFonts w:asciiTheme="minorHAnsi" w:hAnsiTheme="minorHAnsi" w:cstheme="minorHAnsi"/>
        </w:rPr>
        <w:t xml:space="preserve"> for </w:t>
      </w:r>
      <w:r w:rsidR="00E350E8">
        <w:rPr>
          <w:rFonts w:asciiTheme="minorHAnsi" w:hAnsiTheme="minorHAnsi" w:cstheme="minorHAnsi"/>
        </w:rPr>
        <w:t>affirmative action policies</w:t>
      </w:r>
      <w:r w:rsidR="00CE3775">
        <w:rPr>
          <w:rFonts w:asciiTheme="minorHAnsi" w:hAnsiTheme="minorHAnsi" w:cstheme="minorHAnsi"/>
        </w:rPr>
        <w:t xml:space="preserve"> (</w:t>
      </w:r>
      <w:r w:rsidR="000E75BA">
        <w:rPr>
          <w:rFonts w:asciiTheme="minorHAnsi" w:hAnsiTheme="minorHAnsi" w:cstheme="minorHAnsi"/>
        </w:rPr>
        <w:t xml:space="preserve">Holzer and </w:t>
      </w:r>
      <w:proofErr w:type="spellStart"/>
      <w:r w:rsidR="000E75BA">
        <w:rPr>
          <w:rFonts w:asciiTheme="minorHAnsi" w:hAnsiTheme="minorHAnsi" w:cstheme="minorHAnsi"/>
        </w:rPr>
        <w:t>Neumark</w:t>
      </w:r>
      <w:proofErr w:type="spellEnd"/>
      <w:r w:rsidR="000E75BA">
        <w:rPr>
          <w:rFonts w:asciiTheme="minorHAnsi" w:hAnsiTheme="minorHAnsi" w:cstheme="minorHAnsi"/>
        </w:rPr>
        <w:t xml:space="preserve"> 2006). </w:t>
      </w:r>
    </w:p>
    <w:p w14:paraId="676C582E" w14:textId="77777777" w:rsidR="00E33E4C" w:rsidRDefault="00E33E4C" w:rsidP="00DC2B2E">
      <w:pPr>
        <w:rPr>
          <w:rFonts w:asciiTheme="minorHAnsi" w:hAnsiTheme="minorHAnsi" w:cstheme="minorHAnsi"/>
        </w:rPr>
      </w:pPr>
    </w:p>
    <w:p w14:paraId="4C637C72" w14:textId="7B6201F4" w:rsidR="000762E9" w:rsidRDefault="000762E9" w:rsidP="00667B5C">
      <w:pPr>
        <w:pStyle w:val="Heading2"/>
      </w:pPr>
      <w:r w:rsidRPr="000762E9">
        <w:t>Measuring impact</w:t>
      </w:r>
    </w:p>
    <w:p w14:paraId="7EAD693F" w14:textId="79CD666D" w:rsidR="00E36BA5" w:rsidRDefault="00667B5C" w:rsidP="00ED2BE1">
      <w:pPr>
        <w:jc w:val="both"/>
        <w:rPr>
          <w:rFonts w:asciiTheme="minorHAnsi" w:hAnsiTheme="minorHAnsi" w:cstheme="minorHAnsi"/>
        </w:rPr>
      </w:pPr>
      <w:r>
        <w:rPr>
          <w:rFonts w:asciiTheme="minorHAnsi" w:hAnsiTheme="minorHAnsi" w:cstheme="minorHAnsi"/>
        </w:rPr>
        <w:t xml:space="preserve">The public benefits described above </w:t>
      </w:r>
      <w:r w:rsidR="009D6F00">
        <w:rPr>
          <w:rFonts w:asciiTheme="minorHAnsi" w:hAnsiTheme="minorHAnsi" w:cstheme="minorHAnsi"/>
        </w:rPr>
        <w:t xml:space="preserve">are </w:t>
      </w:r>
      <w:r>
        <w:rPr>
          <w:rFonts w:asciiTheme="minorHAnsi" w:hAnsiTheme="minorHAnsi" w:cstheme="minorHAnsi"/>
        </w:rPr>
        <w:t>difficult</w:t>
      </w:r>
      <w:r w:rsidR="009A5886">
        <w:rPr>
          <w:rFonts w:asciiTheme="minorHAnsi" w:hAnsiTheme="minorHAnsi" w:cstheme="minorHAnsi"/>
        </w:rPr>
        <w:t xml:space="preserve"> but not impossible</w:t>
      </w:r>
      <w:r>
        <w:rPr>
          <w:rFonts w:asciiTheme="minorHAnsi" w:hAnsiTheme="minorHAnsi" w:cstheme="minorHAnsi"/>
        </w:rPr>
        <w:t xml:space="preserve"> to measure</w:t>
      </w:r>
      <w:r w:rsidR="009A5886">
        <w:rPr>
          <w:rFonts w:asciiTheme="minorHAnsi" w:hAnsiTheme="minorHAnsi" w:cstheme="minorHAnsi"/>
        </w:rPr>
        <w:t xml:space="preserve">. In practice, </w:t>
      </w:r>
      <w:r w:rsidR="00FA456D">
        <w:rPr>
          <w:rFonts w:asciiTheme="minorHAnsi" w:hAnsiTheme="minorHAnsi" w:cstheme="minorHAnsi"/>
        </w:rPr>
        <w:t xml:space="preserve">we can observe community level </w:t>
      </w:r>
      <w:r w:rsidR="00025F2E">
        <w:rPr>
          <w:rFonts w:asciiTheme="minorHAnsi" w:hAnsiTheme="minorHAnsi" w:cstheme="minorHAnsi"/>
        </w:rPr>
        <w:t xml:space="preserve">changes </w:t>
      </w:r>
      <w:r w:rsidR="00FA456D">
        <w:rPr>
          <w:rFonts w:asciiTheme="minorHAnsi" w:hAnsiTheme="minorHAnsi" w:cstheme="minorHAnsi"/>
        </w:rPr>
        <w:t xml:space="preserve">in </w:t>
      </w:r>
      <w:r w:rsidR="00463EA5">
        <w:rPr>
          <w:rFonts w:asciiTheme="minorHAnsi" w:hAnsiTheme="minorHAnsi" w:cstheme="minorHAnsi"/>
        </w:rPr>
        <w:t>measures</w:t>
      </w:r>
      <w:r w:rsidR="00FA456D">
        <w:rPr>
          <w:rFonts w:asciiTheme="minorHAnsi" w:hAnsiTheme="minorHAnsi" w:cstheme="minorHAnsi"/>
        </w:rPr>
        <w:t xml:space="preserve"> that approximate or ‘proxy’ for </w:t>
      </w:r>
      <w:r w:rsidR="00603B60">
        <w:rPr>
          <w:rFonts w:asciiTheme="minorHAnsi" w:hAnsiTheme="minorHAnsi" w:cstheme="minorHAnsi"/>
        </w:rPr>
        <w:t xml:space="preserve">a range of </w:t>
      </w:r>
      <w:r w:rsidR="00463EA5">
        <w:rPr>
          <w:rFonts w:asciiTheme="minorHAnsi" w:hAnsiTheme="minorHAnsi" w:cstheme="minorHAnsi"/>
        </w:rPr>
        <w:t>social</w:t>
      </w:r>
      <w:r w:rsidR="00603B60">
        <w:rPr>
          <w:rFonts w:asciiTheme="minorHAnsi" w:hAnsiTheme="minorHAnsi" w:cstheme="minorHAnsi"/>
        </w:rPr>
        <w:t xml:space="preserve"> and</w:t>
      </w:r>
      <w:r w:rsidR="00463EA5">
        <w:rPr>
          <w:rFonts w:asciiTheme="minorHAnsi" w:hAnsiTheme="minorHAnsi" w:cstheme="minorHAnsi"/>
        </w:rPr>
        <w:t xml:space="preserve"> economic </w:t>
      </w:r>
      <w:r w:rsidR="00603B60">
        <w:rPr>
          <w:rFonts w:asciiTheme="minorHAnsi" w:hAnsiTheme="minorHAnsi" w:cstheme="minorHAnsi"/>
        </w:rPr>
        <w:t xml:space="preserve">outcomes that </w:t>
      </w:r>
      <w:r w:rsidR="00025F2E">
        <w:rPr>
          <w:rFonts w:asciiTheme="minorHAnsi" w:hAnsiTheme="minorHAnsi" w:cstheme="minorHAnsi"/>
        </w:rPr>
        <w:t>coincide with growth in the Indigenous business sector</w:t>
      </w:r>
      <w:r w:rsidR="00E36BA5">
        <w:rPr>
          <w:rFonts w:asciiTheme="minorHAnsi" w:hAnsiTheme="minorHAnsi" w:cstheme="minorHAnsi"/>
        </w:rPr>
        <w:t xml:space="preserve"> across regions</w:t>
      </w:r>
      <w:r w:rsidR="00025F2E">
        <w:rPr>
          <w:rFonts w:asciiTheme="minorHAnsi" w:hAnsiTheme="minorHAnsi" w:cstheme="minorHAnsi"/>
        </w:rPr>
        <w:t>.</w:t>
      </w:r>
      <w:r w:rsidR="00424BBF">
        <w:rPr>
          <w:rFonts w:asciiTheme="minorHAnsi" w:hAnsiTheme="minorHAnsi" w:cstheme="minorHAnsi"/>
        </w:rPr>
        <w:t xml:space="preserve"> </w:t>
      </w:r>
      <w:r w:rsidR="0081426D">
        <w:rPr>
          <w:rFonts w:asciiTheme="minorHAnsi" w:hAnsiTheme="minorHAnsi" w:cstheme="minorHAnsi"/>
        </w:rPr>
        <w:t xml:space="preserve">Such changes are </w:t>
      </w:r>
      <w:r w:rsidR="00CA5012">
        <w:rPr>
          <w:rFonts w:asciiTheme="minorHAnsi" w:hAnsiTheme="minorHAnsi" w:cstheme="minorHAnsi"/>
        </w:rPr>
        <w:t>indicative of the impacts of Indigenous businesses, but not necessarily causal impacts — there may b</w:t>
      </w:r>
      <w:r w:rsidR="00E36BA5">
        <w:rPr>
          <w:rFonts w:asciiTheme="minorHAnsi" w:hAnsiTheme="minorHAnsi" w:cstheme="minorHAnsi"/>
        </w:rPr>
        <w:t xml:space="preserve">e </w:t>
      </w:r>
      <w:r w:rsidR="00AC4C86">
        <w:rPr>
          <w:rFonts w:asciiTheme="minorHAnsi" w:hAnsiTheme="minorHAnsi" w:cstheme="minorHAnsi"/>
        </w:rPr>
        <w:t xml:space="preserve">confounding </w:t>
      </w:r>
      <w:r w:rsidR="00E36BA5">
        <w:rPr>
          <w:rFonts w:asciiTheme="minorHAnsi" w:hAnsiTheme="minorHAnsi" w:cstheme="minorHAnsi"/>
        </w:rPr>
        <w:t>factors that drive both outcomes</w:t>
      </w:r>
      <w:r w:rsidR="00212FBE">
        <w:rPr>
          <w:rFonts w:asciiTheme="minorHAnsi" w:hAnsiTheme="minorHAnsi" w:cstheme="minorHAnsi"/>
        </w:rPr>
        <w:t xml:space="preserve"> simultaneously</w:t>
      </w:r>
      <w:r w:rsidR="00CD7DC5">
        <w:rPr>
          <w:rFonts w:asciiTheme="minorHAnsi" w:hAnsiTheme="minorHAnsi" w:cstheme="minorHAnsi"/>
        </w:rPr>
        <w:t xml:space="preserve">, such as </w:t>
      </w:r>
      <w:r w:rsidR="00125219">
        <w:rPr>
          <w:rFonts w:asciiTheme="minorHAnsi" w:hAnsiTheme="minorHAnsi" w:cstheme="minorHAnsi"/>
        </w:rPr>
        <w:t xml:space="preserve">local </w:t>
      </w:r>
      <w:r w:rsidR="00C80A99">
        <w:rPr>
          <w:rFonts w:asciiTheme="minorHAnsi" w:hAnsiTheme="minorHAnsi" w:cstheme="minorHAnsi"/>
        </w:rPr>
        <w:t>economic trends</w:t>
      </w:r>
      <w:r w:rsidR="00E36BA5">
        <w:rPr>
          <w:rFonts w:asciiTheme="minorHAnsi" w:hAnsiTheme="minorHAnsi" w:cstheme="minorHAnsi"/>
        </w:rPr>
        <w:t>.</w:t>
      </w:r>
      <w:r w:rsidR="00167501">
        <w:rPr>
          <w:rFonts w:asciiTheme="minorHAnsi" w:hAnsiTheme="minorHAnsi" w:cstheme="minorHAnsi"/>
        </w:rPr>
        <w:t xml:space="preserve"> Ideally, </w:t>
      </w:r>
      <w:r w:rsidR="00212FBE">
        <w:rPr>
          <w:rFonts w:asciiTheme="minorHAnsi" w:hAnsiTheme="minorHAnsi" w:cstheme="minorHAnsi"/>
        </w:rPr>
        <w:t xml:space="preserve">we would </w:t>
      </w:r>
      <w:r w:rsidR="009D3C43">
        <w:rPr>
          <w:rFonts w:asciiTheme="minorHAnsi" w:hAnsiTheme="minorHAnsi" w:cstheme="minorHAnsi"/>
        </w:rPr>
        <w:t>estimat</w:t>
      </w:r>
      <w:r w:rsidR="00212FBE">
        <w:rPr>
          <w:rFonts w:asciiTheme="minorHAnsi" w:hAnsiTheme="minorHAnsi" w:cstheme="minorHAnsi"/>
        </w:rPr>
        <w:t>e</w:t>
      </w:r>
      <w:r w:rsidR="000E785B">
        <w:rPr>
          <w:rFonts w:asciiTheme="minorHAnsi" w:hAnsiTheme="minorHAnsi" w:cstheme="minorHAnsi"/>
        </w:rPr>
        <w:t xml:space="preserve"> </w:t>
      </w:r>
      <w:r w:rsidR="002F5378">
        <w:rPr>
          <w:rFonts w:asciiTheme="minorHAnsi" w:hAnsiTheme="minorHAnsi" w:cstheme="minorHAnsi"/>
        </w:rPr>
        <w:t xml:space="preserve">regional outcomes </w:t>
      </w:r>
      <w:r w:rsidR="000E785B">
        <w:rPr>
          <w:rFonts w:asciiTheme="minorHAnsi" w:hAnsiTheme="minorHAnsi" w:cstheme="minorHAnsi"/>
        </w:rPr>
        <w:t xml:space="preserve">in the absence of Indigenous business growth, </w:t>
      </w:r>
      <w:r w:rsidR="009D3C43">
        <w:rPr>
          <w:rFonts w:asciiTheme="minorHAnsi" w:hAnsiTheme="minorHAnsi" w:cstheme="minorHAnsi"/>
        </w:rPr>
        <w:t xml:space="preserve">known as </w:t>
      </w:r>
      <w:r w:rsidR="000E785B">
        <w:rPr>
          <w:rFonts w:asciiTheme="minorHAnsi" w:hAnsiTheme="minorHAnsi" w:cstheme="minorHAnsi"/>
        </w:rPr>
        <w:t>counterfactual outcomes</w:t>
      </w:r>
      <w:r w:rsidR="00212FBE">
        <w:rPr>
          <w:rFonts w:asciiTheme="minorHAnsi" w:hAnsiTheme="minorHAnsi" w:cstheme="minorHAnsi"/>
        </w:rPr>
        <w:t xml:space="preserve"> as a benchmark</w:t>
      </w:r>
      <w:r w:rsidR="000E785B">
        <w:rPr>
          <w:rFonts w:asciiTheme="minorHAnsi" w:hAnsiTheme="minorHAnsi" w:cstheme="minorHAnsi"/>
        </w:rPr>
        <w:t xml:space="preserve">, to </w:t>
      </w:r>
      <w:r w:rsidR="009D3C43">
        <w:rPr>
          <w:rFonts w:asciiTheme="minorHAnsi" w:hAnsiTheme="minorHAnsi" w:cstheme="minorHAnsi"/>
        </w:rPr>
        <w:t xml:space="preserve">isolate the effect of Indigenous business growth on </w:t>
      </w:r>
      <w:r w:rsidR="002F0D2F">
        <w:rPr>
          <w:rFonts w:asciiTheme="minorHAnsi" w:hAnsiTheme="minorHAnsi" w:cstheme="minorHAnsi"/>
        </w:rPr>
        <w:t>community outcomes</w:t>
      </w:r>
      <w:r w:rsidR="0039773D">
        <w:rPr>
          <w:rFonts w:asciiTheme="minorHAnsi" w:hAnsiTheme="minorHAnsi" w:cstheme="minorHAnsi"/>
        </w:rPr>
        <w:t xml:space="preserve"> </w:t>
      </w:r>
      <w:r w:rsidR="009D3C43">
        <w:rPr>
          <w:rFonts w:asciiTheme="minorHAnsi" w:hAnsiTheme="minorHAnsi" w:cstheme="minorHAnsi"/>
        </w:rPr>
        <w:t xml:space="preserve">from </w:t>
      </w:r>
      <w:r w:rsidR="009415E0">
        <w:rPr>
          <w:rFonts w:asciiTheme="minorHAnsi" w:hAnsiTheme="minorHAnsi" w:cstheme="minorHAnsi"/>
        </w:rPr>
        <w:t xml:space="preserve">the influence of </w:t>
      </w:r>
      <w:r w:rsidR="009D3C43">
        <w:rPr>
          <w:rFonts w:asciiTheme="minorHAnsi" w:hAnsiTheme="minorHAnsi" w:cstheme="minorHAnsi"/>
        </w:rPr>
        <w:t xml:space="preserve">other </w:t>
      </w:r>
      <w:r w:rsidR="009415E0">
        <w:rPr>
          <w:rFonts w:asciiTheme="minorHAnsi" w:hAnsiTheme="minorHAnsi" w:cstheme="minorHAnsi"/>
        </w:rPr>
        <w:t>confounding factors</w:t>
      </w:r>
      <w:r w:rsidR="00A0691C">
        <w:rPr>
          <w:rFonts w:asciiTheme="minorHAnsi" w:hAnsiTheme="minorHAnsi" w:cstheme="minorHAnsi"/>
        </w:rPr>
        <w:t>.</w:t>
      </w:r>
      <w:r w:rsidR="00E36BA5">
        <w:rPr>
          <w:rFonts w:asciiTheme="minorHAnsi" w:hAnsiTheme="minorHAnsi" w:cstheme="minorHAnsi"/>
        </w:rPr>
        <w:t xml:space="preserve"> </w:t>
      </w:r>
      <w:r w:rsidR="008A3586">
        <w:rPr>
          <w:rFonts w:asciiTheme="minorHAnsi" w:hAnsiTheme="minorHAnsi" w:cstheme="minorHAnsi"/>
        </w:rPr>
        <w:t>In I-BLADE</w:t>
      </w:r>
      <w:r w:rsidR="00B50DF3">
        <w:rPr>
          <w:rFonts w:asciiTheme="minorHAnsi" w:hAnsiTheme="minorHAnsi" w:cstheme="minorHAnsi"/>
        </w:rPr>
        <w:t xml:space="preserve"> 1.0</w:t>
      </w:r>
      <w:r w:rsidR="008A3586">
        <w:rPr>
          <w:rFonts w:asciiTheme="minorHAnsi" w:hAnsiTheme="minorHAnsi" w:cstheme="minorHAnsi"/>
        </w:rPr>
        <w:t>, we have limited measures</w:t>
      </w:r>
      <w:r w:rsidR="00B94675">
        <w:rPr>
          <w:rFonts w:asciiTheme="minorHAnsi" w:hAnsiTheme="minorHAnsi" w:cstheme="minorHAnsi"/>
        </w:rPr>
        <w:t xml:space="preserve"> </w:t>
      </w:r>
      <w:r w:rsidR="00527009">
        <w:rPr>
          <w:rFonts w:asciiTheme="minorHAnsi" w:hAnsiTheme="minorHAnsi" w:cstheme="minorHAnsi"/>
        </w:rPr>
        <w:t xml:space="preserve">on community outcomes described above or </w:t>
      </w:r>
      <w:r w:rsidR="00212FBE">
        <w:rPr>
          <w:rFonts w:asciiTheme="minorHAnsi" w:hAnsiTheme="minorHAnsi" w:cstheme="minorHAnsi"/>
        </w:rPr>
        <w:t xml:space="preserve">data to </w:t>
      </w:r>
      <w:r w:rsidR="00A55263">
        <w:rPr>
          <w:rFonts w:asciiTheme="minorHAnsi" w:hAnsiTheme="minorHAnsi" w:cstheme="minorHAnsi"/>
        </w:rPr>
        <w:t xml:space="preserve">construct </w:t>
      </w:r>
      <w:r w:rsidR="00527009">
        <w:rPr>
          <w:rFonts w:asciiTheme="minorHAnsi" w:hAnsiTheme="minorHAnsi" w:cstheme="minorHAnsi"/>
        </w:rPr>
        <w:t>counterfactuals to isolate possible causal impacts</w:t>
      </w:r>
      <w:r w:rsidR="004061FF">
        <w:rPr>
          <w:rFonts w:asciiTheme="minorHAnsi" w:hAnsiTheme="minorHAnsi" w:cstheme="minorHAnsi"/>
        </w:rPr>
        <w:t xml:space="preserve">. </w:t>
      </w:r>
      <w:r w:rsidR="00212FBE">
        <w:rPr>
          <w:rFonts w:asciiTheme="minorHAnsi" w:hAnsiTheme="minorHAnsi" w:cstheme="minorHAnsi"/>
        </w:rPr>
        <w:t>This is for fu</w:t>
      </w:r>
      <w:r w:rsidR="003620D3">
        <w:rPr>
          <w:rFonts w:asciiTheme="minorHAnsi" w:hAnsiTheme="minorHAnsi" w:cstheme="minorHAnsi"/>
        </w:rPr>
        <w:t>ture research.</w:t>
      </w:r>
    </w:p>
    <w:p w14:paraId="3F8CA441" w14:textId="118621DD" w:rsidR="004061FF" w:rsidRDefault="004061FF" w:rsidP="00ED2BE1">
      <w:pPr>
        <w:jc w:val="both"/>
        <w:rPr>
          <w:rFonts w:asciiTheme="minorHAnsi" w:hAnsiTheme="minorHAnsi" w:cstheme="minorHAnsi"/>
        </w:rPr>
      </w:pPr>
    </w:p>
    <w:p w14:paraId="010FF496" w14:textId="6F3863C3" w:rsidR="00941418" w:rsidRDefault="003620D3" w:rsidP="00ED2BE1">
      <w:pPr>
        <w:jc w:val="both"/>
        <w:rPr>
          <w:rFonts w:asciiTheme="minorHAnsi" w:hAnsiTheme="minorHAnsi" w:cstheme="minorHAnsi"/>
        </w:rPr>
      </w:pPr>
      <w:r>
        <w:rPr>
          <w:rFonts w:asciiTheme="minorHAnsi" w:hAnsiTheme="minorHAnsi" w:cstheme="minorHAnsi"/>
        </w:rPr>
        <w:t>In I-BLADE</w:t>
      </w:r>
      <w:r w:rsidR="00B50DF3">
        <w:rPr>
          <w:rFonts w:asciiTheme="minorHAnsi" w:hAnsiTheme="minorHAnsi" w:cstheme="minorHAnsi"/>
        </w:rPr>
        <w:t xml:space="preserve"> 1.0</w:t>
      </w:r>
      <w:r>
        <w:rPr>
          <w:rFonts w:asciiTheme="minorHAnsi" w:hAnsiTheme="minorHAnsi" w:cstheme="minorHAnsi"/>
        </w:rPr>
        <w:t xml:space="preserve">, we </w:t>
      </w:r>
      <w:r w:rsidR="00675FF0">
        <w:rPr>
          <w:rFonts w:asciiTheme="minorHAnsi" w:hAnsiTheme="minorHAnsi" w:cstheme="minorHAnsi"/>
        </w:rPr>
        <w:t>start from the premise that the public benefits from Indigenous businesses</w:t>
      </w:r>
      <w:r w:rsidR="00160050">
        <w:rPr>
          <w:rFonts w:asciiTheme="minorHAnsi" w:hAnsiTheme="minorHAnsi" w:cstheme="minorHAnsi"/>
        </w:rPr>
        <w:t>, as described above,</w:t>
      </w:r>
      <w:r w:rsidR="00675FF0">
        <w:rPr>
          <w:rFonts w:asciiTheme="minorHAnsi" w:hAnsiTheme="minorHAnsi" w:cstheme="minorHAnsi"/>
        </w:rPr>
        <w:t xml:space="preserve"> are li</w:t>
      </w:r>
      <w:r w:rsidR="00160050">
        <w:rPr>
          <w:rFonts w:asciiTheme="minorHAnsi" w:hAnsiTheme="minorHAnsi" w:cstheme="minorHAnsi"/>
        </w:rPr>
        <w:t xml:space="preserve">kely to be related to the share of </w:t>
      </w:r>
      <w:r w:rsidR="00063103">
        <w:rPr>
          <w:rFonts w:asciiTheme="minorHAnsi" w:hAnsiTheme="minorHAnsi" w:cstheme="minorHAnsi"/>
        </w:rPr>
        <w:t>overall employment in the region</w:t>
      </w:r>
      <w:r w:rsidR="00D73FF1">
        <w:rPr>
          <w:rFonts w:asciiTheme="minorHAnsi" w:hAnsiTheme="minorHAnsi" w:cstheme="minorHAnsi"/>
        </w:rPr>
        <w:t xml:space="preserve"> and the associated pay</w:t>
      </w:r>
      <w:r w:rsidR="00021446">
        <w:rPr>
          <w:rFonts w:asciiTheme="minorHAnsi" w:hAnsiTheme="minorHAnsi" w:cstheme="minorHAnsi"/>
        </w:rPr>
        <w:t>,</w:t>
      </w:r>
      <w:r w:rsidR="0054134D">
        <w:rPr>
          <w:rFonts w:asciiTheme="minorHAnsi" w:hAnsiTheme="minorHAnsi" w:cstheme="minorHAnsi"/>
        </w:rPr>
        <w:t xml:space="preserve"> the latter being</w:t>
      </w:r>
      <w:r w:rsidR="00021446">
        <w:rPr>
          <w:rFonts w:asciiTheme="minorHAnsi" w:hAnsiTheme="minorHAnsi" w:cstheme="minorHAnsi"/>
        </w:rPr>
        <w:t xml:space="preserve"> a proxy for the economic returns to the community </w:t>
      </w:r>
      <w:r w:rsidR="00D97DA7">
        <w:rPr>
          <w:rFonts w:asciiTheme="minorHAnsi" w:hAnsiTheme="minorHAnsi" w:cstheme="minorHAnsi"/>
        </w:rPr>
        <w:t>from</w:t>
      </w:r>
      <w:r w:rsidR="0054134D">
        <w:rPr>
          <w:rFonts w:asciiTheme="minorHAnsi" w:hAnsiTheme="minorHAnsi" w:cstheme="minorHAnsi"/>
        </w:rPr>
        <w:t xml:space="preserve"> a job with an Indigenous business</w:t>
      </w:r>
      <w:r w:rsidR="007154EA">
        <w:rPr>
          <w:rFonts w:asciiTheme="minorHAnsi" w:hAnsiTheme="minorHAnsi" w:cstheme="minorHAnsi"/>
        </w:rPr>
        <w:t>. Data in Figure 1</w:t>
      </w:r>
      <w:r w:rsidR="00004A61">
        <w:rPr>
          <w:rFonts w:asciiTheme="minorHAnsi" w:hAnsiTheme="minorHAnsi" w:cstheme="minorHAnsi"/>
        </w:rPr>
        <w:t>1</w:t>
      </w:r>
      <w:r w:rsidR="007154EA">
        <w:rPr>
          <w:rFonts w:asciiTheme="minorHAnsi" w:hAnsiTheme="minorHAnsi" w:cstheme="minorHAnsi"/>
        </w:rPr>
        <w:t xml:space="preserve"> shows </w:t>
      </w:r>
      <w:r w:rsidR="005442FA">
        <w:rPr>
          <w:rFonts w:asciiTheme="minorHAnsi" w:hAnsiTheme="minorHAnsi" w:cstheme="minorHAnsi"/>
        </w:rPr>
        <w:t xml:space="preserve">Indigenous business employment numbers as a </w:t>
      </w:r>
      <w:r w:rsidR="007154EA">
        <w:rPr>
          <w:rFonts w:asciiTheme="minorHAnsi" w:hAnsiTheme="minorHAnsi" w:cstheme="minorHAnsi"/>
        </w:rPr>
        <w:t>share of overall ABS SA4 business employment</w:t>
      </w:r>
      <w:r w:rsidR="00E94BD2">
        <w:rPr>
          <w:rFonts w:asciiTheme="minorHAnsi" w:hAnsiTheme="minorHAnsi" w:cstheme="minorHAnsi"/>
        </w:rPr>
        <w:t xml:space="preserve"> over time. One key observation is that in terms of local employment opportunities, </w:t>
      </w:r>
      <w:r w:rsidR="00937B1F" w:rsidRPr="00D45058">
        <w:rPr>
          <w:rFonts w:asciiTheme="minorHAnsi" w:hAnsiTheme="minorHAnsi" w:cstheme="minorHAnsi"/>
          <w:b/>
          <w:bCs/>
        </w:rPr>
        <w:t>Indigenous businesses</w:t>
      </w:r>
      <w:r w:rsidR="000429B8" w:rsidRPr="00D45058">
        <w:rPr>
          <w:rFonts w:asciiTheme="minorHAnsi" w:hAnsiTheme="minorHAnsi" w:cstheme="minorHAnsi"/>
          <w:b/>
          <w:bCs/>
        </w:rPr>
        <w:t xml:space="preserve"> in I-BLADE</w:t>
      </w:r>
      <w:r w:rsidR="00937B1F" w:rsidRPr="00D45058">
        <w:rPr>
          <w:rFonts w:asciiTheme="minorHAnsi" w:hAnsiTheme="minorHAnsi" w:cstheme="minorHAnsi"/>
          <w:b/>
          <w:bCs/>
        </w:rPr>
        <w:t xml:space="preserve"> </w:t>
      </w:r>
      <w:r w:rsidR="00825BBB" w:rsidRPr="00D45058">
        <w:rPr>
          <w:rFonts w:asciiTheme="minorHAnsi" w:hAnsiTheme="minorHAnsi" w:cstheme="minorHAnsi"/>
          <w:b/>
          <w:bCs/>
        </w:rPr>
        <w:t xml:space="preserve">are consistently most important in remote areas, </w:t>
      </w:r>
      <w:r w:rsidR="00FD5E08" w:rsidRPr="00D45058">
        <w:rPr>
          <w:rFonts w:asciiTheme="minorHAnsi" w:hAnsiTheme="minorHAnsi" w:cstheme="minorHAnsi"/>
          <w:b/>
          <w:bCs/>
        </w:rPr>
        <w:t xml:space="preserve">where </w:t>
      </w:r>
      <w:r w:rsidR="000429B8" w:rsidRPr="00D45058">
        <w:rPr>
          <w:rFonts w:asciiTheme="minorHAnsi" w:hAnsiTheme="minorHAnsi" w:cstheme="minorHAnsi"/>
          <w:b/>
          <w:bCs/>
        </w:rPr>
        <w:t xml:space="preserve">Indigenous business jobs </w:t>
      </w:r>
      <w:r w:rsidR="001F387F" w:rsidRPr="00D45058">
        <w:rPr>
          <w:rFonts w:asciiTheme="minorHAnsi" w:hAnsiTheme="minorHAnsi" w:cstheme="minorHAnsi"/>
          <w:b/>
          <w:bCs/>
        </w:rPr>
        <w:t>compris</w:t>
      </w:r>
      <w:r w:rsidR="00FD5E08" w:rsidRPr="00D45058">
        <w:rPr>
          <w:rFonts w:asciiTheme="minorHAnsi" w:hAnsiTheme="minorHAnsi" w:cstheme="minorHAnsi"/>
          <w:b/>
          <w:bCs/>
        </w:rPr>
        <w:t>e</w:t>
      </w:r>
      <w:r w:rsidR="001F387F" w:rsidRPr="00D45058">
        <w:rPr>
          <w:rFonts w:asciiTheme="minorHAnsi" w:hAnsiTheme="minorHAnsi" w:cstheme="minorHAnsi"/>
          <w:b/>
          <w:bCs/>
        </w:rPr>
        <w:t xml:space="preserve"> more than 2% of all jobs</w:t>
      </w:r>
      <w:r w:rsidR="001574F4" w:rsidRPr="00D45058">
        <w:rPr>
          <w:rFonts w:asciiTheme="minorHAnsi" w:hAnsiTheme="minorHAnsi" w:cstheme="minorHAnsi"/>
          <w:b/>
          <w:bCs/>
        </w:rPr>
        <w:t>.</w:t>
      </w:r>
      <w:r w:rsidR="00BB2FD0" w:rsidRPr="00D45058">
        <w:rPr>
          <w:rFonts w:asciiTheme="minorHAnsi" w:hAnsiTheme="minorHAnsi" w:cstheme="minorHAnsi"/>
          <w:b/>
          <w:bCs/>
        </w:rPr>
        <w:t xml:space="preserve"> </w:t>
      </w:r>
      <w:r w:rsidR="00B74553">
        <w:rPr>
          <w:rFonts w:asciiTheme="minorHAnsi" w:hAnsiTheme="minorHAnsi" w:cstheme="minorHAnsi"/>
        </w:rPr>
        <w:t xml:space="preserve">Although </w:t>
      </w:r>
      <w:r w:rsidR="004E5CB6">
        <w:rPr>
          <w:rFonts w:asciiTheme="minorHAnsi" w:hAnsiTheme="minorHAnsi" w:cstheme="minorHAnsi"/>
        </w:rPr>
        <w:t xml:space="preserve">the </w:t>
      </w:r>
      <w:r w:rsidR="00BB2FD0">
        <w:rPr>
          <w:rFonts w:asciiTheme="minorHAnsi" w:hAnsiTheme="minorHAnsi" w:cstheme="minorHAnsi"/>
        </w:rPr>
        <w:t xml:space="preserve">employment </w:t>
      </w:r>
      <w:r w:rsidR="004E5CB6">
        <w:rPr>
          <w:rFonts w:asciiTheme="minorHAnsi" w:hAnsiTheme="minorHAnsi" w:cstheme="minorHAnsi"/>
        </w:rPr>
        <w:t xml:space="preserve">share </w:t>
      </w:r>
      <w:r w:rsidR="00BB2FD0">
        <w:rPr>
          <w:rFonts w:asciiTheme="minorHAnsi" w:hAnsiTheme="minorHAnsi" w:cstheme="minorHAnsi"/>
        </w:rPr>
        <w:t xml:space="preserve">in </w:t>
      </w:r>
      <w:r w:rsidR="00941418">
        <w:rPr>
          <w:rFonts w:asciiTheme="minorHAnsi" w:hAnsiTheme="minorHAnsi" w:cstheme="minorHAnsi"/>
        </w:rPr>
        <w:t>regional areas and major cities</w:t>
      </w:r>
      <w:r w:rsidR="004E5CB6">
        <w:rPr>
          <w:rFonts w:asciiTheme="minorHAnsi" w:hAnsiTheme="minorHAnsi" w:cstheme="minorHAnsi"/>
        </w:rPr>
        <w:t xml:space="preserve"> is lower</w:t>
      </w:r>
      <w:r w:rsidR="00941418">
        <w:rPr>
          <w:rFonts w:asciiTheme="minorHAnsi" w:hAnsiTheme="minorHAnsi" w:cstheme="minorHAnsi"/>
        </w:rPr>
        <w:t xml:space="preserve">, </w:t>
      </w:r>
      <w:r w:rsidR="004E5CB6">
        <w:rPr>
          <w:rFonts w:asciiTheme="minorHAnsi" w:hAnsiTheme="minorHAnsi" w:cstheme="minorHAnsi"/>
        </w:rPr>
        <w:t>its</w:t>
      </w:r>
      <w:r w:rsidR="00BB2FD0">
        <w:rPr>
          <w:rFonts w:asciiTheme="minorHAnsi" w:hAnsiTheme="minorHAnsi" w:cstheme="minorHAnsi"/>
        </w:rPr>
        <w:t xml:space="preserve"> importance is </w:t>
      </w:r>
      <w:r w:rsidR="00E05C89">
        <w:rPr>
          <w:rFonts w:asciiTheme="minorHAnsi" w:hAnsiTheme="minorHAnsi" w:cstheme="minorHAnsi"/>
        </w:rPr>
        <w:t>growing</w:t>
      </w:r>
      <w:r w:rsidR="00921C40">
        <w:rPr>
          <w:rFonts w:asciiTheme="minorHAnsi" w:hAnsiTheme="minorHAnsi" w:cstheme="minorHAnsi"/>
        </w:rPr>
        <w:t xml:space="preserve"> </w:t>
      </w:r>
      <w:r w:rsidR="006F114C">
        <w:rPr>
          <w:rFonts w:asciiTheme="minorHAnsi" w:hAnsiTheme="minorHAnsi" w:cstheme="minorHAnsi"/>
        </w:rPr>
        <w:t>rapidly</w:t>
      </w:r>
      <w:r w:rsidR="00E83714">
        <w:rPr>
          <w:rFonts w:asciiTheme="minorHAnsi" w:hAnsiTheme="minorHAnsi" w:cstheme="minorHAnsi"/>
        </w:rPr>
        <w:t xml:space="preserve">. In 2006, </w:t>
      </w:r>
      <w:r w:rsidR="00FA6EB4">
        <w:rPr>
          <w:rFonts w:asciiTheme="minorHAnsi" w:hAnsiTheme="minorHAnsi" w:cstheme="minorHAnsi"/>
        </w:rPr>
        <w:t xml:space="preserve">Indigenous </w:t>
      </w:r>
      <w:r w:rsidR="00161526">
        <w:rPr>
          <w:rFonts w:asciiTheme="minorHAnsi" w:hAnsiTheme="minorHAnsi" w:cstheme="minorHAnsi"/>
        </w:rPr>
        <w:t xml:space="preserve">business </w:t>
      </w:r>
      <w:r w:rsidR="00FA6EB4">
        <w:rPr>
          <w:rFonts w:asciiTheme="minorHAnsi" w:hAnsiTheme="minorHAnsi" w:cstheme="minorHAnsi"/>
        </w:rPr>
        <w:t>employment as a share of total</w:t>
      </w:r>
      <w:r w:rsidR="00161526">
        <w:rPr>
          <w:rFonts w:asciiTheme="minorHAnsi" w:hAnsiTheme="minorHAnsi" w:cstheme="minorHAnsi"/>
        </w:rPr>
        <w:t xml:space="preserve"> </w:t>
      </w:r>
      <w:r w:rsidR="00F21E22">
        <w:rPr>
          <w:rFonts w:asciiTheme="minorHAnsi" w:hAnsiTheme="minorHAnsi" w:cstheme="minorHAnsi"/>
        </w:rPr>
        <w:t xml:space="preserve">business employment </w:t>
      </w:r>
      <w:r w:rsidR="007C38B3">
        <w:rPr>
          <w:rFonts w:asciiTheme="minorHAnsi" w:hAnsiTheme="minorHAnsi" w:cstheme="minorHAnsi"/>
        </w:rPr>
        <w:t xml:space="preserve">only exceeded </w:t>
      </w:r>
      <w:r w:rsidR="00161526">
        <w:rPr>
          <w:rFonts w:asciiTheme="minorHAnsi" w:hAnsiTheme="minorHAnsi" w:cstheme="minorHAnsi"/>
        </w:rPr>
        <w:t>1% in 7 ABS SA4 areas</w:t>
      </w:r>
      <w:r w:rsidR="00F21E22">
        <w:rPr>
          <w:rFonts w:asciiTheme="minorHAnsi" w:hAnsiTheme="minorHAnsi" w:cstheme="minorHAnsi"/>
        </w:rPr>
        <w:t xml:space="preserve"> in major cities </w:t>
      </w:r>
      <w:r w:rsidR="00440BC6">
        <w:rPr>
          <w:rFonts w:asciiTheme="minorHAnsi" w:hAnsiTheme="minorHAnsi" w:cstheme="minorHAnsi"/>
        </w:rPr>
        <w:t>or regional areas, compared to</w:t>
      </w:r>
      <w:r w:rsidR="00AA78BF">
        <w:rPr>
          <w:rFonts w:asciiTheme="minorHAnsi" w:hAnsiTheme="minorHAnsi" w:cstheme="minorHAnsi"/>
        </w:rPr>
        <w:t xml:space="preserve"> 19 in 2018. </w:t>
      </w:r>
    </w:p>
    <w:p w14:paraId="5899C588" w14:textId="77777777" w:rsidR="00941418" w:rsidRDefault="00941418" w:rsidP="000762E9">
      <w:pPr>
        <w:rPr>
          <w:rFonts w:asciiTheme="minorHAnsi" w:hAnsiTheme="minorHAnsi" w:cstheme="minorHAnsi"/>
        </w:rPr>
      </w:pPr>
    </w:p>
    <w:p w14:paraId="2BD794F1" w14:textId="599CE993" w:rsidR="008D5935" w:rsidRPr="00A86BEC" w:rsidRDefault="001D68FC" w:rsidP="000762E9">
      <w:pPr>
        <w:rPr>
          <w:rFonts w:asciiTheme="minorHAnsi" w:hAnsiTheme="minorHAnsi" w:cstheme="minorHAnsi"/>
          <w:b/>
          <w:bCs/>
        </w:rPr>
      </w:pPr>
      <w:r w:rsidRPr="00A86BEC">
        <w:rPr>
          <w:rFonts w:asciiTheme="minorHAnsi" w:hAnsiTheme="minorHAnsi" w:cstheme="minorHAnsi"/>
          <w:b/>
          <w:bCs/>
        </w:rPr>
        <w:t>Figure 1</w:t>
      </w:r>
      <w:r w:rsidR="00004A61" w:rsidRPr="00A86BEC">
        <w:rPr>
          <w:rFonts w:asciiTheme="minorHAnsi" w:hAnsiTheme="minorHAnsi" w:cstheme="minorHAnsi"/>
          <w:b/>
          <w:bCs/>
        </w:rPr>
        <w:t>1</w:t>
      </w:r>
      <w:r w:rsidRPr="00A86BEC">
        <w:rPr>
          <w:rFonts w:asciiTheme="minorHAnsi" w:hAnsiTheme="minorHAnsi" w:cstheme="minorHAnsi"/>
          <w:b/>
          <w:bCs/>
        </w:rPr>
        <w:t>: Employment in Indigenous businesses as a share of all business employment by ABS Statistical Area Level 4</w:t>
      </w:r>
      <w:r w:rsidR="004443B4" w:rsidRPr="00A86BEC">
        <w:rPr>
          <w:rFonts w:asciiTheme="minorHAnsi" w:hAnsiTheme="minorHAnsi" w:cstheme="minorHAnsi"/>
          <w:b/>
          <w:bCs/>
        </w:rPr>
        <w:t>, 2006</w:t>
      </w:r>
      <w:r w:rsidR="007C2278" w:rsidRPr="00A86BEC">
        <w:rPr>
          <w:rFonts w:asciiTheme="minorHAnsi" w:hAnsiTheme="minorHAnsi" w:cstheme="minorHAnsi"/>
          <w:b/>
          <w:bCs/>
        </w:rPr>
        <w:t>; 2009; 2012; 2015; 2018</w:t>
      </w:r>
      <w:r w:rsidR="004443B4" w:rsidRPr="00A86BEC">
        <w:rPr>
          <w:rFonts w:asciiTheme="minorHAnsi" w:hAnsiTheme="minorHAnsi" w:cstheme="minorHAnsi"/>
          <w:b/>
          <w:bCs/>
        </w:rPr>
        <w:t xml:space="preserve"> </w:t>
      </w:r>
    </w:p>
    <w:p w14:paraId="415BB9E5" w14:textId="17A04ECC" w:rsidR="008D5935" w:rsidRDefault="008D5935" w:rsidP="000762E9">
      <w:pPr>
        <w:rPr>
          <w:rFonts w:asciiTheme="minorHAnsi" w:hAnsiTheme="minorHAnsi" w:cstheme="minorHAnsi"/>
        </w:rPr>
      </w:pPr>
      <w:r>
        <w:rPr>
          <w:noProof/>
          <w:lang w:val="en-GB" w:eastAsia="en-GB"/>
        </w:rPr>
        <w:lastRenderedPageBreak/>
        <w:drawing>
          <wp:inline distT="0" distB="0" distL="0" distR="0" wp14:anchorId="7BFB94EA" wp14:editId="02761815">
            <wp:extent cx="5727700" cy="3528060"/>
            <wp:effectExtent l="0" t="0" r="635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noCrop="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7700" cy="3528060"/>
                    </a:xfrm>
                    <a:prstGeom prst="rect">
                      <a:avLst/>
                    </a:prstGeom>
                    <a:noFill/>
                    <a:ln>
                      <a:noFill/>
                    </a:ln>
                  </pic:spPr>
                </pic:pic>
              </a:graphicData>
            </a:graphic>
          </wp:inline>
        </w:drawing>
      </w:r>
    </w:p>
    <w:p w14:paraId="0D87896C" w14:textId="7A34A163" w:rsidR="008D5935" w:rsidRDefault="004443B4" w:rsidP="000762E9">
      <w:pPr>
        <w:rPr>
          <w:rFonts w:asciiTheme="minorHAnsi" w:hAnsiTheme="minorHAnsi" w:cstheme="minorHAnsi"/>
          <w:sz w:val="18"/>
          <w:szCs w:val="18"/>
        </w:rPr>
      </w:pPr>
      <w:r w:rsidRPr="00E36748">
        <w:rPr>
          <w:rFonts w:asciiTheme="minorHAnsi" w:hAnsiTheme="minorHAnsi" w:cstheme="minorHAnsi"/>
          <w:sz w:val="20"/>
          <w:szCs w:val="20"/>
        </w:rPr>
        <w:t xml:space="preserve">Source: I-BLADE </w:t>
      </w:r>
      <w:r>
        <w:rPr>
          <w:rFonts w:asciiTheme="minorHAnsi" w:hAnsiTheme="minorHAnsi" w:cstheme="minorHAnsi"/>
          <w:sz w:val="20"/>
          <w:szCs w:val="20"/>
        </w:rPr>
        <w:t xml:space="preserve">1.0, restricted to businesses that are active for tax purposes. </w:t>
      </w:r>
      <w:r w:rsidRPr="00800E16">
        <w:rPr>
          <w:rFonts w:asciiTheme="minorHAnsi" w:hAnsiTheme="minorHAnsi" w:cstheme="minorHAnsi"/>
          <w:sz w:val="18"/>
          <w:szCs w:val="18"/>
        </w:rPr>
        <w:t>Indigenous businesses are from Indigenous business registries (Supply Nation registry, ICN Gateway data, Victorian Aboriginal Business Directory or the ORIC database).</w:t>
      </w:r>
      <w:r>
        <w:rPr>
          <w:rFonts w:asciiTheme="minorHAnsi" w:hAnsiTheme="minorHAnsi" w:cstheme="minorHAnsi"/>
          <w:sz w:val="18"/>
          <w:szCs w:val="18"/>
        </w:rPr>
        <w:t xml:space="preserve"> Excludes employees for the top 2% of Indigenous and non-Indigenous employers.</w:t>
      </w:r>
    </w:p>
    <w:p w14:paraId="7851EE6C" w14:textId="77777777" w:rsidR="004443B4" w:rsidRDefault="004443B4" w:rsidP="000762E9">
      <w:pPr>
        <w:rPr>
          <w:rFonts w:asciiTheme="minorHAnsi" w:hAnsiTheme="minorHAnsi" w:cstheme="minorHAnsi"/>
        </w:rPr>
      </w:pPr>
    </w:p>
    <w:p w14:paraId="13975114" w14:textId="771C6EFD" w:rsidR="00884F1A" w:rsidRDefault="00884F1A" w:rsidP="00884F1A">
      <w:pPr>
        <w:jc w:val="both"/>
        <w:rPr>
          <w:rFonts w:asciiTheme="minorHAnsi" w:hAnsiTheme="minorHAnsi" w:cstheme="minorHAnsi"/>
        </w:rPr>
      </w:pPr>
      <w:r>
        <w:rPr>
          <w:rFonts w:asciiTheme="minorHAnsi" w:hAnsiTheme="minorHAnsi" w:cstheme="minorHAnsi"/>
        </w:rPr>
        <w:t>A</w:t>
      </w:r>
      <w:r w:rsidR="004443B4">
        <w:rPr>
          <w:rFonts w:asciiTheme="minorHAnsi" w:hAnsiTheme="minorHAnsi" w:cstheme="minorHAnsi"/>
        </w:rPr>
        <w:t>n interesting</w:t>
      </w:r>
      <w:r>
        <w:rPr>
          <w:rFonts w:asciiTheme="minorHAnsi" w:hAnsiTheme="minorHAnsi" w:cstheme="minorHAnsi"/>
        </w:rPr>
        <w:t xml:space="preserve"> result is that jobs with </w:t>
      </w:r>
      <w:r w:rsidRPr="00D45058">
        <w:rPr>
          <w:rFonts w:asciiTheme="minorHAnsi" w:hAnsiTheme="minorHAnsi" w:cstheme="minorHAnsi"/>
          <w:b/>
          <w:bCs/>
        </w:rPr>
        <w:t xml:space="preserve">Indigenous employers in I-BLADE </w:t>
      </w:r>
      <w:r w:rsidR="004443B4" w:rsidRPr="00D45058">
        <w:rPr>
          <w:rFonts w:asciiTheme="minorHAnsi" w:hAnsiTheme="minorHAnsi" w:cstheme="minorHAnsi"/>
          <w:b/>
          <w:bCs/>
        </w:rPr>
        <w:t>1.0</w:t>
      </w:r>
      <w:r w:rsidRPr="00D45058">
        <w:rPr>
          <w:rFonts w:asciiTheme="minorHAnsi" w:hAnsiTheme="minorHAnsi" w:cstheme="minorHAnsi"/>
          <w:b/>
          <w:bCs/>
        </w:rPr>
        <w:t xml:space="preserve"> pay 3.2% more than jobs with non-Indigenous employers, including in major cities (2.7% higher), regional areas (10% higher) and remote areas (16% higher) (Figure 11).</w:t>
      </w:r>
      <w:r>
        <w:rPr>
          <w:rFonts w:asciiTheme="minorHAnsi" w:hAnsiTheme="minorHAnsi" w:cstheme="minorHAnsi"/>
        </w:rPr>
        <w:t xml:space="preserve"> This may be a result of a few different factors. First, Indigenous businesses in I-BLADE </w:t>
      </w:r>
      <w:r w:rsidR="000225EA">
        <w:rPr>
          <w:rFonts w:asciiTheme="minorHAnsi" w:hAnsiTheme="minorHAnsi" w:cstheme="minorHAnsi"/>
        </w:rPr>
        <w:t>1.0</w:t>
      </w:r>
      <w:r>
        <w:rPr>
          <w:rFonts w:asciiTheme="minorHAnsi" w:hAnsiTheme="minorHAnsi" w:cstheme="minorHAnsi"/>
        </w:rPr>
        <w:t xml:space="preserve"> are larger than non-Indigenous businesses, which means that they may face less competition for their services/products and be better able to pay higher wages to attract staff. Alternatively, it may represent differences in the skill set of Indigenous and non-Indigenous employees. Compared to non-Indigenous businesses, Indigenous businesses are more concentrated in sectors that deliver professional services (62% relative to 55%) that tend to command higher wages.</w:t>
      </w:r>
      <w:r>
        <w:rPr>
          <w:rStyle w:val="FootnoteReference"/>
          <w:rFonts w:asciiTheme="minorHAnsi" w:hAnsiTheme="minorHAnsi" w:cstheme="minorHAnsi"/>
        </w:rPr>
        <w:footnoteReference w:id="7"/>
      </w:r>
    </w:p>
    <w:p w14:paraId="46C885B9" w14:textId="15BEE087" w:rsidR="001B1B75" w:rsidRDefault="001B1B75" w:rsidP="000762E9">
      <w:pPr>
        <w:rPr>
          <w:rFonts w:asciiTheme="minorHAnsi" w:hAnsiTheme="minorHAnsi" w:cstheme="minorHAnsi"/>
        </w:rPr>
      </w:pPr>
    </w:p>
    <w:p w14:paraId="65F91DC0" w14:textId="6643F652" w:rsidR="002F41CD" w:rsidRPr="00A86BEC" w:rsidRDefault="002F41CD" w:rsidP="002F41CD">
      <w:pPr>
        <w:rPr>
          <w:rFonts w:asciiTheme="minorHAnsi" w:hAnsiTheme="minorHAnsi" w:cstheme="minorHAnsi"/>
          <w:b/>
          <w:bCs/>
        </w:rPr>
      </w:pPr>
      <w:r w:rsidRPr="00A86BEC">
        <w:rPr>
          <w:rFonts w:asciiTheme="minorHAnsi" w:hAnsiTheme="minorHAnsi" w:cstheme="minorHAnsi"/>
          <w:b/>
          <w:bCs/>
        </w:rPr>
        <w:t xml:space="preserve">Figure 11: </w:t>
      </w:r>
      <w:r w:rsidR="00D73241" w:rsidRPr="00A86BEC">
        <w:rPr>
          <w:rFonts w:asciiTheme="minorHAnsi" w:hAnsiTheme="minorHAnsi" w:cstheme="minorHAnsi"/>
          <w:b/>
          <w:bCs/>
        </w:rPr>
        <w:t>Average annual wage</w:t>
      </w:r>
      <w:r w:rsidR="00A9374C" w:rsidRPr="00A86BEC">
        <w:rPr>
          <w:rFonts w:asciiTheme="minorHAnsi" w:hAnsiTheme="minorHAnsi" w:cstheme="minorHAnsi"/>
          <w:b/>
          <w:bCs/>
        </w:rPr>
        <w:t xml:space="preserve"> paid to </w:t>
      </w:r>
      <w:r w:rsidR="00C8100A" w:rsidRPr="00A86BEC">
        <w:rPr>
          <w:rFonts w:asciiTheme="minorHAnsi" w:hAnsiTheme="minorHAnsi" w:cstheme="minorHAnsi"/>
          <w:b/>
          <w:bCs/>
        </w:rPr>
        <w:t xml:space="preserve">business </w:t>
      </w:r>
      <w:r w:rsidR="00A9374C" w:rsidRPr="00A86BEC">
        <w:rPr>
          <w:rFonts w:asciiTheme="minorHAnsi" w:hAnsiTheme="minorHAnsi" w:cstheme="minorHAnsi"/>
          <w:b/>
          <w:bCs/>
        </w:rPr>
        <w:t>employees, 2017-18</w:t>
      </w:r>
    </w:p>
    <w:p w14:paraId="56B8581C" w14:textId="7919056E" w:rsidR="001B1B75" w:rsidRDefault="001B1B75" w:rsidP="000762E9">
      <w:pPr>
        <w:rPr>
          <w:rFonts w:asciiTheme="minorHAnsi" w:hAnsiTheme="minorHAnsi" w:cstheme="minorHAnsi"/>
        </w:rPr>
      </w:pPr>
    </w:p>
    <w:p w14:paraId="4FF2564E" w14:textId="4179F0E7" w:rsidR="001B1B75" w:rsidRPr="00E36BA5" w:rsidRDefault="001B1B75" w:rsidP="000762E9">
      <w:pPr>
        <w:rPr>
          <w:rFonts w:asciiTheme="minorHAnsi" w:hAnsiTheme="minorHAnsi" w:cstheme="minorHAnsi"/>
        </w:rPr>
      </w:pPr>
      <w:r>
        <w:rPr>
          <w:noProof/>
          <w:lang w:val="en-GB" w:eastAsia="en-GB"/>
        </w:rPr>
        <w:lastRenderedPageBreak/>
        <w:drawing>
          <wp:inline distT="0" distB="0" distL="0" distR="0" wp14:anchorId="7E1BA355" wp14:editId="69C4CD9B">
            <wp:extent cx="5509647" cy="3324387"/>
            <wp:effectExtent l="0" t="0" r="15240" b="9525"/>
            <wp:docPr id="49" name="Chart 49">
              <a:extLst xmlns:a="http://schemas.openxmlformats.org/drawingml/2006/main">
                <a:ext uri="{FF2B5EF4-FFF2-40B4-BE49-F238E27FC236}">
                  <a16:creationId xmlns:a16="http://schemas.microsoft.com/office/drawing/2014/main" id="{36264844-B3C2-411F-8945-3696982537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135EA66" w14:textId="4B258187" w:rsidR="002F41CD" w:rsidRPr="00F5763E" w:rsidRDefault="002F41CD" w:rsidP="00DC2B2E">
      <w:pPr>
        <w:rPr>
          <w:rFonts w:asciiTheme="minorHAnsi" w:hAnsiTheme="minorHAnsi" w:cstheme="minorHAnsi"/>
          <w:sz w:val="20"/>
          <w:szCs w:val="20"/>
        </w:rPr>
      </w:pPr>
      <w:r w:rsidRPr="00E36748">
        <w:rPr>
          <w:rFonts w:asciiTheme="minorHAnsi" w:hAnsiTheme="minorHAnsi" w:cstheme="minorHAnsi"/>
          <w:sz w:val="20"/>
          <w:szCs w:val="20"/>
        </w:rPr>
        <w:t xml:space="preserve">Source: I-BLADE </w:t>
      </w:r>
      <w:r w:rsidR="000225EA">
        <w:rPr>
          <w:rFonts w:asciiTheme="minorHAnsi" w:hAnsiTheme="minorHAnsi" w:cstheme="minorHAnsi"/>
          <w:sz w:val="20"/>
          <w:szCs w:val="20"/>
        </w:rPr>
        <w:t>1.0</w:t>
      </w:r>
      <w:r w:rsidR="00CD3C75">
        <w:rPr>
          <w:rFonts w:asciiTheme="minorHAnsi" w:hAnsiTheme="minorHAnsi" w:cstheme="minorHAnsi"/>
          <w:sz w:val="20"/>
          <w:szCs w:val="20"/>
        </w:rPr>
        <w:t>, restricted to businesses that are active for tax purposes.</w:t>
      </w:r>
      <w:r w:rsidR="00CB63D0">
        <w:rPr>
          <w:rFonts w:asciiTheme="minorHAnsi" w:hAnsiTheme="minorHAnsi" w:cstheme="minorHAnsi"/>
          <w:sz w:val="20"/>
          <w:szCs w:val="20"/>
        </w:rPr>
        <w:t xml:space="preserve"> </w:t>
      </w:r>
      <w:r w:rsidR="00695AD4" w:rsidRPr="00800E16">
        <w:rPr>
          <w:rFonts w:asciiTheme="minorHAnsi" w:hAnsiTheme="minorHAnsi" w:cstheme="minorHAnsi"/>
          <w:sz w:val="18"/>
          <w:szCs w:val="18"/>
        </w:rPr>
        <w:t>Indigenous businesses are from Indigenous business registries (Supply Nation registry, ICN Gateway data, Victorian Aboriginal Business Directory or the ORIC database).</w:t>
      </w:r>
      <w:r w:rsidR="00695AD4">
        <w:rPr>
          <w:rFonts w:asciiTheme="minorHAnsi" w:hAnsiTheme="minorHAnsi" w:cstheme="minorHAnsi"/>
          <w:sz w:val="18"/>
          <w:szCs w:val="18"/>
        </w:rPr>
        <w:t xml:space="preserve"> </w:t>
      </w:r>
      <w:r w:rsidR="00CB63D0">
        <w:rPr>
          <w:rFonts w:asciiTheme="minorHAnsi" w:hAnsiTheme="minorHAnsi" w:cstheme="minorHAnsi"/>
          <w:sz w:val="20"/>
          <w:szCs w:val="20"/>
        </w:rPr>
        <w:t xml:space="preserve">Note: </w:t>
      </w:r>
      <w:r w:rsidR="00C2156B">
        <w:rPr>
          <w:rFonts w:asciiTheme="minorHAnsi" w:hAnsiTheme="minorHAnsi" w:cstheme="minorHAnsi"/>
          <w:sz w:val="20"/>
          <w:szCs w:val="20"/>
        </w:rPr>
        <w:t>excludes the top 2% of Indigenous and non-Indigenous values.</w:t>
      </w:r>
    </w:p>
    <w:p w14:paraId="758756AE" w14:textId="387FD83D" w:rsidR="00715080" w:rsidRPr="00880A74" w:rsidRDefault="00715080" w:rsidP="00880A74">
      <w:pPr>
        <w:rPr>
          <w:rFonts w:asciiTheme="majorHAnsi" w:eastAsiaTheme="majorEastAsia" w:hAnsiTheme="majorHAnsi" w:cstheme="majorBidi"/>
          <w:color w:val="2F5496" w:themeColor="accent1" w:themeShade="BF"/>
          <w:sz w:val="32"/>
          <w:szCs w:val="32"/>
        </w:rPr>
      </w:pPr>
    </w:p>
    <w:p w14:paraId="3B683C36" w14:textId="6054F74D" w:rsidR="00A86BEC" w:rsidRDefault="00A86BEC" w:rsidP="00A86BEC">
      <w:pPr>
        <w:pStyle w:val="Heading1"/>
        <w:rPr>
          <w:rFonts w:asciiTheme="minorHAnsi" w:hAnsiTheme="minorHAnsi" w:cstheme="minorHAnsi"/>
        </w:rPr>
      </w:pPr>
      <w:r>
        <w:t>Future Developments</w:t>
      </w:r>
      <w:r w:rsidR="00880A74">
        <w:t xml:space="preserve"> of I-BLADE</w:t>
      </w:r>
    </w:p>
    <w:p w14:paraId="1572F18E" w14:textId="31793C8D" w:rsidR="009D6F00" w:rsidRDefault="004701A2" w:rsidP="0023332A">
      <w:pPr>
        <w:jc w:val="both"/>
        <w:rPr>
          <w:rFonts w:asciiTheme="minorHAnsi" w:hAnsiTheme="minorHAnsi" w:cstheme="minorHAnsi"/>
        </w:rPr>
      </w:pPr>
      <w:r>
        <w:rPr>
          <w:rFonts w:asciiTheme="minorHAnsi" w:hAnsiTheme="minorHAnsi" w:cstheme="minorHAnsi"/>
        </w:rPr>
        <w:t xml:space="preserve">These </w:t>
      </w:r>
      <w:r w:rsidR="006F752F">
        <w:rPr>
          <w:rFonts w:asciiTheme="minorHAnsi" w:hAnsiTheme="minorHAnsi" w:cstheme="minorHAnsi"/>
        </w:rPr>
        <w:t xml:space="preserve">new </w:t>
      </w:r>
      <w:r>
        <w:rPr>
          <w:rFonts w:asciiTheme="minorHAnsi" w:hAnsiTheme="minorHAnsi" w:cstheme="minorHAnsi"/>
        </w:rPr>
        <w:t xml:space="preserve">findings underline the value of </w:t>
      </w:r>
      <w:r w:rsidR="006F752F">
        <w:rPr>
          <w:rFonts w:asciiTheme="minorHAnsi" w:hAnsiTheme="minorHAnsi" w:cstheme="minorHAnsi"/>
        </w:rPr>
        <w:t xml:space="preserve">I-BLADE and the importance of further developing the data </w:t>
      </w:r>
      <w:r w:rsidR="00CD65A9">
        <w:rPr>
          <w:rFonts w:asciiTheme="minorHAnsi" w:hAnsiTheme="minorHAnsi" w:cstheme="minorHAnsi"/>
        </w:rPr>
        <w:t>to better understand the drivers of Indigenous business growth</w:t>
      </w:r>
      <w:r w:rsidR="00856539">
        <w:rPr>
          <w:rFonts w:asciiTheme="minorHAnsi" w:hAnsiTheme="minorHAnsi" w:cstheme="minorHAnsi"/>
        </w:rPr>
        <w:t xml:space="preserve">, especially the </w:t>
      </w:r>
      <w:r w:rsidR="00CD65A9">
        <w:rPr>
          <w:rFonts w:asciiTheme="minorHAnsi" w:hAnsiTheme="minorHAnsi" w:cstheme="minorHAnsi"/>
        </w:rPr>
        <w:t xml:space="preserve">role </w:t>
      </w:r>
      <w:r w:rsidR="00856539">
        <w:rPr>
          <w:rFonts w:asciiTheme="minorHAnsi" w:hAnsiTheme="minorHAnsi" w:cstheme="minorHAnsi"/>
        </w:rPr>
        <w:t xml:space="preserve">played by </w:t>
      </w:r>
      <w:r w:rsidR="00F96036">
        <w:rPr>
          <w:rFonts w:asciiTheme="minorHAnsi" w:hAnsiTheme="minorHAnsi" w:cstheme="minorHAnsi"/>
        </w:rPr>
        <w:t>government and corporate initiatives</w:t>
      </w:r>
      <w:r w:rsidR="00856539">
        <w:rPr>
          <w:rFonts w:asciiTheme="minorHAnsi" w:hAnsiTheme="minorHAnsi" w:cstheme="minorHAnsi"/>
        </w:rPr>
        <w:t>,</w:t>
      </w:r>
      <w:r w:rsidR="00F96036">
        <w:rPr>
          <w:rFonts w:asciiTheme="minorHAnsi" w:hAnsiTheme="minorHAnsi" w:cstheme="minorHAnsi"/>
        </w:rPr>
        <w:t xml:space="preserve"> </w:t>
      </w:r>
      <w:r w:rsidR="00A35850">
        <w:rPr>
          <w:rFonts w:asciiTheme="minorHAnsi" w:hAnsiTheme="minorHAnsi" w:cstheme="minorHAnsi"/>
        </w:rPr>
        <w:t xml:space="preserve">and </w:t>
      </w:r>
      <w:r w:rsidR="00A708FC">
        <w:rPr>
          <w:rFonts w:asciiTheme="minorHAnsi" w:hAnsiTheme="minorHAnsi" w:cstheme="minorHAnsi"/>
        </w:rPr>
        <w:t xml:space="preserve">quantifying the </w:t>
      </w:r>
      <w:r w:rsidR="00856539">
        <w:rPr>
          <w:rFonts w:asciiTheme="minorHAnsi" w:hAnsiTheme="minorHAnsi" w:cstheme="minorHAnsi"/>
        </w:rPr>
        <w:t xml:space="preserve">flow-on </w:t>
      </w:r>
      <w:r w:rsidR="00EE4AB9">
        <w:rPr>
          <w:rFonts w:asciiTheme="minorHAnsi" w:hAnsiTheme="minorHAnsi" w:cstheme="minorHAnsi"/>
        </w:rPr>
        <w:t xml:space="preserve">social and economic </w:t>
      </w:r>
      <w:r w:rsidR="00856539">
        <w:rPr>
          <w:rFonts w:asciiTheme="minorHAnsi" w:hAnsiTheme="minorHAnsi" w:cstheme="minorHAnsi"/>
        </w:rPr>
        <w:t>benefits to the public</w:t>
      </w:r>
      <w:r w:rsidR="00A708FC">
        <w:rPr>
          <w:rFonts w:asciiTheme="minorHAnsi" w:hAnsiTheme="minorHAnsi" w:cstheme="minorHAnsi"/>
        </w:rPr>
        <w:t xml:space="preserve">. </w:t>
      </w:r>
      <w:r w:rsidR="00A708FC" w:rsidRPr="00D45058">
        <w:rPr>
          <w:rFonts w:asciiTheme="minorHAnsi" w:hAnsiTheme="minorHAnsi" w:cstheme="minorHAnsi"/>
          <w:b/>
          <w:bCs/>
        </w:rPr>
        <w:t xml:space="preserve">An important future development is </w:t>
      </w:r>
      <w:r w:rsidR="00DE6C4F" w:rsidRPr="00D45058">
        <w:rPr>
          <w:rFonts w:asciiTheme="minorHAnsi" w:hAnsiTheme="minorHAnsi" w:cstheme="minorHAnsi"/>
          <w:b/>
          <w:bCs/>
        </w:rPr>
        <w:t>working with data custodians, to expand the coverage of registries in I-BLADE</w:t>
      </w:r>
      <w:r w:rsidR="008E0E05" w:rsidRPr="00D45058">
        <w:rPr>
          <w:rFonts w:asciiTheme="minorHAnsi" w:hAnsiTheme="minorHAnsi" w:cstheme="minorHAnsi"/>
          <w:b/>
          <w:bCs/>
        </w:rPr>
        <w:t xml:space="preserve"> </w:t>
      </w:r>
      <w:r w:rsidR="00DE6C4F" w:rsidRPr="00D45058">
        <w:rPr>
          <w:rFonts w:asciiTheme="minorHAnsi" w:hAnsiTheme="minorHAnsi" w:cstheme="minorHAnsi"/>
          <w:b/>
          <w:bCs/>
        </w:rPr>
        <w:t xml:space="preserve">and </w:t>
      </w:r>
      <w:r w:rsidR="008E0E05" w:rsidRPr="00D45058">
        <w:rPr>
          <w:rFonts w:asciiTheme="minorHAnsi" w:hAnsiTheme="minorHAnsi" w:cstheme="minorHAnsi"/>
          <w:b/>
          <w:bCs/>
        </w:rPr>
        <w:t xml:space="preserve">to </w:t>
      </w:r>
      <w:r w:rsidR="00DE6C4F" w:rsidRPr="00D45058">
        <w:rPr>
          <w:rFonts w:asciiTheme="minorHAnsi" w:hAnsiTheme="minorHAnsi" w:cstheme="minorHAnsi"/>
          <w:b/>
          <w:bCs/>
        </w:rPr>
        <w:t xml:space="preserve">develop </w:t>
      </w:r>
      <w:r w:rsidR="008E0E05" w:rsidRPr="00D45058">
        <w:rPr>
          <w:rFonts w:asciiTheme="minorHAnsi" w:hAnsiTheme="minorHAnsi" w:cstheme="minorHAnsi"/>
          <w:b/>
          <w:bCs/>
        </w:rPr>
        <w:t xml:space="preserve">and implement initiatives to </w:t>
      </w:r>
      <w:r w:rsidR="00DE6C4F" w:rsidRPr="00D45058">
        <w:rPr>
          <w:rFonts w:asciiTheme="minorHAnsi" w:hAnsiTheme="minorHAnsi" w:cstheme="minorHAnsi"/>
          <w:b/>
          <w:bCs/>
        </w:rPr>
        <w:t>grow the coverage of Indigenous owned business on these registries.</w:t>
      </w:r>
      <w:r w:rsidR="00DE6C4F">
        <w:rPr>
          <w:rFonts w:asciiTheme="minorHAnsi" w:hAnsiTheme="minorHAnsi" w:cstheme="minorHAnsi"/>
        </w:rPr>
        <w:t xml:space="preserve"> Th</w:t>
      </w:r>
      <w:r w:rsidR="008E0E05">
        <w:rPr>
          <w:rFonts w:asciiTheme="minorHAnsi" w:hAnsiTheme="minorHAnsi" w:cstheme="minorHAnsi"/>
        </w:rPr>
        <w:t>is</w:t>
      </w:r>
      <w:r w:rsidR="00DE6C4F">
        <w:rPr>
          <w:rFonts w:asciiTheme="minorHAnsi" w:hAnsiTheme="minorHAnsi" w:cstheme="minorHAnsi"/>
        </w:rPr>
        <w:t xml:space="preserve"> study has shown that Indigenous businesses on these registries are large, much larger than non-Indigenous businesses on average</w:t>
      </w:r>
      <w:r w:rsidR="006E3BEF">
        <w:rPr>
          <w:rFonts w:asciiTheme="minorHAnsi" w:hAnsiTheme="minorHAnsi" w:cstheme="minorHAnsi"/>
        </w:rPr>
        <w:t>,</w:t>
      </w:r>
      <w:r w:rsidR="00DE6C4F">
        <w:rPr>
          <w:rFonts w:asciiTheme="minorHAnsi" w:hAnsiTheme="minorHAnsi" w:cstheme="minorHAnsi"/>
        </w:rPr>
        <w:t xml:space="preserve"> which may be because they self-select, or are selected by procurers, onto the registries to </w:t>
      </w:r>
      <w:r w:rsidR="006E3BEF">
        <w:rPr>
          <w:rFonts w:asciiTheme="minorHAnsi" w:hAnsiTheme="minorHAnsi" w:cstheme="minorHAnsi"/>
        </w:rPr>
        <w:t xml:space="preserve">take advantage of </w:t>
      </w:r>
      <w:r w:rsidR="00DE6C4F">
        <w:rPr>
          <w:rFonts w:asciiTheme="minorHAnsi" w:hAnsiTheme="minorHAnsi" w:cstheme="minorHAnsi"/>
        </w:rPr>
        <w:t xml:space="preserve">IPPP, a key use of these registries. </w:t>
      </w:r>
      <w:r w:rsidR="00470958">
        <w:rPr>
          <w:rFonts w:asciiTheme="minorHAnsi" w:hAnsiTheme="minorHAnsi" w:cstheme="minorHAnsi"/>
        </w:rPr>
        <w:t>For s</w:t>
      </w:r>
      <w:r w:rsidR="008A586D">
        <w:rPr>
          <w:rFonts w:asciiTheme="minorHAnsi" w:hAnsiTheme="minorHAnsi" w:cstheme="minorHAnsi"/>
        </w:rPr>
        <w:t>mall businesses that may not have the capacity to compete for IPPP contracts</w:t>
      </w:r>
      <w:r w:rsidR="00470958">
        <w:rPr>
          <w:rFonts w:asciiTheme="minorHAnsi" w:hAnsiTheme="minorHAnsi" w:cstheme="minorHAnsi"/>
        </w:rPr>
        <w:t xml:space="preserve">, </w:t>
      </w:r>
      <w:r w:rsidR="009D6F00">
        <w:rPr>
          <w:rFonts w:asciiTheme="minorHAnsi" w:hAnsiTheme="minorHAnsi" w:cstheme="minorHAnsi"/>
        </w:rPr>
        <w:t>the potential</w:t>
      </w:r>
      <w:r w:rsidR="00DE6C4F">
        <w:rPr>
          <w:rFonts w:asciiTheme="minorHAnsi" w:hAnsiTheme="minorHAnsi" w:cstheme="minorHAnsi"/>
        </w:rPr>
        <w:t xml:space="preserve"> cost of time and effort to certify owner’s Indigenous statu</w:t>
      </w:r>
      <w:r w:rsidR="008A586D">
        <w:rPr>
          <w:rFonts w:asciiTheme="minorHAnsi" w:hAnsiTheme="minorHAnsi" w:cstheme="minorHAnsi"/>
        </w:rPr>
        <w:t>s</w:t>
      </w:r>
      <w:r w:rsidR="00470958">
        <w:rPr>
          <w:rFonts w:asciiTheme="minorHAnsi" w:hAnsiTheme="minorHAnsi" w:cstheme="minorHAnsi"/>
        </w:rPr>
        <w:t xml:space="preserve"> may not be worth the effort</w:t>
      </w:r>
      <w:r w:rsidR="0097380E">
        <w:rPr>
          <w:rFonts w:asciiTheme="minorHAnsi" w:hAnsiTheme="minorHAnsi" w:cstheme="minorHAnsi"/>
        </w:rPr>
        <w:t xml:space="preserve"> (there is no fee for registration)</w:t>
      </w:r>
      <w:r w:rsidR="00470958">
        <w:rPr>
          <w:rFonts w:asciiTheme="minorHAnsi" w:hAnsiTheme="minorHAnsi" w:cstheme="minorHAnsi"/>
        </w:rPr>
        <w:t>.</w:t>
      </w:r>
      <w:r w:rsidR="00DE6C4F">
        <w:rPr>
          <w:rFonts w:asciiTheme="minorHAnsi" w:hAnsiTheme="minorHAnsi" w:cstheme="minorHAnsi"/>
        </w:rPr>
        <w:t xml:space="preserve"> </w:t>
      </w:r>
    </w:p>
    <w:p w14:paraId="047F37DC" w14:textId="77777777" w:rsidR="009D6F00" w:rsidRDefault="009D6F00" w:rsidP="0023332A">
      <w:pPr>
        <w:jc w:val="both"/>
        <w:rPr>
          <w:rFonts w:asciiTheme="minorHAnsi" w:hAnsiTheme="minorHAnsi" w:cstheme="minorHAnsi"/>
        </w:rPr>
      </w:pPr>
    </w:p>
    <w:p w14:paraId="16F9475A" w14:textId="71E08A44" w:rsidR="00A379D5" w:rsidRDefault="00DE6C4F" w:rsidP="00A379D5">
      <w:pPr>
        <w:jc w:val="both"/>
        <w:rPr>
          <w:rFonts w:asciiTheme="minorHAnsi" w:hAnsiTheme="minorHAnsi" w:cstheme="minorHAnsi"/>
        </w:rPr>
      </w:pPr>
      <w:r>
        <w:rPr>
          <w:rFonts w:asciiTheme="minorHAnsi" w:hAnsiTheme="minorHAnsi" w:cstheme="minorHAnsi"/>
        </w:rPr>
        <w:t xml:space="preserve">While only Supply Nation verify the Indigenous status of all businesses as a condition of registration, the </w:t>
      </w:r>
      <w:r w:rsidR="009D6F00">
        <w:rPr>
          <w:rFonts w:asciiTheme="minorHAnsi" w:hAnsiTheme="minorHAnsi" w:cstheme="minorHAnsi"/>
        </w:rPr>
        <w:t xml:space="preserve">personal and business </w:t>
      </w:r>
      <w:r>
        <w:rPr>
          <w:rFonts w:asciiTheme="minorHAnsi" w:hAnsiTheme="minorHAnsi" w:cstheme="minorHAnsi"/>
        </w:rPr>
        <w:t xml:space="preserve">risk in the event of an audit may also be enough to deter some businesses owners from registering. </w:t>
      </w:r>
      <w:r w:rsidRPr="00D45058">
        <w:rPr>
          <w:rFonts w:asciiTheme="minorHAnsi" w:hAnsiTheme="minorHAnsi" w:cstheme="minorHAnsi"/>
          <w:b/>
          <w:bCs/>
        </w:rPr>
        <w:t>The implication is that while the coverage of businesses in I-BLADE may not be representative of the entire sector (that is at least 50% Indigenous owned), it may reflect businesses that stand to benefit from IPPP.</w:t>
      </w:r>
      <w:r>
        <w:rPr>
          <w:rFonts w:asciiTheme="minorHAnsi" w:hAnsiTheme="minorHAnsi" w:cstheme="minorHAnsi"/>
        </w:rPr>
        <w:t xml:space="preserve"> </w:t>
      </w:r>
      <w:r w:rsidR="00A379D5" w:rsidRPr="00B06B1A">
        <w:rPr>
          <w:rFonts w:asciiTheme="minorHAnsi" w:hAnsiTheme="minorHAnsi" w:cstheme="minorHAnsi"/>
        </w:rPr>
        <w:t>We are currently working with a range of other Indigenous business data custodians that are responsible for maintaining Indigenous business registries in their states/territories, as well as with Indigenous Business Australia (IBA) and South Australian Industry Advocate</w:t>
      </w:r>
      <w:r w:rsidR="00A379D5" w:rsidRPr="00B06B1A">
        <w:rPr>
          <w:rStyle w:val="FootnoteReference"/>
          <w:rFonts w:asciiTheme="minorHAnsi" w:hAnsiTheme="minorHAnsi" w:cstheme="minorHAnsi"/>
        </w:rPr>
        <w:footnoteReference w:id="8"/>
      </w:r>
      <w:r w:rsidR="00A379D5" w:rsidRPr="00B06B1A">
        <w:rPr>
          <w:rFonts w:asciiTheme="minorHAnsi" w:hAnsiTheme="minorHAnsi" w:cstheme="minorHAnsi"/>
        </w:rPr>
        <w:t xml:space="preserve">, to ensure that future releases of I-BLADE will have a more comprehensive coverage. </w:t>
      </w:r>
      <w:r w:rsidR="00A379D5">
        <w:rPr>
          <w:rFonts w:asciiTheme="minorHAnsi" w:hAnsiTheme="minorHAnsi" w:cstheme="minorHAnsi"/>
        </w:rPr>
        <w:t>However, incorporating all Indigenous business registries into I-BLADE may only go so far, more work is also needed to extend the coverage of Indigenous businesses on registries.</w:t>
      </w:r>
    </w:p>
    <w:p w14:paraId="1B42EF3C" w14:textId="77777777" w:rsidR="000225EA" w:rsidRPr="00B06B1A" w:rsidRDefault="000225EA" w:rsidP="00A379D5">
      <w:pPr>
        <w:jc w:val="both"/>
        <w:rPr>
          <w:rFonts w:asciiTheme="minorHAnsi" w:hAnsiTheme="minorHAnsi" w:cstheme="minorHAnsi"/>
          <w:sz w:val="18"/>
          <w:szCs w:val="18"/>
        </w:rPr>
      </w:pPr>
    </w:p>
    <w:p w14:paraId="665CD3A3" w14:textId="4E2538C1" w:rsidR="00E14491" w:rsidRDefault="00226FA8" w:rsidP="0023332A">
      <w:pPr>
        <w:jc w:val="both"/>
        <w:rPr>
          <w:rFonts w:asciiTheme="minorHAnsi" w:hAnsiTheme="minorHAnsi" w:cstheme="minorHAnsi"/>
        </w:rPr>
      </w:pPr>
      <w:r>
        <w:rPr>
          <w:rFonts w:asciiTheme="minorHAnsi" w:hAnsiTheme="minorHAnsi" w:cstheme="minorHAnsi"/>
        </w:rPr>
        <w:lastRenderedPageBreak/>
        <w:t xml:space="preserve">One option is to </w:t>
      </w:r>
      <w:r w:rsidR="00DE6C4F">
        <w:rPr>
          <w:rFonts w:asciiTheme="minorHAnsi" w:hAnsiTheme="minorHAnsi" w:cstheme="minorHAnsi"/>
        </w:rPr>
        <w:t>approach businesses with an online presence that Identify as Indigenous to have their ownership verified</w:t>
      </w:r>
      <w:r w:rsidR="00F90012">
        <w:rPr>
          <w:rFonts w:asciiTheme="minorHAnsi" w:hAnsiTheme="minorHAnsi" w:cstheme="minorHAnsi"/>
        </w:rPr>
        <w:t xml:space="preserve"> with </w:t>
      </w:r>
      <w:r w:rsidR="00EB1A8E">
        <w:rPr>
          <w:rFonts w:asciiTheme="minorHAnsi" w:hAnsiTheme="minorHAnsi" w:cstheme="minorHAnsi"/>
        </w:rPr>
        <w:t xml:space="preserve">automatic </w:t>
      </w:r>
      <w:r w:rsidR="00E14491">
        <w:rPr>
          <w:rFonts w:asciiTheme="minorHAnsi" w:hAnsiTheme="minorHAnsi" w:cstheme="minorHAnsi"/>
        </w:rPr>
        <w:t xml:space="preserve">(centralised) </w:t>
      </w:r>
      <w:r w:rsidR="00DE6C4F">
        <w:rPr>
          <w:rFonts w:asciiTheme="minorHAnsi" w:hAnsiTheme="minorHAnsi" w:cstheme="minorHAnsi"/>
        </w:rPr>
        <w:t>business registration across all relevant registries</w:t>
      </w:r>
      <w:r w:rsidR="00F90012">
        <w:rPr>
          <w:rFonts w:asciiTheme="minorHAnsi" w:hAnsiTheme="minorHAnsi" w:cstheme="minorHAnsi"/>
        </w:rPr>
        <w:t xml:space="preserve"> </w:t>
      </w:r>
      <w:r w:rsidR="00DE6C4F">
        <w:rPr>
          <w:rFonts w:asciiTheme="minorHAnsi" w:hAnsiTheme="minorHAnsi" w:cstheme="minorHAnsi"/>
        </w:rPr>
        <w:t xml:space="preserve">to maximise their business exposure. </w:t>
      </w:r>
      <w:r w:rsidR="00920A52">
        <w:rPr>
          <w:rFonts w:asciiTheme="minorHAnsi" w:hAnsiTheme="minorHAnsi" w:cstheme="minorHAnsi"/>
        </w:rPr>
        <w:t xml:space="preserve">Such an approach may be accompanied with information about the opportunities afforded under IPPP and the importance of verification. </w:t>
      </w:r>
      <w:r w:rsidR="00DE6C4F">
        <w:rPr>
          <w:rFonts w:asciiTheme="minorHAnsi" w:hAnsiTheme="minorHAnsi" w:cstheme="minorHAnsi"/>
        </w:rPr>
        <w:t>Expanding the coverage of I-BLADE</w:t>
      </w:r>
      <w:r w:rsidR="00910FB1">
        <w:rPr>
          <w:rFonts w:asciiTheme="minorHAnsi" w:hAnsiTheme="minorHAnsi" w:cstheme="minorHAnsi"/>
        </w:rPr>
        <w:t xml:space="preserve"> will </w:t>
      </w:r>
      <w:r w:rsidR="00DE6C4F">
        <w:rPr>
          <w:rFonts w:asciiTheme="minorHAnsi" w:hAnsiTheme="minorHAnsi" w:cstheme="minorHAnsi"/>
        </w:rPr>
        <w:t>help</w:t>
      </w:r>
      <w:r w:rsidR="00910FB1">
        <w:rPr>
          <w:rFonts w:asciiTheme="minorHAnsi" w:hAnsiTheme="minorHAnsi" w:cstheme="minorHAnsi"/>
        </w:rPr>
        <w:t xml:space="preserve"> to</w:t>
      </w:r>
      <w:r w:rsidR="00DE6C4F">
        <w:rPr>
          <w:rFonts w:asciiTheme="minorHAnsi" w:hAnsiTheme="minorHAnsi" w:cstheme="minorHAnsi"/>
        </w:rPr>
        <w:t xml:space="preserve"> paint a more representative picture of the </w:t>
      </w:r>
      <w:r w:rsidR="009D6F00">
        <w:rPr>
          <w:rFonts w:asciiTheme="minorHAnsi" w:hAnsiTheme="minorHAnsi" w:cstheme="minorHAnsi"/>
        </w:rPr>
        <w:t xml:space="preserve">Indigenous business sector </w:t>
      </w:r>
      <w:r w:rsidR="00DE6C4F">
        <w:rPr>
          <w:rFonts w:asciiTheme="minorHAnsi" w:hAnsiTheme="minorHAnsi" w:cstheme="minorHAnsi"/>
        </w:rPr>
        <w:t>and allow for a better understanding of which Indigenous businesses take advantage of IPPP, which do not, and why</w:t>
      </w:r>
      <w:r w:rsidR="00F358D9">
        <w:rPr>
          <w:rFonts w:asciiTheme="minorHAnsi" w:hAnsiTheme="minorHAnsi" w:cstheme="minorHAnsi"/>
        </w:rPr>
        <w:t xml:space="preserve"> not.</w:t>
      </w:r>
      <w:r w:rsidR="00E14491">
        <w:rPr>
          <w:rFonts w:asciiTheme="minorHAnsi" w:hAnsiTheme="minorHAnsi" w:cstheme="minorHAnsi"/>
        </w:rPr>
        <w:t xml:space="preserve"> </w:t>
      </w:r>
    </w:p>
    <w:p w14:paraId="2F47F849" w14:textId="77777777" w:rsidR="004B5F3F" w:rsidRDefault="004B5F3F" w:rsidP="004B5F3F">
      <w:pPr>
        <w:rPr>
          <w:rFonts w:asciiTheme="minorHAnsi" w:hAnsiTheme="minorHAnsi" w:cstheme="minorHAnsi"/>
        </w:rPr>
      </w:pPr>
    </w:p>
    <w:p w14:paraId="574400D9" w14:textId="77777777" w:rsidR="009D6F00" w:rsidRDefault="004B5F3F" w:rsidP="00DC4341">
      <w:pPr>
        <w:jc w:val="both"/>
        <w:rPr>
          <w:rFonts w:asciiTheme="minorHAnsi" w:hAnsiTheme="minorHAnsi" w:cstheme="minorHAnsi"/>
        </w:rPr>
      </w:pPr>
      <w:r>
        <w:rPr>
          <w:rFonts w:asciiTheme="minorHAnsi" w:hAnsiTheme="minorHAnsi" w:cstheme="minorHAnsi"/>
        </w:rPr>
        <w:t xml:space="preserve">Another </w:t>
      </w:r>
      <w:r w:rsidR="003615FF">
        <w:rPr>
          <w:rFonts w:asciiTheme="minorHAnsi" w:hAnsiTheme="minorHAnsi" w:cstheme="minorHAnsi"/>
        </w:rPr>
        <w:t xml:space="preserve">focus for improving Indigenous </w:t>
      </w:r>
      <w:r w:rsidRPr="00B06B1A">
        <w:rPr>
          <w:rFonts w:asciiTheme="minorHAnsi" w:hAnsiTheme="minorHAnsi" w:cstheme="minorHAnsi"/>
        </w:rPr>
        <w:t>registry data</w:t>
      </w:r>
      <w:r w:rsidR="003615FF">
        <w:rPr>
          <w:rFonts w:asciiTheme="minorHAnsi" w:hAnsiTheme="minorHAnsi" w:cstheme="minorHAnsi"/>
        </w:rPr>
        <w:t xml:space="preserve"> is synchronising </w:t>
      </w:r>
      <w:r w:rsidR="009D158E">
        <w:rPr>
          <w:rFonts w:asciiTheme="minorHAnsi" w:hAnsiTheme="minorHAnsi" w:cstheme="minorHAnsi"/>
        </w:rPr>
        <w:t xml:space="preserve">the collection of </w:t>
      </w:r>
      <w:r w:rsidRPr="00B06B1A">
        <w:rPr>
          <w:rFonts w:asciiTheme="minorHAnsi" w:hAnsiTheme="minorHAnsi" w:cstheme="minorHAnsi"/>
        </w:rPr>
        <w:t>business statistics such as sector, business age, industry</w:t>
      </w:r>
      <w:r w:rsidR="00B424FD">
        <w:rPr>
          <w:rFonts w:asciiTheme="minorHAnsi" w:hAnsiTheme="minorHAnsi" w:cstheme="minorHAnsi"/>
        </w:rPr>
        <w:t xml:space="preserve">, Indigenous verification status </w:t>
      </w:r>
      <w:r w:rsidRPr="00B06B1A">
        <w:rPr>
          <w:rFonts w:asciiTheme="minorHAnsi" w:hAnsiTheme="minorHAnsi" w:cstheme="minorHAnsi"/>
        </w:rPr>
        <w:t>and location that can be used to verify how different businesses that are linked to BLADE are from businesses that cannot be linked.</w:t>
      </w:r>
      <w:r w:rsidR="00B35118">
        <w:rPr>
          <w:rFonts w:asciiTheme="minorHAnsi" w:hAnsiTheme="minorHAnsi" w:cstheme="minorHAnsi"/>
        </w:rPr>
        <w:t xml:space="preserve"> At present, </w:t>
      </w:r>
      <w:r w:rsidR="007F590C">
        <w:rPr>
          <w:rFonts w:asciiTheme="minorHAnsi" w:hAnsiTheme="minorHAnsi" w:cstheme="minorHAnsi"/>
        </w:rPr>
        <w:t xml:space="preserve">only 77% of business registries can be linked to BLADE and because </w:t>
      </w:r>
      <w:r w:rsidR="00EB4508">
        <w:rPr>
          <w:rFonts w:asciiTheme="minorHAnsi" w:hAnsiTheme="minorHAnsi" w:cstheme="minorHAnsi"/>
        </w:rPr>
        <w:t xml:space="preserve">the data collected varies markedly across registries, it is difficult to assess how different businesses that can be matched are to those that cannot. </w:t>
      </w:r>
      <w:r w:rsidR="00B639E3">
        <w:rPr>
          <w:rFonts w:asciiTheme="minorHAnsi" w:hAnsiTheme="minorHAnsi" w:cstheme="minorHAnsi"/>
        </w:rPr>
        <w:t xml:space="preserve">Understanding how different </w:t>
      </w:r>
      <w:r w:rsidR="00745B2B">
        <w:rPr>
          <w:rFonts w:asciiTheme="minorHAnsi" w:hAnsiTheme="minorHAnsi" w:cstheme="minorHAnsi"/>
        </w:rPr>
        <w:t xml:space="preserve">unmatched businesses are to matched businesses is important to understand whether </w:t>
      </w:r>
      <w:r w:rsidR="0047434D">
        <w:rPr>
          <w:rFonts w:asciiTheme="minorHAnsi" w:hAnsiTheme="minorHAnsi" w:cstheme="minorHAnsi"/>
        </w:rPr>
        <w:t>the exclusion of unmatched businesses is biasing the sample of analy</w:t>
      </w:r>
      <w:r w:rsidR="00567A94">
        <w:rPr>
          <w:rFonts w:asciiTheme="minorHAnsi" w:hAnsiTheme="minorHAnsi" w:cstheme="minorHAnsi"/>
        </w:rPr>
        <w:t xml:space="preserve">sis. As well as helping to understand </w:t>
      </w:r>
      <w:r w:rsidR="00C2105C">
        <w:rPr>
          <w:rFonts w:asciiTheme="minorHAnsi" w:hAnsiTheme="minorHAnsi" w:cstheme="minorHAnsi"/>
        </w:rPr>
        <w:t>the implications of unmatched businesses, the data can also help support analysis</w:t>
      </w:r>
      <w:r w:rsidR="007461A9">
        <w:rPr>
          <w:rFonts w:asciiTheme="minorHAnsi" w:hAnsiTheme="minorHAnsi" w:cstheme="minorHAnsi"/>
        </w:rPr>
        <w:t xml:space="preserve">, for example, </w:t>
      </w:r>
      <w:r w:rsidR="00E5580B">
        <w:rPr>
          <w:rFonts w:asciiTheme="minorHAnsi" w:hAnsiTheme="minorHAnsi" w:cstheme="minorHAnsi"/>
        </w:rPr>
        <w:t xml:space="preserve">to </w:t>
      </w:r>
      <w:r w:rsidR="007461A9">
        <w:rPr>
          <w:rFonts w:asciiTheme="minorHAnsi" w:hAnsiTheme="minorHAnsi" w:cstheme="minorHAnsi"/>
        </w:rPr>
        <w:t>understand</w:t>
      </w:r>
      <w:r w:rsidR="00E5580B">
        <w:rPr>
          <w:rFonts w:asciiTheme="minorHAnsi" w:hAnsiTheme="minorHAnsi" w:cstheme="minorHAnsi"/>
        </w:rPr>
        <w:t xml:space="preserve"> </w:t>
      </w:r>
      <w:r w:rsidR="009C1EA0">
        <w:rPr>
          <w:rFonts w:asciiTheme="minorHAnsi" w:hAnsiTheme="minorHAnsi" w:cstheme="minorHAnsi"/>
        </w:rPr>
        <w:t xml:space="preserve">the types of </w:t>
      </w:r>
      <w:r w:rsidR="00E902AF">
        <w:rPr>
          <w:rFonts w:asciiTheme="minorHAnsi" w:hAnsiTheme="minorHAnsi" w:cstheme="minorHAnsi"/>
        </w:rPr>
        <w:t xml:space="preserve">businesses </w:t>
      </w:r>
      <w:r w:rsidR="009C1EA0">
        <w:rPr>
          <w:rFonts w:asciiTheme="minorHAnsi" w:hAnsiTheme="minorHAnsi" w:cstheme="minorHAnsi"/>
        </w:rPr>
        <w:t xml:space="preserve">that </w:t>
      </w:r>
      <w:r w:rsidR="00E902AF">
        <w:rPr>
          <w:rFonts w:asciiTheme="minorHAnsi" w:hAnsiTheme="minorHAnsi" w:cstheme="minorHAnsi"/>
        </w:rPr>
        <w:t xml:space="preserve">elect to be verified </w:t>
      </w:r>
      <w:r w:rsidR="00A77787">
        <w:rPr>
          <w:rFonts w:asciiTheme="minorHAnsi" w:hAnsiTheme="minorHAnsi" w:cstheme="minorHAnsi"/>
        </w:rPr>
        <w:t>and</w:t>
      </w:r>
      <w:r w:rsidR="00E902AF">
        <w:rPr>
          <w:rFonts w:asciiTheme="minorHAnsi" w:hAnsiTheme="minorHAnsi" w:cstheme="minorHAnsi"/>
        </w:rPr>
        <w:t xml:space="preserve"> help</w:t>
      </w:r>
      <w:r w:rsidR="00A77787">
        <w:rPr>
          <w:rFonts w:asciiTheme="minorHAnsi" w:hAnsiTheme="minorHAnsi" w:cstheme="minorHAnsi"/>
        </w:rPr>
        <w:t xml:space="preserve"> to improve the match rate of Indigenous business to BLADE. </w:t>
      </w:r>
    </w:p>
    <w:p w14:paraId="6E3C06B0" w14:textId="77777777" w:rsidR="009D6F00" w:rsidRDefault="009D6F00" w:rsidP="00DC4341">
      <w:pPr>
        <w:jc w:val="both"/>
        <w:rPr>
          <w:rFonts w:asciiTheme="minorHAnsi" w:hAnsiTheme="minorHAnsi" w:cstheme="minorHAnsi"/>
        </w:rPr>
      </w:pPr>
    </w:p>
    <w:p w14:paraId="1BA312BA" w14:textId="1DBF3F65" w:rsidR="004B5F3F" w:rsidRDefault="009C1EA0" w:rsidP="00DC4341">
      <w:pPr>
        <w:jc w:val="both"/>
        <w:rPr>
          <w:rFonts w:asciiTheme="minorHAnsi" w:hAnsiTheme="minorHAnsi" w:cstheme="minorHAnsi"/>
        </w:rPr>
      </w:pPr>
      <w:r>
        <w:rPr>
          <w:rFonts w:asciiTheme="minorHAnsi" w:hAnsiTheme="minorHAnsi" w:cstheme="minorHAnsi"/>
        </w:rPr>
        <w:t>In the future it is possible that</w:t>
      </w:r>
      <w:r w:rsidR="008F2F3F">
        <w:rPr>
          <w:rFonts w:asciiTheme="minorHAnsi" w:hAnsiTheme="minorHAnsi" w:cstheme="minorHAnsi"/>
        </w:rPr>
        <w:t xml:space="preserve"> such data, which is also common to BLADE, could be used to </w:t>
      </w:r>
      <w:r w:rsidR="00257653">
        <w:rPr>
          <w:rFonts w:asciiTheme="minorHAnsi" w:hAnsiTheme="minorHAnsi" w:cstheme="minorHAnsi"/>
        </w:rPr>
        <w:t>link businesses where ABN alon</w:t>
      </w:r>
      <w:r w:rsidR="006032C1">
        <w:rPr>
          <w:rFonts w:asciiTheme="minorHAnsi" w:hAnsiTheme="minorHAnsi" w:cstheme="minorHAnsi"/>
        </w:rPr>
        <w:t>e</w:t>
      </w:r>
      <w:r w:rsidR="00257653">
        <w:rPr>
          <w:rFonts w:asciiTheme="minorHAnsi" w:hAnsiTheme="minorHAnsi" w:cstheme="minorHAnsi"/>
        </w:rPr>
        <w:t xml:space="preserve"> is insufficient</w:t>
      </w:r>
      <w:r w:rsidR="00C50A86">
        <w:rPr>
          <w:rFonts w:asciiTheme="minorHAnsi" w:hAnsiTheme="minorHAnsi" w:cstheme="minorHAnsi"/>
        </w:rPr>
        <w:t xml:space="preserve">. </w:t>
      </w:r>
      <w:r w:rsidR="00C652FA">
        <w:rPr>
          <w:rFonts w:asciiTheme="minorHAnsi" w:hAnsiTheme="minorHAnsi" w:cstheme="minorHAnsi"/>
        </w:rPr>
        <w:t xml:space="preserve">Better data from </w:t>
      </w:r>
      <w:r w:rsidR="00EB4861">
        <w:rPr>
          <w:rFonts w:asciiTheme="minorHAnsi" w:hAnsiTheme="minorHAnsi" w:cstheme="minorHAnsi"/>
        </w:rPr>
        <w:t xml:space="preserve">custodians, can also help inform </w:t>
      </w:r>
      <w:r w:rsidR="00082F0A">
        <w:rPr>
          <w:rFonts w:asciiTheme="minorHAnsi" w:hAnsiTheme="minorHAnsi" w:cstheme="minorHAnsi"/>
        </w:rPr>
        <w:t>I-BLADE, for example, b</w:t>
      </w:r>
      <w:r w:rsidR="006032C1">
        <w:rPr>
          <w:rFonts w:asciiTheme="minorHAnsi" w:hAnsiTheme="minorHAnsi" w:cstheme="minorHAnsi"/>
        </w:rPr>
        <w:t>y</w:t>
      </w:r>
      <w:r w:rsidR="00082F0A">
        <w:rPr>
          <w:rFonts w:asciiTheme="minorHAnsi" w:hAnsiTheme="minorHAnsi" w:cstheme="minorHAnsi"/>
        </w:rPr>
        <w:t xml:space="preserve"> helping to identify the location of main businesses activity, which at present is based on head office postcode.</w:t>
      </w:r>
      <w:r w:rsidR="00E610FE">
        <w:rPr>
          <w:rFonts w:asciiTheme="minorHAnsi" w:hAnsiTheme="minorHAnsi" w:cstheme="minorHAnsi"/>
        </w:rPr>
        <w:t xml:space="preserve"> Also, at present not all registries have supplied historical data</w:t>
      </w:r>
      <w:r w:rsidR="00A73038">
        <w:rPr>
          <w:rFonts w:asciiTheme="minorHAnsi" w:hAnsiTheme="minorHAnsi" w:cstheme="minorHAnsi"/>
        </w:rPr>
        <w:t xml:space="preserve">, including businesses that no longer appear in registries, but information about these businesses and when they were on the registries is vital to be able to properly capture the evolution of the sector over time. </w:t>
      </w:r>
    </w:p>
    <w:p w14:paraId="5C9D794A" w14:textId="2042EC2B" w:rsidR="004B5F3F" w:rsidRDefault="004B5F3F" w:rsidP="0023332A">
      <w:pPr>
        <w:jc w:val="both"/>
        <w:rPr>
          <w:rFonts w:asciiTheme="minorHAnsi" w:hAnsiTheme="minorHAnsi" w:cstheme="minorHAnsi"/>
        </w:rPr>
      </w:pPr>
    </w:p>
    <w:p w14:paraId="1592269A" w14:textId="6398369E" w:rsidR="009B6AB6" w:rsidRPr="00B06B1A" w:rsidRDefault="00384D40" w:rsidP="00B321F8">
      <w:pPr>
        <w:jc w:val="both"/>
        <w:rPr>
          <w:rFonts w:asciiTheme="minorHAnsi" w:hAnsiTheme="minorHAnsi" w:cstheme="minorHAnsi"/>
        </w:rPr>
      </w:pPr>
      <w:r>
        <w:rPr>
          <w:rFonts w:asciiTheme="minorHAnsi" w:hAnsiTheme="minorHAnsi" w:cstheme="minorHAnsi"/>
        </w:rPr>
        <w:t>As well as working with data custodians, a priority o</w:t>
      </w:r>
      <w:r w:rsidR="00135141">
        <w:rPr>
          <w:rFonts w:asciiTheme="minorHAnsi" w:hAnsiTheme="minorHAnsi" w:cstheme="minorHAnsi"/>
        </w:rPr>
        <w:t xml:space="preserve">f </w:t>
      </w:r>
      <w:r w:rsidR="00FF3A21">
        <w:rPr>
          <w:rFonts w:asciiTheme="minorHAnsi" w:hAnsiTheme="minorHAnsi" w:cstheme="minorHAnsi"/>
        </w:rPr>
        <w:t xml:space="preserve">the </w:t>
      </w:r>
      <w:r w:rsidR="00135141">
        <w:rPr>
          <w:rFonts w:asciiTheme="minorHAnsi" w:hAnsiTheme="minorHAnsi" w:cstheme="minorHAnsi"/>
        </w:rPr>
        <w:t xml:space="preserve">I-BLADE development project is to work with the ABS to </w:t>
      </w:r>
      <w:r w:rsidR="00543B62">
        <w:rPr>
          <w:rFonts w:asciiTheme="minorHAnsi" w:hAnsiTheme="minorHAnsi" w:cstheme="minorHAnsi"/>
        </w:rPr>
        <w:t>help develop BLADE.</w:t>
      </w:r>
      <w:r>
        <w:rPr>
          <w:rFonts w:asciiTheme="minorHAnsi" w:hAnsiTheme="minorHAnsi" w:cstheme="minorHAnsi"/>
        </w:rPr>
        <w:t xml:space="preserve"> </w:t>
      </w:r>
      <w:r w:rsidR="00B321F8" w:rsidRPr="00B06B1A">
        <w:rPr>
          <w:rFonts w:asciiTheme="minorHAnsi" w:hAnsiTheme="minorHAnsi" w:cstheme="minorHAnsi"/>
        </w:rPr>
        <w:t xml:space="preserve">A key </w:t>
      </w:r>
      <w:r w:rsidR="00543B62">
        <w:rPr>
          <w:rFonts w:asciiTheme="minorHAnsi" w:hAnsiTheme="minorHAnsi" w:cstheme="minorHAnsi"/>
        </w:rPr>
        <w:t xml:space="preserve">priority is </w:t>
      </w:r>
      <w:r w:rsidR="00B321F8" w:rsidRPr="00B06B1A">
        <w:rPr>
          <w:rFonts w:asciiTheme="minorHAnsi" w:hAnsiTheme="minorHAnsi" w:cstheme="minorHAnsi"/>
        </w:rPr>
        <w:t>improving the understanding of why</w:t>
      </w:r>
      <w:r w:rsidR="00B321F8">
        <w:rPr>
          <w:rFonts w:asciiTheme="minorHAnsi" w:hAnsiTheme="minorHAnsi" w:cstheme="minorHAnsi"/>
        </w:rPr>
        <w:t xml:space="preserve"> 40% of Indigenous</w:t>
      </w:r>
      <w:r w:rsidR="00B321F8" w:rsidRPr="00B06B1A">
        <w:rPr>
          <w:rFonts w:asciiTheme="minorHAnsi" w:hAnsiTheme="minorHAnsi" w:cstheme="minorHAnsi"/>
        </w:rPr>
        <w:t xml:space="preserve"> businesses </w:t>
      </w:r>
      <w:r w:rsidR="00B321F8">
        <w:rPr>
          <w:rFonts w:asciiTheme="minorHAnsi" w:hAnsiTheme="minorHAnsi" w:cstheme="minorHAnsi"/>
        </w:rPr>
        <w:t xml:space="preserve">on registries </w:t>
      </w:r>
      <w:r w:rsidR="00B321F8" w:rsidRPr="00B06B1A">
        <w:rPr>
          <w:rFonts w:asciiTheme="minorHAnsi" w:hAnsiTheme="minorHAnsi" w:cstheme="minorHAnsi"/>
        </w:rPr>
        <w:t xml:space="preserve">are </w:t>
      </w:r>
      <w:r w:rsidR="002A6FB8">
        <w:rPr>
          <w:rFonts w:asciiTheme="minorHAnsi" w:hAnsiTheme="minorHAnsi" w:cstheme="minorHAnsi"/>
        </w:rPr>
        <w:t xml:space="preserve">apparently </w:t>
      </w:r>
      <w:r w:rsidR="00B321F8" w:rsidRPr="00B06B1A">
        <w:rPr>
          <w:rFonts w:asciiTheme="minorHAnsi" w:hAnsiTheme="minorHAnsi" w:cstheme="minorHAnsi"/>
        </w:rPr>
        <w:t>inactive</w:t>
      </w:r>
      <w:r w:rsidR="00B321F8">
        <w:rPr>
          <w:rFonts w:asciiTheme="minorHAnsi" w:hAnsiTheme="minorHAnsi" w:cstheme="minorHAnsi"/>
        </w:rPr>
        <w:t xml:space="preserve"> for tax pur</w:t>
      </w:r>
      <w:r w:rsidR="002A6FB8">
        <w:rPr>
          <w:rFonts w:asciiTheme="minorHAnsi" w:hAnsiTheme="minorHAnsi" w:cstheme="minorHAnsi"/>
        </w:rPr>
        <w:t>p</w:t>
      </w:r>
      <w:r w:rsidR="00B321F8">
        <w:rPr>
          <w:rFonts w:asciiTheme="minorHAnsi" w:hAnsiTheme="minorHAnsi" w:cstheme="minorHAnsi"/>
        </w:rPr>
        <w:t>oses</w:t>
      </w:r>
      <w:r w:rsidR="00B321F8" w:rsidRPr="00B06B1A">
        <w:rPr>
          <w:rFonts w:asciiTheme="minorHAnsi" w:hAnsiTheme="minorHAnsi" w:cstheme="minorHAnsi"/>
        </w:rPr>
        <w:t>. Working with the ABS, we hope to try and identify reasons for inactivity, including identifying businesses that are attached to the same (anonymised) owner that may be inactive because of centralised reporting. Shedding light on the reasons for inactivity is important for measuring business termination/survival, a key performance measure for the sector</w:t>
      </w:r>
      <w:r w:rsidR="002A6FB8">
        <w:rPr>
          <w:rFonts w:asciiTheme="minorHAnsi" w:hAnsiTheme="minorHAnsi" w:cstheme="minorHAnsi"/>
        </w:rPr>
        <w:t xml:space="preserve"> that we hope to capture in future waves of I-BLADE</w:t>
      </w:r>
      <w:r w:rsidR="00B321F8" w:rsidRPr="00B06B1A">
        <w:rPr>
          <w:rFonts w:asciiTheme="minorHAnsi" w:hAnsiTheme="minorHAnsi" w:cstheme="minorHAnsi"/>
        </w:rPr>
        <w:t>. Also, better identification of business ownership is vital to identify whether any growth in the Indigenous business sector</w:t>
      </w:r>
      <w:r w:rsidR="00F3785A">
        <w:rPr>
          <w:rFonts w:asciiTheme="minorHAnsi" w:hAnsiTheme="minorHAnsi" w:cstheme="minorHAnsi"/>
        </w:rPr>
        <w:t>, especially</w:t>
      </w:r>
      <w:r w:rsidR="00B321F8" w:rsidRPr="00B06B1A">
        <w:rPr>
          <w:rFonts w:asciiTheme="minorHAnsi" w:hAnsiTheme="minorHAnsi" w:cstheme="minorHAnsi"/>
        </w:rPr>
        <w:t xml:space="preserve"> associated with IPPP</w:t>
      </w:r>
      <w:r w:rsidR="00F3785A">
        <w:rPr>
          <w:rFonts w:asciiTheme="minorHAnsi" w:hAnsiTheme="minorHAnsi" w:cstheme="minorHAnsi"/>
        </w:rPr>
        <w:t>,</w:t>
      </w:r>
      <w:r w:rsidR="00B321F8" w:rsidRPr="00B06B1A">
        <w:rPr>
          <w:rFonts w:asciiTheme="minorHAnsi" w:hAnsiTheme="minorHAnsi" w:cstheme="minorHAnsi"/>
        </w:rPr>
        <w:t xml:space="preserve"> is related to </w:t>
      </w:r>
      <w:r w:rsidR="00F3785A">
        <w:rPr>
          <w:rFonts w:asciiTheme="minorHAnsi" w:hAnsiTheme="minorHAnsi" w:cstheme="minorHAnsi"/>
        </w:rPr>
        <w:t xml:space="preserve">real </w:t>
      </w:r>
      <w:r w:rsidR="002C29A6">
        <w:rPr>
          <w:rFonts w:asciiTheme="minorHAnsi" w:hAnsiTheme="minorHAnsi" w:cstheme="minorHAnsi"/>
        </w:rPr>
        <w:t xml:space="preserve">‘within </w:t>
      </w:r>
      <w:r w:rsidR="00B321F8" w:rsidRPr="00B06B1A">
        <w:rPr>
          <w:rFonts w:asciiTheme="minorHAnsi" w:hAnsiTheme="minorHAnsi" w:cstheme="minorHAnsi"/>
        </w:rPr>
        <w:t>business</w:t>
      </w:r>
      <w:r w:rsidR="002C29A6">
        <w:rPr>
          <w:rFonts w:asciiTheme="minorHAnsi" w:hAnsiTheme="minorHAnsi" w:cstheme="minorHAnsi"/>
        </w:rPr>
        <w:t>’</w:t>
      </w:r>
      <w:r w:rsidR="00B321F8" w:rsidRPr="00B06B1A">
        <w:rPr>
          <w:rFonts w:asciiTheme="minorHAnsi" w:hAnsiTheme="minorHAnsi" w:cstheme="minorHAnsi"/>
        </w:rPr>
        <w:t xml:space="preserve"> growth </w:t>
      </w:r>
      <w:r w:rsidR="00F3785A">
        <w:rPr>
          <w:rFonts w:asciiTheme="minorHAnsi" w:hAnsiTheme="minorHAnsi" w:cstheme="minorHAnsi"/>
        </w:rPr>
        <w:t>and not</w:t>
      </w:r>
      <w:r w:rsidR="00516B56">
        <w:rPr>
          <w:rFonts w:asciiTheme="minorHAnsi" w:hAnsiTheme="minorHAnsi" w:cstheme="minorHAnsi"/>
        </w:rPr>
        <w:t xml:space="preserve"> </w:t>
      </w:r>
      <w:r w:rsidR="00B321F8" w:rsidRPr="00B06B1A">
        <w:rPr>
          <w:rFonts w:asciiTheme="minorHAnsi" w:hAnsiTheme="minorHAnsi" w:cstheme="minorHAnsi"/>
        </w:rPr>
        <w:t xml:space="preserve">changes in activities associated with Indigenous ABNs, for example, mergers/acquisitions or </w:t>
      </w:r>
      <w:r w:rsidR="00894DEE">
        <w:rPr>
          <w:rFonts w:asciiTheme="minorHAnsi" w:hAnsiTheme="minorHAnsi" w:cstheme="minorHAnsi"/>
        </w:rPr>
        <w:t xml:space="preserve">changes </w:t>
      </w:r>
      <w:r w:rsidR="00753843">
        <w:rPr>
          <w:rFonts w:asciiTheme="minorHAnsi" w:hAnsiTheme="minorHAnsi" w:cstheme="minorHAnsi"/>
        </w:rPr>
        <w:t xml:space="preserve">in reporting associated </w:t>
      </w:r>
      <w:r w:rsidR="00894DEE">
        <w:rPr>
          <w:rFonts w:asciiTheme="minorHAnsi" w:hAnsiTheme="minorHAnsi" w:cstheme="minorHAnsi"/>
        </w:rPr>
        <w:t>with Indigenous ABNs.</w:t>
      </w:r>
    </w:p>
    <w:p w14:paraId="04AED8D7" w14:textId="17B5CFB9" w:rsidR="00B321F8" w:rsidRDefault="00B321F8" w:rsidP="00C37487">
      <w:pPr>
        <w:jc w:val="both"/>
        <w:rPr>
          <w:rFonts w:asciiTheme="minorHAnsi" w:hAnsiTheme="minorHAnsi" w:cstheme="minorHAnsi"/>
        </w:rPr>
      </w:pPr>
    </w:p>
    <w:p w14:paraId="692148C9" w14:textId="36A0409B" w:rsidR="00880A74" w:rsidRDefault="00082F0A" w:rsidP="00C37487">
      <w:pPr>
        <w:jc w:val="both"/>
        <w:rPr>
          <w:rFonts w:asciiTheme="minorHAnsi" w:hAnsiTheme="minorHAnsi" w:cstheme="minorHAnsi"/>
        </w:rPr>
      </w:pPr>
      <w:r>
        <w:rPr>
          <w:rFonts w:asciiTheme="minorHAnsi" w:hAnsiTheme="minorHAnsi" w:cstheme="minorHAnsi"/>
        </w:rPr>
        <w:t xml:space="preserve">Finally, future </w:t>
      </w:r>
      <w:r w:rsidR="000225EA">
        <w:rPr>
          <w:rFonts w:asciiTheme="minorHAnsi" w:hAnsiTheme="minorHAnsi" w:cstheme="minorHAnsi"/>
        </w:rPr>
        <w:t xml:space="preserve">versions </w:t>
      </w:r>
      <w:r>
        <w:rPr>
          <w:rFonts w:asciiTheme="minorHAnsi" w:hAnsiTheme="minorHAnsi" w:cstheme="minorHAnsi"/>
        </w:rPr>
        <w:t xml:space="preserve">of I-BLADE will also integrate </w:t>
      </w:r>
      <w:r w:rsidR="000B6808">
        <w:rPr>
          <w:rFonts w:asciiTheme="minorHAnsi" w:hAnsiTheme="minorHAnsi" w:cstheme="minorHAnsi"/>
        </w:rPr>
        <w:t xml:space="preserve">government and corporate </w:t>
      </w:r>
      <w:r w:rsidR="0076799E">
        <w:rPr>
          <w:rFonts w:asciiTheme="minorHAnsi" w:hAnsiTheme="minorHAnsi" w:cstheme="minorHAnsi"/>
        </w:rPr>
        <w:t>procurement data</w:t>
      </w:r>
      <w:r w:rsidR="00B92DFF">
        <w:rPr>
          <w:rFonts w:asciiTheme="minorHAnsi" w:hAnsiTheme="minorHAnsi" w:cstheme="minorHAnsi"/>
        </w:rPr>
        <w:t xml:space="preserve"> and employee and Indigenous community wellbeing data</w:t>
      </w:r>
      <w:r w:rsidR="0076799E">
        <w:rPr>
          <w:rFonts w:asciiTheme="minorHAnsi" w:hAnsiTheme="minorHAnsi" w:cstheme="minorHAnsi"/>
        </w:rPr>
        <w:t xml:space="preserve"> for the purpose of measuring impacts of IPPP and </w:t>
      </w:r>
      <w:r w:rsidR="00601C1D">
        <w:rPr>
          <w:rFonts w:asciiTheme="minorHAnsi" w:hAnsiTheme="minorHAnsi" w:cstheme="minorHAnsi"/>
        </w:rPr>
        <w:t xml:space="preserve">the </w:t>
      </w:r>
      <w:r w:rsidR="002709CF">
        <w:rPr>
          <w:rFonts w:asciiTheme="minorHAnsi" w:hAnsiTheme="minorHAnsi" w:cstheme="minorHAnsi"/>
        </w:rPr>
        <w:t>flow-on public benefits to community and the rest of Australia</w:t>
      </w:r>
      <w:r w:rsidR="00DA2E50">
        <w:rPr>
          <w:rFonts w:asciiTheme="minorHAnsi" w:hAnsiTheme="minorHAnsi" w:cstheme="minorHAnsi"/>
        </w:rPr>
        <w:t>.</w:t>
      </w:r>
      <w:r w:rsidR="00122DFD">
        <w:rPr>
          <w:rFonts w:asciiTheme="minorHAnsi" w:hAnsiTheme="minorHAnsi" w:cstheme="minorHAnsi"/>
        </w:rPr>
        <w:t xml:space="preserve"> </w:t>
      </w:r>
      <w:r w:rsidR="00D477B9">
        <w:rPr>
          <w:rFonts w:asciiTheme="minorHAnsi" w:hAnsiTheme="minorHAnsi" w:cstheme="minorHAnsi"/>
        </w:rPr>
        <w:t>Integrated d</w:t>
      </w:r>
      <w:r w:rsidR="00E24A3A">
        <w:rPr>
          <w:rFonts w:asciiTheme="minorHAnsi" w:hAnsiTheme="minorHAnsi" w:cstheme="minorHAnsi"/>
        </w:rPr>
        <w:t xml:space="preserve">ata to capture public benefits </w:t>
      </w:r>
      <w:r w:rsidR="00122DFD">
        <w:rPr>
          <w:rFonts w:asciiTheme="minorHAnsi" w:hAnsiTheme="minorHAnsi" w:cstheme="minorHAnsi"/>
        </w:rPr>
        <w:t>will include, but</w:t>
      </w:r>
      <w:r w:rsidR="00D477B9">
        <w:rPr>
          <w:rFonts w:asciiTheme="minorHAnsi" w:hAnsiTheme="minorHAnsi" w:cstheme="minorHAnsi"/>
        </w:rPr>
        <w:t xml:space="preserve"> will</w:t>
      </w:r>
      <w:r w:rsidR="00122DFD">
        <w:rPr>
          <w:rFonts w:asciiTheme="minorHAnsi" w:hAnsiTheme="minorHAnsi" w:cstheme="minorHAnsi"/>
        </w:rPr>
        <w:t xml:space="preserve"> not</w:t>
      </w:r>
      <w:r w:rsidR="00307D21">
        <w:rPr>
          <w:rFonts w:asciiTheme="minorHAnsi" w:hAnsiTheme="minorHAnsi" w:cstheme="minorHAnsi"/>
        </w:rPr>
        <w:t xml:space="preserve"> be</w:t>
      </w:r>
      <w:r w:rsidR="00122DFD">
        <w:rPr>
          <w:rFonts w:asciiTheme="minorHAnsi" w:hAnsiTheme="minorHAnsi" w:cstheme="minorHAnsi"/>
        </w:rPr>
        <w:t xml:space="preserve"> limited to, anonymised business employee and community-level data from the Multi-agency Data Integration Project (MADIP)</w:t>
      </w:r>
      <w:r w:rsidR="00514AE4">
        <w:rPr>
          <w:rFonts w:asciiTheme="minorHAnsi" w:hAnsiTheme="minorHAnsi" w:cstheme="minorHAnsi"/>
        </w:rPr>
        <w:t xml:space="preserve"> over time</w:t>
      </w:r>
      <w:r w:rsidR="000E24D8">
        <w:rPr>
          <w:rFonts w:asciiTheme="minorHAnsi" w:hAnsiTheme="minorHAnsi" w:cstheme="minorHAnsi"/>
        </w:rPr>
        <w:t xml:space="preserve">. </w:t>
      </w:r>
      <w:r w:rsidR="003B1FD4">
        <w:rPr>
          <w:rFonts w:asciiTheme="minorHAnsi" w:hAnsiTheme="minorHAnsi" w:cstheme="minorHAnsi"/>
        </w:rPr>
        <w:t>This will enable us to measure impacts on Indigenous</w:t>
      </w:r>
      <w:r w:rsidR="00703844">
        <w:rPr>
          <w:rFonts w:asciiTheme="minorHAnsi" w:hAnsiTheme="minorHAnsi" w:cstheme="minorHAnsi"/>
        </w:rPr>
        <w:t xml:space="preserve"> employees</w:t>
      </w:r>
      <w:r w:rsidR="001F1078">
        <w:rPr>
          <w:rFonts w:asciiTheme="minorHAnsi" w:hAnsiTheme="minorHAnsi" w:cstheme="minorHAnsi"/>
        </w:rPr>
        <w:t xml:space="preserve"> </w:t>
      </w:r>
      <w:r w:rsidR="003B1FD4">
        <w:rPr>
          <w:rFonts w:asciiTheme="minorHAnsi" w:hAnsiTheme="minorHAnsi" w:cstheme="minorHAnsi"/>
        </w:rPr>
        <w:t xml:space="preserve">and overall impacts on </w:t>
      </w:r>
      <w:r w:rsidR="004E1EE0">
        <w:rPr>
          <w:rFonts w:asciiTheme="minorHAnsi" w:hAnsiTheme="minorHAnsi" w:cstheme="minorHAnsi"/>
        </w:rPr>
        <w:t>Indigenous communit</w:t>
      </w:r>
      <w:r w:rsidR="001F1078">
        <w:rPr>
          <w:rFonts w:asciiTheme="minorHAnsi" w:hAnsiTheme="minorHAnsi" w:cstheme="minorHAnsi"/>
        </w:rPr>
        <w:t>ies</w:t>
      </w:r>
      <w:r w:rsidR="00703844">
        <w:rPr>
          <w:rFonts w:asciiTheme="minorHAnsi" w:hAnsiTheme="minorHAnsi" w:cstheme="minorHAnsi"/>
        </w:rPr>
        <w:t xml:space="preserve"> on measures such as financial wellbeing, </w:t>
      </w:r>
      <w:r w:rsidR="00180ACD">
        <w:rPr>
          <w:rFonts w:asciiTheme="minorHAnsi" w:hAnsiTheme="minorHAnsi" w:cstheme="minorHAnsi"/>
        </w:rPr>
        <w:t xml:space="preserve">employment rates, participation in education and training and health </w:t>
      </w:r>
      <w:r w:rsidR="007C2278">
        <w:rPr>
          <w:rFonts w:asciiTheme="minorHAnsi" w:hAnsiTheme="minorHAnsi" w:cstheme="minorHAnsi"/>
        </w:rPr>
        <w:t>expenditure</w:t>
      </w:r>
      <w:r w:rsidR="004E1EE0">
        <w:rPr>
          <w:rFonts w:asciiTheme="minorHAnsi" w:hAnsiTheme="minorHAnsi" w:cstheme="minorHAnsi"/>
        </w:rPr>
        <w:t xml:space="preserve">. </w:t>
      </w:r>
      <w:r w:rsidR="00750558">
        <w:rPr>
          <w:rFonts w:asciiTheme="minorHAnsi" w:hAnsiTheme="minorHAnsi" w:cstheme="minorHAnsi"/>
        </w:rPr>
        <w:t xml:space="preserve">These developments will help </w:t>
      </w:r>
      <w:r w:rsidR="006F3934">
        <w:rPr>
          <w:rFonts w:asciiTheme="minorHAnsi" w:hAnsiTheme="minorHAnsi" w:cstheme="minorHAnsi"/>
        </w:rPr>
        <w:t>support research into the</w:t>
      </w:r>
      <w:r w:rsidR="000B6808">
        <w:rPr>
          <w:rFonts w:asciiTheme="minorHAnsi" w:hAnsiTheme="minorHAnsi" w:cstheme="minorHAnsi"/>
        </w:rPr>
        <w:t xml:space="preserve"> design and</w:t>
      </w:r>
      <w:r w:rsidR="006F3934">
        <w:rPr>
          <w:rFonts w:asciiTheme="minorHAnsi" w:hAnsiTheme="minorHAnsi" w:cstheme="minorHAnsi"/>
        </w:rPr>
        <w:t xml:space="preserve"> impacts of IPPP and the public benefits that flow to communities and to Australia as a whole. </w:t>
      </w:r>
    </w:p>
    <w:p w14:paraId="6352E6B3" w14:textId="4A177179" w:rsidR="00453AD4" w:rsidRDefault="00453AD4" w:rsidP="00453AD4">
      <w:pPr>
        <w:pStyle w:val="Heading1"/>
      </w:pPr>
      <w:r>
        <w:lastRenderedPageBreak/>
        <w:t>R</w:t>
      </w:r>
      <w:r w:rsidR="00B7782C">
        <w:t>eferences</w:t>
      </w:r>
    </w:p>
    <w:p w14:paraId="306417EF" w14:textId="1193FACE" w:rsidR="00453AD4" w:rsidRDefault="00B47C41" w:rsidP="008A15DE">
      <w:pPr>
        <w:pStyle w:val="Heading1"/>
        <w:spacing w:after="120"/>
        <w:rPr>
          <w:rFonts w:asciiTheme="minorHAnsi" w:eastAsiaTheme="minorHAnsi" w:hAnsiTheme="minorHAnsi" w:cstheme="minorHAnsi"/>
          <w:color w:val="auto"/>
          <w:sz w:val="22"/>
          <w:szCs w:val="22"/>
        </w:rPr>
      </w:pPr>
      <w:r w:rsidRPr="006408F6">
        <w:rPr>
          <w:rFonts w:asciiTheme="minorHAnsi" w:eastAsiaTheme="minorHAnsi" w:hAnsiTheme="minorHAnsi" w:cstheme="minorHAnsi"/>
          <w:color w:val="auto"/>
          <w:sz w:val="22"/>
          <w:szCs w:val="22"/>
        </w:rPr>
        <w:t xml:space="preserve">ABS 2001, Small Businesses in Australia 2001, cat. no. 1321.0, ABS, Canberra Australia. </w:t>
      </w:r>
    </w:p>
    <w:p w14:paraId="7509777E" w14:textId="3AAA7001" w:rsidR="00F209EE" w:rsidRDefault="00F209EE" w:rsidP="008A15DE">
      <w:pPr>
        <w:spacing w:after="120"/>
        <w:rPr>
          <w:rFonts w:asciiTheme="minorHAnsi" w:hAnsiTheme="minorHAnsi" w:cstheme="minorHAnsi"/>
        </w:rPr>
      </w:pPr>
      <w:r w:rsidRPr="008A15DE">
        <w:rPr>
          <w:rFonts w:asciiTheme="minorHAnsi" w:hAnsiTheme="minorHAnsi" w:cstheme="minorHAnsi"/>
        </w:rPr>
        <w:t>Australian Small Business and Family Enterprise Ombudsman (2019).</w:t>
      </w:r>
      <w:r w:rsidR="008A15DE" w:rsidRPr="008A15DE">
        <w:rPr>
          <w:rFonts w:asciiTheme="minorHAnsi" w:hAnsiTheme="minorHAnsi" w:cstheme="minorHAnsi"/>
        </w:rPr>
        <w:t xml:space="preserve"> Small Business Counts, Australian Government, Canberra. </w:t>
      </w:r>
    </w:p>
    <w:p w14:paraId="6A5647AA" w14:textId="742542D0" w:rsidR="00B923DA" w:rsidRDefault="009D60C6" w:rsidP="00B923DA">
      <w:pPr>
        <w:rPr>
          <w:rFonts w:ascii="Segoe UI" w:hAnsi="Segoe UI" w:cs="Segoe UI"/>
          <w:color w:val="000000"/>
          <w:shd w:val="clear" w:color="auto" w:fill="FFFFFF"/>
        </w:rPr>
      </w:pPr>
      <w:r>
        <w:rPr>
          <w:rFonts w:asciiTheme="minorHAnsi" w:hAnsiTheme="minorHAnsi" w:cstheme="minorHAnsi"/>
        </w:rPr>
        <w:t xml:space="preserve">Australian Bureau of Statistics (2019). Value of Agricultural Commodities Produced, Australia, ABS cat. no. </w:t>
      </w:r>
      <w:r>
        <w:rPr>
          <w:rFonts w:ascii="Segoe UI" w:hAnsi="Segoe UI" w:cs="Segoe UI"/>
          <w:color w:val="000000"/>
          <w:shd w:val="clear" w:color="auto" w:fill="FFFFFF"/>
        </w:rPr>
        <w:t xml:space="preserve">7503.0, Canberra. </w:t>
      </w:r>
    </w:p>
    <w:p w14:paraId="54812816" w14:textId="44C1CE49" w:rsidR="00B923DA" w:rsidRDefault="00B923DA" w:rsidP="00B923DA">
      <w:pPr>
        <w:rPr>
          <w:rFonts w:ascii="Segoe UI" w:hAnsi="Segoe UI" w:cs="Segoe UI"/>
          <w:color w:val="000000"/>
          <w:shd w:val="clear" w:color="auto" w:fill="FFFFFF"/>
        </w:rPr>
      </w:pPr>
    </w:p>
    <w:p w14:paraId="5A13974A" w14:textId="733B2844" w:rsidR="00522C2E" w:rsidRPr="0005490C" w:rsidRDefault="00522C2E" w:rsidP="00B923DA">
      <w:pPr>
        <w:rPr>
          <w:rFonts w:asciiTheme="minorHAnsi" w:hAnsiTheme="minorHAnsi" w:cstheme="minorHAnsi"/>
        </w:rPr>
      </w:pPr>
      <w:r w:rsidRPr="00522C2E">
        <w:rPr>
          <w:rFonts w:asciiTheme="minorHAnsi" w:hAnsiTheme="minorHAnsi" w:cstheme="minorHAnsi"/>
        </w:rPr>
        <w:t xml:space="preserve">Biddle, N., Howlett, M., Hunter, B. and </w:t>
      </w:r>
      <w:proofErr w:type="spellStart"/>
      <w:r w:rsidRPr="00522C2E">
        <w:rPr>
          <w:rFonts w:asciiTheme="minorHAnsi" w:hAnsiTheme="minorHAnsi" w:cstheme="minorHAnsi"/>
        </w:rPr>
        <w:t>Paradies</w:t>
      </w:r>
      <w:proofErr w:type="spellEnd"/>
      <w:r w:rsidRPr="00522C2E">
        <w:rPr>
          <w:rFonts w:asciiTheme="minorHAnsi" w:hAnsiTheme="minorHAnsi" w:cstheme="minorHAnsi"/>
        </w:rPr>
        <w:t xml:space="preserve">, Y., </w:t>
      </w:r>
      <w:r>
        <w:rPr>
          <w:rFonts w:asciiTheme="minorHAnsi" w:hAnsiTheme="minorHAnsi" w:cstheme="minorHAnsi"/>
        </w:rPr>
        <w:t>(</w:t>
      </w:r>
      <w:r w:rsidRPr="00522C2E">
        <w:rPr>
          <w:rFonts w:asciiTheme="minorHAnsi" w:hAnsiTheme="minorHAnsi" w:cstheme="minorHAnsi"/>
        </w:rPr>
        <w:t>2013</w:t>
      </w:r>
      <w:r>
        <w:rPr>
          <w:rFonts w:asciiTheme="minorHAnsi" w:hAnsiTheme="minorHAnsi" w:cstheme="minorHAnsi"/>
        </w:rPr>
        <w:t>)</w:t>
      </w:r>
      <w:r w:rsidRPr="00522C2E">
        <w:rPr>
          <w:rFonts w:asciiTheme="minorHAnsi" w:hAnsiTheme="minorHAnsi" w:cstheme="minorHAnsi"/>
        </w:rPr>
        <w:t>. Labour market and other discrimination facing Indigenous Australian. </w:t>
      </w:r>
      <w:r w:rsidRPr="00522C2E">
        <w:rPr>
          <w:rFonts w:asciiTheme="minorHAnsi" w:hAnsiTheme="minorHAnsi" w:cstheme="minorHAnsi"/>
          <w:i/>
          <w:iCs/>
        </w:rPr>
        <w:t>Australian Journal of Labour Economics</w:t>
      </w:r>
      <w:r w:rsidRPr="00522C2E">
        <w:rPr>
          <w:rFonts w:asciiTheme="minorHAnsi" w:hAnsiTheme="minorHAnsi" w:cstheme="minorHAnsi"/>
        </w:rPr>
        <w:t>, 16(1), pp.91-113.</w:t>
      </w:r>
    </w:p>
    <w:p w14:paraId="31BD6747" w14:textId="77777777" w:rsidR="0005490C" w:rsidRPr="00B923DA" w:rsidRDefault="0005490C" w:rsidP="00B923DA">
      <w:pPr>
        <w:rPr>
          <w:rFonts w:ascii="Segoe UI" w:hAnsi="Segoe UI" w:cs="Segoe UI"/>
          <w:color w:val="000000"/>
          <w:shd w:val="clear" w:color="auto" w:fill="FFFFFF"/>
        </w:rPr>
      </w:pPr>
    </w:p>
    <w:p w14:paraId="3E12232D" w14:textId="1FA3A531" w:rsidR="00005302" w:rsidRDefault="00005302" w:rsidP="00375E4F">
      <w:pPr>
        <w:rPr>
          <w:rFonts w:asciiTheme="minorHAnsi" w:hAnsiTheme="minorHAnsi" w:cstheme="minorHAnsi"/>
        </w:rPr>
      </w:pPr>
      <w:r>
        <w:rPr>
          <w:rFonts w:asciiTheme="minorHAnsi" w:hAnsiTheme="minorHAnsi" w:cstheme="minorHAnsi"/>
        </w:rPr>
        <w:t xml:space="preserve">Crooks, K., Casey, D. and Ward, J. (2020). </w:t>
      </w:r>
      <w:r w:rsidRPr="00005302">
        <w:rPr>
          <w:rFonts w:asciiTheme="minorHAnsi" w:hAnsiTheme="minorHAnsi" w:cstheme="minorHAnsi"/>
        </w:rPr>
        <w:t xml:space="preserve">First Nations peoples leading the way in COVID-19 pandemic planning, response and management Engaging First Nations peoples in public health emergencies is critical to reducing health inequities, </w:t>
      </w:r>
      <w:r w:rsidRPr="00005302">
        <w:rPr>
          <w:rFonts w:asciiTheme="minorHAnsi" w:hAnsiTheme="minorHAnsi" w:cstheme="minorHAnsi"/>
          <w:i/>
          <w:iCs/>
        </w:rPr>
        <w:t>Medical Journal of Australia</w:t>
      </w:r>
      <w:r w:rsidRPr="00005302">
        <w:rPr>
          <w:rFonts w:asciiTheme="minorHAnsi" w:hAnsiTheme="minorHAnsi" w:cstheme="minorHAnsi"/>
        </w:rPr>
        <w:t xml:space="preserve"> 213(4), p. 151-152.</w:t>
      </w:r>
    </w:p>
    <w:p w14:paraId="6404FA2D" w14:textId="77777777" w:rsidR="00375E4F" w:rsidRDefault="00375E4F" w:rsidP="00375E4F">
      <w:pPr>
        <w:rPr>
          <w:rFonts w:asciiTheme="minorHAnsi" w:hAnsiTheme="minorHAnsi" w:cstheme="minorHAnsi"/>
        </w:rPr>
      </w:pPr>
    </w:p>
    <w:p w14:paraId="52D794D2" w14:textId="33752677" w:rsidR="00975762" w:rsidRDefault="00B923DA" w:rsidP="008A15DE">
      <w:pPr>
        <w:spacing w:after="120"/>
        <w:rPr>
          <w:rFonts w:asciiTheme="minorHAnsi" w:hAnsiTheme="minorHAnsi" w:cstheme="minorHAnsi"/>
        </w:rPr>
      </w:pPr>
      <w:r w:rsidRPr="00B923DA">
        <w:rPr>
          <w:rFonts w:asciiTheme="minorHAnsi" w:hAnsiTheme="minorHAnsi" w:cstheme="minorHAnsi"/>
        </w:rPr>
        <w:t>Foley D (2000). Successful Indigenous Australian entrepreneurs: a case study analysis, Aboriginal and Torres Strait Islander Studies Unit Research Report Series, vol 4, University of Queensland, Brisbane</w:t>
      </w:r>
      <w:r>
        <w:rPr>
          <w:rFonts w:asciiTheme="minorHAnsi" w:hAnsiTheme="minorHAnsi" w:cstheme="minorHAnsi"/>
        </w:rPr>
        <w:t>.</w:t>
      </w:r>
    </w:p>
    <w:p w14:paraId="1FFED1BA" w14:textId="24383CB2" w:rsidR="00C9415E" w:rsidRDefault="00C9415E" w:rsidP="008A15DE">
      <w:pPr>
        <w:spacing w:after="120"/>
        <w:rPr>
          <w:rFonts w:asciiTheme="minorHAnsi" w:hAnsiTheme="minorHAnsi" w:cstheme="minorHAnsi"/>
        </w:rPr>
      </w:pPr>
      <w:r w:rsidRPr="00C9415E">
        <w:rPr>
          <w:rFonts w:asciiTheme="minorHAnsi" w:hAnsiTheme="minorHAnsi" w:cstheme="minorHAnsi"/>
        </w:rPr>
        <w:t>Foley, D. (2013). Jus sanguinis: the root of contention in determining what is an Australian Aboriginal business. Indigenous Law Bulletin 8(8):25–29.</w:t>
      </w:r>
    </w:p>
    <w:p w14:paraId="761EA9EC" w14:textId="77777777" w:rsidR="006D1DA9" w:rsidRDefault="006D1DA9" w:rsidP="00375E4F">
      <w:pPr>
        <w:rPr>
          <w:rFonts w:asciiTheme="minorHAnsi" w:hAnsiTheme="minorHAnsi" w:cstheme="minorHAnsi"/>
        </w:rPr>
      </w:pPr>
    </w:p>
    <w:p w14:paraId="2228DA59" w14:textId="65411732" w:rsidR="006D1DA9" w:rsidRDefault="006D1DA9" w:rsidP="00375E4F">
      <w:pPr>
        <w:rPr>
          <w:rFonts w:asciiTheme="minorHAnsi" w:hAnsiTheme="minorHAnsi" w:cstheme="minorHAnsi"/>
        </w:rPr>
      </w:pPr>
      <w:r w:rsidRPr="006D1DA9">
        <w:rPr>
          <w:rFonts w:asciiTheme="minorHAnsi" w:hAnsiTheme="minorHAnsi" w:cstheme="minorHAnsi"/>
        </w:rPr>
        <w:t xml:space="preserve">Holzer, H. and </w:t>
      </w:r>
      <w:proofErr w:type="spellStart"/>
      <w:r w:rsidRPr="006D1DA9">
        <w:rPr>
          <w:rFonts w:asciiTheme="minorHAnsi" w:hAnsiTheme="minorHAnsi" w:cstheme="minorHAnsi"/>
        </w:rPr>
        <w:t>Neumark</w:t>
      </w:r>
      <w:proofErr w:type="spellEnd"/>
      <w:r w:rsidRPr="006D1DA9">
        <w:rPr>
          <w:rFonts w:asciiTheme="minorHAnsi" w:hAnsiTheme="minorHAnsi" w:cstheme="minorHAnsi"/>
        </w:rPr>
        <w:t>, D. (2006). Affirmative action: What do we know</w:t>
      </w:r>
      <w:r w:rsidRPr="006D1DA9">
        <w:rPr>
          <w:rFonts w:asciiTheme="minorHAnsi" w:hAnsiTheme="minorHAnsi" w:cstheme="minorHAnsi"/>
          <w:i/>
          <w:iCs/>
        </w:rPr>
        <w:t>? Journal of Policy Analysis and Management</w:t>
      </w:r>
      <w:r w:rsidRPr="006D1DA9">
        <w:rPr>
          <w:rFonts w:asciiTheme="minorHAnsi" w:hAnsiTheme="minorHAnsi" w:cstheme="minorHAnsi"/>
        </w:rPr>
        <w:t xml:space="preserve"> 25(2) pp. 463-490.</w:t>
      </w:r>
    </w:p>
    <w:p w14:paraId="72DF5BA7" w14:textId="77777777" w:rsidR="006D1DA9" w:rsidRDefault="006D1DA9" w:rsidP="00375E4F">
      <w:pPr>
        <w:rPr>
          <w:rFonts w:asciiTheme="minorHAnsi" w:hAnsiTheme="minorHAnsi" w:cstheme="minorHAnsi"/>
        </w:rPr>
      </w:pPr>
    </w:p>
    <w:p w14:paraId="1589DB50" w14:textId="144D41BB" w:rsidR="00375E4F" w:rsidRPr="00375E4F" w:rsidRDefault="00375E4F" w:rsidP="00375E4F">
      <w:pPr>
        <w:rPr>
          <w:rFonts w:asciiTheme="minorHAnsi" w:hAnsiTheme="minorHAnsi" w:cstheme="minorHAnsi"/>
        </w:rPr>
      </w:pPr>
      <w:r w:rsidRPr="00375E4F">
        <w:rPr>
          <w:rFonts w:asciiTheme="minorHAnsi" w:hAnsiTheme="minorHAnsi" w:cstheme="minorHAnsi"/>
        </w:rPr>
        <w:t>Hunter, B. (2014). Indigenous employment and businesses: Whose business is it to employ Indigenous workers? Centre for Aboriginal Economic Policy Research (CAEPR) working paper 95/2014, Australian National University, Canberra.</w:t>
      </w:r>
    </w:p>
    <w:p w14:paraId="184476AF" w14:textId="77777777" w:rsidR="00375E4F" w:rsidRDefault="00375E4F" w:rsidP="00152AE2">
      <w:pPr>
        <w:spacing w:after="120"/>
        <w:rPr>
          <w:rFonts w:asciiTheme="minorHAnsi" w:hAnsiTheme="minorHAnsi" w:cstheme="minorHAnsi"/>
        </w:rPr>
      </w:pPr>
    </w:p>
    <w:p w14:paraId="0313574A" w14:textId="2DFE8516" w:rsidR="000F54EC" w:rsidRDefault="000F54EC" w:rsidP="00152AE2">
      <w:pPr>
        <w:spacing w:after="120"/>
        <w:rPr>
          <w:rFonts w:asciiTheme="minorHAnsi" w:hAnsiTheme="minorHAnsi" w:cstheme="minorHAnsi"/>
        </w:rPr>
      </w:pPr>
      <w:r>
        <w:rPr>
          <w:rFonts w:asciiTheme="minorHAnsi" w:hAnsiTheme="minorHAnsi" w:cstheme="minorHAnsi"/>
        </w:rPr>
        <w:t xml:space="preserve">Shirodkar, S., Hunter, B. Foley, D. (2018). Ongoing growth I the number of Indigenous Australian Businesses, Centre for Aboriginal Economic Policy Research (CAEPR) working paper 125/2018, Australian National University, Canberra. </w:t>
      </w:r>
    </w:p>
    <w:p w14:paraId="1F48DDBD" w14:textId="459F0434" w:rsidR="000E75DC" w:rsidRDefault="000E75DC" w:rsidP="00152AE2">
      <w:pPr>
        <w:spacing w:after="120"/>
        <w:rPr>
          <w:rFonts w:asciiTheme="minorHAnsi" w:hAnsiTheme="minorHAnsi" w:cstheme="minorHAnsi"/>
        </w:rPr>
      </w:pPr>
    </w:p>
    <w:p w14:paraId="00712087" w14:textId="2F1A9325" w:rsidR="00FC654F" w:rsidRDefault="00FC654F" w:rsidP="00152AE2">
      <w:pPr>
        <w:spacing w:after="120"/>
        <w:rPr>
          <w:rFonts w:asciiTheme="minorHAnsi" w:hAnsiTheme="minorHAnsi" w:cstheme="minorHAnsi"/>
        </w:rPr>
      </w:pPr>
      <w:r w:rsidRPr="00FC654F">
        <w:rPr>
          <w:rFonts w:asciiTheme="minorHAnsi" w:hAnsiTheme="minorHAnsi" w:cstheme="minorHAnsi"/>
        </w:rPr>
        <w:t>Shirodkar, S., 2019. Bias against Indigenous Australians: Implicit association test results for Australia. </w:t>
      </w:r>
      <w:r w:rsidRPr="00FC654F">
        <w:rPr>
          <w:rFonts w:asciiTheme="minorHAnsi" w:hAnsiTheme="minorHAnsi" w:cstheme="minorHAnsi"/>
          <w:i/>
          <w:iCs/>
        </w:rPr>
        <w:t>Journal of Australian Indigenous Issues</w:t>
      </w:r>
      <w:r w:rsidRPr="00FC654F">
        <w:rPr>
          <w:rFonts w:asciiTheme="minorHAnsi" w:hAnsiTheme="minorHAnsi" w:cstheme="minorHAnsi"/>
        </w:rPr>
        <w:t>, 22(3-4), pp.3-34.</w:t>
      </w:r>
    </w:p>
    <w:p w14:paraId="15030B55" w14:textId="77777777" w:rsidR="00FC654F" w:rsidRDefault="00FC654F" w:rsidP="00152AE2">
      <w:pPr>
        <w:spacing w:after="120"/>
        <w:rPr>
          <w:rFonts w:asciiTheme="minorHAnsi" w:hAnsiTheme="minorHAnsi" w:cstheme="minorHAnsi"/>
        </w:rPr>
      </w:pPr>
    </w:p>
    <w:p w14:paraId="50160E0C" w14:textId="30F27CC3" w:rsidR="000E75DC" w:rsidRDefault="000E75DC" w:rsidP="00152AE2">
      <w:pPr>
        <w:spacing w:after="120"/>
        <w:rPr>
          <w:rFonts w:asciiTheme="minorHAnsi" w:hAnsiTheme="minorHAnsi" w:cstheme="minorHAnsi"/>
        </w:rPr>
      </w:pPr>
      <w:r>
        <w:rPr>
          <w:rFonts w:asciiTheme="minorHAnsi" w:hAnsiTheme="minorHAnsi" w:cstheme="minorHAnsi"/>
        </w:rPr>
        <w:t xml:space="preserve">National Indigenous Australians Agency (NIAA) 2020, Indigenous Procurement Policy, NIAA, </w:t>
      </w:r>
      <w:hyperlink r:id="rId29" w:history="1">
        <w:r w:rsidRPr="00152AE2">
          <w:rPr>
            <w:rFonts w:asciiTheme="minorHAnsi" w:hAnsiTheme="minorHAnsi" w:cstheme="minorHAnsi"/>
          </w:rPr>
          <w:t>https://www.niaa.gov.au/sites/default/files/publications/ipp-guide.pdf</w:t>
        </w:r>
      </w:hyperlink>
      <w:r>
        <w:rPr>
          <w:rFonts w:asciiTheme="minorHAnsi" w:hAnsiTheme="minorHAnsi" w:cstheme="minorHAnsi"/>
        </w:rPr>
        <w:t xml:space="preserve"> (accessed 3 April 2020).</w:t>
      </w:r>
    </w:p>
    <w:p w14:paraId="2ABBF3BB" w14:textId="1C00BF49" w:rsidR="006C3C19" w:rsidRDefault="006C3C19" w:rsidP="00152AE2">
      <w:pPr>
        <w:spacing w:after="120"/>
        <w:rPr>
          <w:rFonts w:asciiTheme="minorHAnsi" w:hAnsiTheme="minorHAnsi" w:cstheme="minorHAnsi"/>
        </w:rPr>
      </w:pPr>
      <w:r>
        <w:rPr>
          <w:rFonts w:asciiTheme="minorHAnsi" w:hAnsiTheme="minorHAnsi" w:cstheme="minorHAnsi"/>
        </w:rPr>
        <w:t xml:space="preserve">Supply Nation (2020). State of Indigenous businesses, driving growth across the Indigenous business sector, Supply Nation Research Report 1, </w:t>
      </w:r>
      <w:hyperlink r:id="rId30" w:history="1">
        <w:r w:rsidRPr="00152AE2">
          <w:rPr>
            <w:rFonts w:asciiTheme="minorHAnsi" w:hAnsiTheme="minorHAnsi" w:cstheme="minorHAnsi"/>
          </w:rPr>
          <w:t>https://supplynation.org.au/research-paper/state-of-indigenous-business-driving-growth/</w:t>
        </w:r>
      </w:hyperlink>
      <w:r>
        <w:rPr>
          <w:rFonts w:asciiTheme="minorHAnsi" w:hAnsiTheme="minorHAnsi" w:cstheme="minorHAnsi"/>
        </w:rPr>
        <w:t xml:space="preserve"> (accessed 3-4-2021)</w:t>
      </w:r>
      <w:r w:rsidR="00152AE2">
        <w:rPr>
          <w:rFonts w:asciiTheme="minorHAnsi" w:hAnsiTheme="minorHAnsi" w:cstheme="minorHAnsi"/>
        </w:rPr>
        <w:t>.</w:t>
      </w:r>
    </w:p>
    <w:p w14:paraId="18586AA6" w14:textId="41A97875" w:rsidR="00C91224" w:rsidRDefault="00C91224" w:rsidP="00C91224"/>
    <w:p w14:paraId="1D7F0429" w14:textId="2CCF62B3" w:rsidR="00A379D5" w:rsidRDefault="00A379D5" w:rsidP="00C91224"/>
    <w:p w14:paraId="6F0473EC" w14:textId="0B1589E2" w:rsidR="00A379D5" w:rsidRDefault="00A379D5" w:rsidP="00A379D5">
      <w:pPr>
        <w:pStyle w:val="Heading1"/>
      </w:pPr>
      <w:r>
        <w:t>Technical appendix</w:t>
      </w:r>
    </w:p>
    <w:p w14:paraId="2B0A43A5" w14:textId="38BA130B" w:rsidR="00A379D5" w:rsidRDefault="00A379D5" w:rsidP="00C91224"/>
    <w:p w14:paraId="2B4E89BB" w14:textId="77777777" w:rsidR="00A379D5" w:rsidRPr="00B06B1A" w:rsidRDefault="00A379D5" w:rsidP="00A379D5">
      <w:pPr>
        <w:pStyle w:val="Heading2"/>
        <w:jc w:val="both"/>
        <w:rPr>
          <w:rFonts w:asciiTheme="minorHAnsi" w:hAnsiTheme="minorHAnsi" w:cstheme="minorHAnsi"/>
        </w:rPr>
      </w:pPr>
      <w:r w:rsidRPr="00B06B1A">
        <w:rPr>
          <w:rFonts w:asciiTheme="minorHAnsi" w:hAnsiTheme="minorHAnsi" w:cstheme="minorHAnsi"/>
        </w:rPr>
        <w:lastRenderedPageBreak/>
        <w:t>Indigenous business registry data integration with BLADE</w:t>
      </w:r>
    </w:p>
    <w:p w14:paraId="3A2CD61B" w14:textId="7187D27B" w:rsidR="00A379D5" w:rsidRPr="00B06B1A" w:rsidRDefault="00A379D5" w:rsidP="00A379D5">
      <w:pPr>
        <w:jc w:val="both"/>
        <w:rPr>
          <w:rFonts w:asciiTheme="minorHAnsi" w:hAnsiTheme="minorHAnsi" w:cstheme="minorHAnsi"/>
        </w:rPr>
      </w:pPr>
      <w:r w:rsidRPr="00B06B1A">
        <w:rPr>
          <w:rFonts w:asciiTheme="minorHAnsi" w:hAnsiTheme="minorHAnsi" w:cstheme="minorHAnsi"/>
        </w:rPr>
        <w:t>To link Indigenous business registry data to BLADE is through a ‘linkage key’ that maps unique ABNs in the Indigenous business registry to anonymised business identifiers in BLADE. Before the Indigenous business data is linked to BLADE, the registry data is cleaned to maximise the likelihood of the data being successfully linked with BLADE. We first remove duplicates with the same name (that appear in more than one database and also sometimes multiple times in the same registry). We rely on business name to remove duplicates (not ABN) because in many cases (3,940 out of 11,409 registry records) were missing a valid ABN, either because no ABN was provided (including, but not limited to, corporations in ORIC) or because the ABN provided was not an 11-digit number. To identify businesses that have a unique name, we first standardise the formatting of the business names.</w:t>
      </w:r>
      <w:r w:rsidRPr="00B06B1A">
        <w:rPr>
          <w:rStyle w:val="FootnoteReference"/>
          <w:rFonts w:asciiTheme="minorHAnsi" w:hAnsiTheme="minorHAnsi" w:cstheme="minorHAnsi"/>
        </w:rPr>
        <w:footnoteReference w:id="9"/>
      </w:r>
    </w:p>
    <w:p w14:paraId="67064DE1" w14:textId="77E69537" w:rsidR="00A379D5" w:rsidRDefault="00A379D5" w:rsidP="00C91224"/>
    <w:p w14:paraId="1F2BBD47" w14:textId="77777777" w:rsidR="00A379D5" w:rsidRDefault="00A379D5" w:rsidP="00A379D5">
      <w:pPr>
        <w:jc w:val="both"/>
        <w:rPr>
          <w:rFonts w:asciiTheme="minorHAnsi" w:hAnsiTheme="minorHAnsi" w:cstheme="minorHAnsi"/>
          <w:b/>
        </w:rPr>
      </w:pPr>
      <w:r w:rsidRPr="00B06B1A">
        <w:rPr>
          <w:rFonts w:asciiTheme="minorHAnsi" w:hAnsiTheme="minorHAnsi" w:cstheme="minorHAnsi"/>
        </w:rPr>
        <w:t>Because ABS linkage of Indigenous business data to BLADE is based on a unique common ABN, it is vital that the Indigenous business ABNs are correct and up-to-date.</w:t>
      </w:r>
      <w:r w:rsidRPr="00B06B1A">
        <w:rPr>
          <w:rStyle w:val="FootnoteReference"/>
          <w:rFonts w:asciiTheme="minorHAnsi" w:hAnsiTheme="minorHAnsi" w:cstheme="minorHAnsi"/>
        </w:rPr>
        <w:footnoteReference w:id="10"/>
      </w:r>
      <w:r w:rsidRPr="00B06B1A">
        <w:rPr>
          <w:rFonts w:asciiTheme="minorHAnsi" w:hAnsiTheme="minorHAnsi" w:cstheme="minorHAnsi"/>
        </w:rPr>
        <w:t xml:space="preserve"> For this reason, we enter all cleaned business names into the ABN Lookup tool on the Australian Business Register website (</w:t>
      </w:r>
      <w:hyperlink r:id="rId31" w:history="1">
        <w:r w:rsidRPr="00B06B1A">
          <w:rPr>
            <w:rStyle w:val="Hyperlink"/>
            <w:rFonts w:asciiTheme="minorHAnsi" w:hAnsiTheme="minorHAnsi" w:cstheme="minorHAnsi"/>
          </w:rPr>
          <w:t>https://abr.business.gov.au/Tools/AbnLookup</w:t>
        </w:r>
      </w:hyperlink>
      <w:r w:rsidRPr="00B06B1A">
        <w:rPr>
          <w:rFonts w:asciiTheme="minorHAnsi" w:hAnsiTheme="minorHAnsi" w:cstheme="minorHAnsi"/>
        </w:rPr>
        <w:t>) and retrieve all ABNs that are associated with the business name that have a name character match of at least 98%, which based on our testing, is a conservative measure for a reliable ABN match. In some cases, more than one match is retrieved. In these cases, the highest match is the preferred ABN, but the alternative ABNs are retained for the data integration with BLADE in case the preferred match is not successful. In practice businesses may have multiple ABNs if the business acts as a trustee for other businesses.  It is also important to note that ABNs are not unique to a business. As long as they are the same structure (e.g. company, sole trader), an owner can register multiple companies under the one ABN, for example, for ease of financial reporting. In these cases, we delete one of the records at random for the ease of data integration, but in practice, because businesses in BLADE are aggregated for tax purposes, the integrated data will include financial information for all businesses operating under the same ABN. After</w:t>
      </w:r>
      <w:r w:rsidRPr="00B06B1A" w:rsidDel="00652C36">
        <w:rPr>
          <w:rFonts w:asciiTheme="minorHAnsi" w:hAnsiTheme="minorHAnsi" w:cstheme="minorHAnsi"/>
        </w:rPr>
        <w:t xml:space="preserve"> </w:t>
      </w:r>
      <w:r w:rsidRPr="00B06B1A">
        <w:rPr>
          <w:rFonts w:asciiTheme="minorHAnsi" w:hAnsiTheme="minorHAnsi" w:cstheme="minorHAnsi"/>
        </w:rPr>
        <w:t xml:space="preserve">removing duplicates across (and within) registries and retrieving ABNs from the ABR, we are left with 8,133 businesses with unique ABNs. </w:t>
      </w:r>
    </w:p>
    <w:p w14:paraId="6C091B51" w14:textId="77777777" w:rsidR="00A379D5" w:rsidRPr="00B06B1A" w:rsidRDefault="00A379D5" w:rsidP="00A379D5">
      <w:pPr>
        <w:jc w:val="both"/>
        <w:rPr>
          <w:rFonts w:asciiTheme="minorHAnsi" w:hAnsiTheme="minorHAnsi" w:cstheme="minorHAnsi"/>
        </w:rPr>
      </w:pPr>
    </w:p>
    <w:p w14:paraId="3469DA0D" w14:textId="1DA96588" w:rsidR="00A379D5" w:rsidRDefault="00A379D5" w:rsidP="00A379D5">
      <w:pPr>
        <w:jc w:val="both"/>
        <w:rPr>
          <w:rFonts w:asciiTheme="minorHAnsi" w:hAnsiTheme="minorHAnsi" w:cstheme="minorHAnsi"/>
        </w:rPr>
      </w:pPr>
      <w:r w:rsidRPr="00B06B1A">
        <w:rPr>
          <w:rFonts w:asciiTheme="minorHAnsi" w:hAnsiTheme="minorHAnsi" w:cstheme="minorHAnsi"/>
        </w:rPr>
        <w:t xml:space="preserve">Using ABNs that are common to both the cleaned Indigenous business registry and BLADE, the ABS is able to uniquely match around 6,200 of the 8,133 businesses in the Indigenous business directory, or a match rate of around 77%, to form I-BLADE (Table 1). At present, because of the inconsistent nature of data in the registries, it is not possible to examine whether the characteristics of businesses that are linked are different to those that are not, that could provide insight as to whether the sample is being skewed by systematic exclusion of certain business types. For future </w:t>
      </w:r>
      <w:r w:rsidR="000225EA">
        <w:rPr>
          <w:rFonts w:asciiTheme="minorHAnsi" w:hAnsiTheme="minorHAnsi" w:cstheme="minorHAnsi"/>
        </w:rPr>
        <w:t>versions</w:t>
      </w:r>
      <w:r w:rsidR="000225EA" w:rsidRPr="00B06B1A">
        <w:rPr>
          <w:rFonts w:asciiTheme="minorHAnsi" w:hAnsiTheme="minorHAnsi" w:cstheme="minorHAnsi"/>
        </w:rPr>
        <w:t xml:space="preserve"> </w:t>
      </w:r>
      <w:r w:rsidRPr="00B06B1A">
        <w:rPr>
          <w:rFonts w:asciiTheme="minorHAnsi" w:hAnsiTheme="minorHAnsi" w:cstheme="minorHAnsi"/>
        </w:rPr>
        <w:t xml:space="preserve">of I-BLADE, it is hoped that information stored in business registries will be standardised on key business characteristics such as business sector, location, business type and age to better gauge the impacts of non-matches in future </w:t>
      </w:r>
      <w:r w:rsidR="000225EA">
        <w:rPr>
          <w:rFonts w:asciiTheme="minorHAnsi" w:hAnsiTheme="minorHAnsi" w:cstheme="minorHAnsi"/>
        </w:rPr>
        <w:t>versions</w:t>
      </w:r>
      <w:r w:rsidRPr="00B06B1A">
        <w:rPr>
          <w:rFonts w:asciiTheme="minorHAnsi" w:hAnsiTheme="minorHAnsi" w:cstheme="minorHAnsi"/>
        </w:rPr>
        <w:t xml:space="preserve"> of I-BLADE.</w:t>
      </w:r>
    </w:p>
    <w:p w14:paraId="5F737E83" w14:textId="2EAFAC17" w:rsidR="00BB1141" w:rsidRDefault="00BB1141" w:rsidP="00C3252B"/>
    <w:p w14:paraId="0452376C" w14:textId="77777777" w:rsidR="00BB1141" w:rsidRPr="00BB1141" w:rsidRDefault="00BB1141" w:rsidP="00BB1141">
      <w:pPr>
        <w:pStyle w:val="Heading2"/>
      </w:pPr>
    </w:p>
    <w:sectPr w:rsidR="00BB1141" w:rsidRPr="00BB1141" w:rsidSect="00FB2554">
      <w:footerReference w:type="default" r:id="rId3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1E87E9" w14:textId="77777777" w:rsidR="00065863" w:rsidRDefault="00065863" w:rsidP="00CF2579">
      <w:r>
        <w:separator/>
      </w:r>
    </w:p>
  </w:endnote>
  <w:endnote w:type="continuationSeparator" w:id="0">
    <w:p w14:paraId="3DD33523" w14:textId="77777777" w:rsidR="00065863" w:rsidRDefault="00065863" w:rsidP="00CF2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604020202020204"/>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00476372"/>
      <w:docPartObj>
        <w:docPartGallery w:val="Page Numbers (Bottom of Page)"/>
        <w:docPartUnique/>
      </w:docPartObj>
    </w:sdtPr>
    <w:sdtEndPr>
      <w:rPr>
        <w:rFonts w:asciiTheme="minorHAnsi" w:hAnsiTheme="minorHAnsi" w:cstheme="minorHAnsi"/>
        <w:noProof/>
      </w:rPr>
    </w:sdtEndPr>
    <w:sdtContent>
      <w:p w14:paraId="063F9522" w14:textId="17EEDB7C" w:rsidR="00A86BEC" w:rsidRPr="0072340D" w:rsidRDefault="00A86BEC">
        <w:pPr>
          <w:pStyle w:val="Footer"/>
          <w:jc w:val="center"/>
          <w:rPr>
            <w:rFonts w:asciiTheme="minorHAnsi" w:hAnsiTheme="minorHAnsi" w:cstheme="minorHAnsi"/>
          </w:rPr>
        </w:pPr>
        <w:r w:rsidRPr="0072340D">
          <w:rPr>
            <w:rFonts w:asciiTheme="minorHAnsi" w:hAnsiTheme="minorHAnsi" w:cstheme="minorHAnsi"/>
          </w:rPr>
          <w:fldChar w:fldCharType="begin"/>
        </w:r>
        <w:r w:rsidRPr="000225EA">
          <w:rPr>
            <w:rFonts w:asciiTheme="minorHAnsi" w:hAnsiTheme="minorHAnsi" w:cstheme="minorHAnsi"/>
          </w:rPr>
          <w:instrText xml:space="preserve"> PAGE   \* MERGEFORMAT </w:instrText>
        </w:r>
        <w:r w:rsidRPr="0072340D">
          <w:rPr>
            <w:rFonts w:asciiTheme="minorHAnsi" w:hAnsiTheme="minorHAnsi" w:cstheme="minorHAnsi"/>
          </w:rPr>
          <w:fldChar w:fldCharType="separate"/>
        </w:r>
        <w:r>
          <w:rPr>
            <w:rFonts w:asciiTheme="minorHAnsi" w:hAnsiTheme="minorHAnsi" w:cstheme="minorHAnsi"/>
            <w:noProof/>
          </w:rPr>
          <w:t>24</w:t>
        </w:r>
        <w:r w:rsidRPr="0072340D">
          <w:rPr>
            <w:rFonts w:asciiTheme="minorHAnsi" w:hAnsiTheme="minorHAnsi" w:cstheme="minorHAnsi"/>
            <w:noProof/>
          </w:rPr>
          <w:fldChar w:fldCharType="end"/>
        </w:r>
      </w:p>
    </w:sdtContent>
  </w:sdt>
  <w:p w14:paraId="31C4AB2F" w14:textId="77777777" w:rsidR="00A86BEC" w:rsidRDefault="00A86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62DAE6" w14:textId="77777777" w:rsidR="00065863" w:rsidRDefault="00065863" w:rsidP="00CF2579">
      <w:r>
        <w:separator/>
      </w:r>
    </w:p>
  </w:footnote>
  <w:footnote w:type="continuationSeparator" w:id="0">
    <w:p w14:paraId="0ABFE678" w14:textId="77777777" w:rsidR="00065863" w:rsidRDefault="00065863" w:rsidP="00CF2579">
      <w:r>
        <w:continuationSeparator/>
      </w:r>
    </w:p>
  </w:footnote>
  <w:footnote w:id="1">
    <w:p w14:paraId="78BAF76A" w14:textId="77777777" w:rsidR="00A86BEC" w:rsidRPr="00BD5202" w:rsidRDefault="00A86BEC" w:rsidP="00B06B1A">
      <w:pPr>
        <w:pStyle w:val="FootnoteText"/>
        <w:rPr>
          <w:rFonts w:cstheme="minorHAnsi"/>
        </w:rPr>
      </w:pPr>
      <w:r w:rsidRPr="00BD5202">
        <w:rPr>
          <w:rStyle w:val="FootnoteReference"/>
          <w:rFonts w:cstheme="minorHAnsi"/>
        </w:rPr>
        <w:footnoteRef/>
      </w:r>
      <w:r w:rsidRPr="00BD5202">
        <w:rPr>
          <w:rFonts w:cstheme="minorHAnsi"/>
        </w:rPr>
        <w:t xml:space="preserve"> See </w:t>
      </w:r>
      <w:hyperlink r:id="rId1" w:history="1">
        <w:r w:rsidRPr="00BD5202">
          <w:rPr>
            <w:rStyle w:val="Hyperlink"/>
            <w:rFonts w:cstheme="minorHAnsi"/>
          </w:rPr>
          <w:t>https://abdwa.icn.org.au/</w:t>
        </w:r>
      </w:hyperlink>
      <w:r w:rsidRPr="00BD5202">
        <w:rPr>
          <w:rFonts w:cstheme="minorHAnsi"/>
        </w:rPr>
        <w:t xml:space="preserve"> and </w:t>
      </w:r>
      <w:hyperlink r:id="rId2" w:history="1">
        <w:r w:rsidRPr="00BD5202">
          <w:rPr>
            <w:rStyle w:val="Hyperlink"/>
            <w:rFonts w:cstheme="minorHAnsi"/>
          </w:rPr>
          <w:t>http://www.bbf.org.au/index.asp</w:t>
        </w:r>
      </w:hyperlink>
      <w:r w:rsidRPr="00BD5202">
        <w:rPr>
          <w:rFonts w:cstheme="minorHAnsi"/>
        </w:rPr>
        <w:t xml:space="preserve"> for Aboriginal Business Directory and Black Business Finder respectively. </w:t>
      </w:r>
    </w:p>
  </w:footnote>
  <w:footnote w:id="2">
    <w:p w14:paraId="37B29BEA" w14:textId="77777777" w:rsidR="00A86BEC" w:rsidRPr="007E631F" w:rsidRDefault="00A86BEC" w:rsidP="00B06B1A">
      <w:pPr>
        <w:jc w:val="both"/>
        <w:rPr>
          <w:sz w:val="20"/>
          <w:szCs w:val="20"/>
        </w:rPr>
      </w:pPr>
      <w:r w:rsidRPr="007E631F">
        <w:rPr>
          <w:rStyle w:val="FootnoteReference"/>
          <w:rFonts w:asciiTheme="minorHAnsi" w:hAnsiTheme="minorHAnsi" w:cstheme="minorHAnsi"/>
          <w:sz w:val="20"/>
          <w:szCs w:val="20"/>
        </w:rPr>
        <w:footnoteRef/>
      </w:r>
      <w:r w:rsidRPr="007E631F">
        <w:rPr>
          <w:rFonts w:asciiTheme="minorHAnsi" w:hAnsiTheme="minorHAnsi" w:cstheme="minorHAnsi"/>
          <w:sz w:val="20"/>
          <w:szCs w:val="20"/>
        </w:rPr>
        <w:t xml:space="preserve"> See </w:t>
      </w:r>
      <w:hyperlink r:id="rId3" w:anchor=".YFaCjq8zZPY" w:history="1">
        <w:r w:rsidRPr="007E631F">
          <w:rPr>
            <w:rStyle w:val="Hyperlink"/>
            <w:rFonts w:asciiTheme="minorHAnsi" w:hAnsiTheme="minorHAnsi" w:cstheme="minorHAnsi"/>
            <w:sz w:val="20"/>
            <w:szCs w:val="20"/>
          </w:rPr>
          <w:t>https://directory.business.vic.gov.au/aboriginal/home#.YFaCjq8zZPY</w:t>
        </w:r>
      </w:hyperlink>
      <w:r w:rsidRPr="007E631F">
        <w:rPr>
          <w:rFonts w:asciiTheme="minorHAnsi" w:hAnsiTheme="minorHAnsi" w:cstheme="minorHAnsi"/>
          <w:sz w:val="20"/>
          <w:szCs w:val="20"/>
        </w:rPr>
        <w:t xml:space="preserve"> for more on the Victorian Aboriginal Business Directory.</w:t>
      </w:r>
    </w:p>
  </w:footnote>
  <w:footnote w:id="3">
    <w:p w14:paraId="5A1423F7" w14:textId="77777777" w:rsidR="00A86BEC" w:rsidRPr="007E631F" w:rsidRDefault="00A86BEC" w:rsidP="00B06B1A">
      <w:pPr>
        <w:jc w:val="both"/>
        <w:rPr>
          <w:rFonts w:asciiTheme="minorHAnsi" w:hAnsiTheme="minorHAnsi" w:cstheme="minorHAnsi"/>
          <w:sz w:val="20"/>
          <w:szCs w:val="20"/>
        </w:rPr>
      </w:pPr>
      <w:r w:rsidRPr="007E631F">
        <w:rPr>
          <w:rStyle w:val="FootnoteReference"/>
          <w:rFonts w:asciiTheme="minorHAnsi" w:hAnsiTheme="minorHAnsi" w:cstheme="minorHAnsi"/>
          <w:sz w:val="20"/>
          <w:szCs w:val="20"/>
        </w:rPr>
        <w:footnoteRef/>
      </w:r>
      <w:r w:rsidRPr="007E631F">
        <w:rPr>
          <w:rFonts w:asciiTheme="minorHAnsi" w:hAnsiTheme="minorHAnsi" w:cstheme="minorHAnsi"/>
          <w:sz w:val="20"/>
          <w:szCs w:val="20"/>
        </w:rPr>
        <w:t xml:space="preserve"> See </w:t>
      </w:r>
      <w:hyperlink r:id="rId4" w:history="1">
        <w:r w:rsidRPr="007E631F">
          <w:rPr>
            <w:rStyle w:val="Hyperlink"/>
            <w:rFonts w:asciiTheme="minorHAnsi" w:hAnsiTheme="minorHAnsi" w:cstheme="minorHAnsi"/>
            <w:sz w:val="20"/>
            <w:szCs w:val="20"/>
          </w:rPr>
          <w:t>https://kinaway.com.au/search/</w:t>
        </w:r>
      </w:hyperlink>
      <w:r w:rsidRPr="007E631F">
        <w:rPr>
          <w:rFonts w:asciiTheme="minorHAnsi" w:hAnsiTheme="minorHAnsi" w:cstheme="minorHAnsi"/>
          <w:sz w:val="20"/>
          <w:szCs w:val="20"/>
        </w:rPr>
        <w:t xml:space="preserve"> for details of the Kinaway Business Directory.</w:t>
      </w:r>
    </w:p>
  </w:footnote>
  <w:footnote w:id="4">
    <w:p w14:paraId="51B4B144" w14:textId="77777777" w:rsidR="00A86BEC" w:rsidRPr="00B06B1A" w:rsidRDefault="00A86BEC" w:rsidP="00B06B1A">
      <w:pPr>
        <w:pStyle w:val="FootnoteText"/>
        <w:rPr>
          <w:rFonts w:cstheme="minorHAnsi"/>
        </w:rPr>
      </w:pPr>
      <w:r w:rsidRPr="00BD5202">
        <w:rPr>
          <w:rStyle w:val="FootnoteReference"/>
          <w:rFonts w:cstheme="minorHAnsi"/>
        </w:rPr>
        <w:footnoteRef/>
      </w:r>
      <w:r w:rsidRPr="00BD5202">
        <w:rPr>
          <w:rFonts w:cstheme="minorHAnsi"/>
        </w:rPr>
        <w:t xml:space="preserve"> See </w:t>
      </w:r>
      <w:hyperlink r:id="rId5" w:history="1">
        <w:r w:rsidRPr="00BD5202">
          <w:rPr>
            <w:rStyle w:val="Hyperlink"/>
            <w:rFonts w:cstheme="minorHAnsi"/>
          </w:rPr>
          <w:t>https://www.oric.gov.au/</w:t>
        </w:r>
      </w:hyperlink>
      <w:r w:rsidRPr="00BD5202">
        <w:rPr>
          <w:rFonts w:cstheme="minorHAnsi"/>
        </w:rPr>
        <w:t xml:space="preserve"> for details of the ORIC Corporations Directory.</w:t>
      </w:r>
    </w:p>
  </w:footnote>
  <w:footnote w:id="5">
    <w:p w14:paraId="54C03B7F" w14:textId="5479529F" w:rsidR="00A86BEC" w:rsidRDefault="00A86BEC">
      <w:pPr>
        <w:pStyle w:val="FootnoteText"/>
      </w:pPr>
      <w:r>
        <w:rPr>
          <w:rStyle w:val="FootnoteReference"/>
        </w:rPr>
        <w:footnoteRef/>
      </w:r>
      <w:r>
        <w:t xml:space="preserve"> This is consistent with the measure of small businesses as a share of all businesses reported by the Australian Small Business and Family Enterprise Ombudsman (2019). </w:t>
      </w:r>
    </w:p>
  </w:footnote>
  <w:footnote w:id="6">
    <w:p w14:paraId="4668F17C" w14:textId="31932BB5" w:rsidR="00A86BEC" w:rsidRDefault="00A86BEC" w:rsidP="00C12398">
      <w:pPr>
        <w:pStyle w:val="FootnoteText"/>
      </w:pPr>
      <w:r>
        <w:rPr>
          <w:rStyle w:val="FootnoteReference"/>
        </w:rPr>
        <w:footnoteRef/>
      </w:r>
      <w:r>
        <w:t xml:space="preserve"> Dissimilarity index: </w:t>
      </w:r>
      <m:oMath>
        <m:r>
          <w:rPr>
            <w:rFonts w:ascii="Cambria Math" w:hAnsi="Cambria Math"/>
          </w:rPr>
          <m:t>DI=0.5</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j</m:t>
                        </m:r>
                      </m:sub>
                    </m:sSub>
                  </m:num>
                  <m:den>
                    <m:r>
                      <w:rPr>
                        <w:rFonts w:ascii="Cambria Math" w:hAnsi="Cambria Math"/>
                      </w:rPr>
                      <m:t>IND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NI</m:t>
                        </m:r>
                      </m:e>
                      <m:sub>
                        <m:r>
                          <w:rPr>
                            <w:rFonts w:ascii="Cambria Math" w:hAnsi="Cambria Math"/>
                          </w:rPr>
                          <m:t>j</m:t>
                        </m:r>
                      </m:sub>
                    </m:sSub>
                  </m:num>
                  <m:den>
                    <m:r>
                      <w:rPr>
                        <w:rFonts w:ascii="Cambria Math" w:hAnsi="Cambria Math"/>
                      </w:rPr>
                      <m:t>NIND</m:t>
                    </m:r>
                  </m:den>
                </m:f>
              </m:e>
            </m:d>
          </m:e>
        </m:nary>
      </m:oMath>
      <w:r>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NI</m:t>
            </m:r>
          </m:e>
          <m:sub>
            <m:r>
              <w:rPr>
                <w:rFonts w:ascii="Cambria Math" w:eastAsiaTheme="minorEastAsia" w:hAnsi="Cambria Math"/>
              </w:rPr>
              <m:t>j</m:t>
            </m:r>
          </m:sub>
        </m:sSub>
      </m:oMath>
      <w:r>
        <w:rPr>
          <w:rFonts w:eastAsiaTheme="minorEastAsia"/>
        </w:rPr>
        <w:t xml:space="preserve"> are the number of Indigenous and non-Indigenous businesses in sector </w:t>
      </w:r>
      <w:r w:rsidRPr="00093D16">
        <w:rPr>
          <w:rFonts w:eastAsiaTheme="minorEastAsia"/>
          <w:i/>
          <w:iCs/>
        </w:rPr>
        <w:t>j</w:t>
      </w:r>
      <w:r>
        <w:rPr>
          <w:rFonts w:eastAsiaTheme="minorEastAsia"/>
        </w:rPr>
        <w:t xml:space="preserve"> and </w:t>
      </w:r>
      <w:r w:rsidRPr="00FF4C7C">
        <w:rPr>
          <w:rFonts w:eastAsiaTheme="minorEastAsia"/>
          <w:i/>
          <w:iCs/>
        </w:rPr>
        <w:t>IND</w:t>
      </w:r>
      <w:r>
        <w:rPr>
          <w:rFonts w:eastAsiaTheme="minorEastAsia"/>
        </w:rPr>
        <w:t xml:space="preserve"> and </w:t>
      </w:r>
      <w:r w:rsidRPr="00FF4C7C">
        <w:rPr>
          <w:rFonts w:eastAsiaTheme="minorEastAsia"/>
          <w:i/>
          <w:iCs/>
        </w:rPr>
        <w:t xml:space="preserve">NIND </w:t>
      </w:r>
      <w:r>
        <w:rPr>
          <w:rFonts w:eastAsiaTheme="minorEastAsia"/>
        </w:rPr>
        <w:t xml:space="preserve">are the number of Indigenous and non-Indigenous businesses respectively. In the index above, </w:t>
      </w:r>
      <w:r w:rsidRPr="008144E2">
        <w:rPr>
          <w:rFonts w:eastAsiaTheme="minorEastAsia"/>
          <w:i/>
          <w:iCs/>
        </w:rPr>
        <w:t>j</w:t>
      </w:r>
      <w:r>
        <w:rPr>
          <w:rFonts w:eastAsiaTheme="minorEastAsia"/>
        </w:rPr>
        <w:t xml:space="preserve"> represents 19 ABS </w:t>
      </w:r>
      <w:r w:rsidRPr="00262600">
        <w:rPr>
          <w:rFonts w:eastAsiaTheme="minorEastAsia"/>
        </w:rPr>
        <w:t>Australian and New Zealand Standard Industrial Classification</w:t>
      </w:r>
      <w:r>
        <w:rPr>
          <w:rFonts w:eastAsiaTheme="minorEastAsia"/>
        </w:rPr>
        <w:t xml:space="preserve"> (ANZSIC) divisions. </w:t>
      </w:r>
    </w:p>
  </w:footnote>
  <w:footnote w:id="7">
    <w:p w14:paraId="2F0E2609" w14:textId="77777777" w:rsidR="00A86BEC" w:rsidRDefault="00A86BEC" w:rsidP="00884F1A">
      <w:pPr>
        <w:pStyle w:val="FootnoteText"/>
      </w:pPr>
      <w:r>
        <w:rPr>
          <w:rStyle w:val="FootnoteReference"/>
        </w:rPr>
        <w:footnoteRef/>
      </w:r>
      <w:r>
        <w:t xml:space="preserve"> These include: </w:t>
      </w:r>
      <w:r w:rsidRPr="00DF068F">
        <w:rPr>
          <w:rFonts w:ascii="Calibri" w:eastAsia="Times New Roman" w:hAnsi="Calibri"/>
          <w:color w:val="000000"/>
          <w:lang w:eastAsia="en-AU"/>
        </w:rPr>
        <w:t>Information Media and Telecommunications</w:t>
      </w:r>
      <w:r>
        <w:rPr>
          <w:rFonts w:ascii="Calibri" w:eastAsia="Times New Roman" w:hAnsi="Calibri"/>
          <w:color w:val="000000"/>
          <w:lang w:eastAsia="en-AU"/>
        </w:rPr>
        <w:t xml:space="preserve">, </w:t>
      </w:r>
      <w:r w:rsidRPr="00DF068F">
        <w:rPr>
          <w:rFonts w:ascii="Calibri" w:eastAsia="Times New Roman" w:hAnsi="Calibri"/>
          <w:color w:val="000000"/>
          <w:lang w:eastAsia="en-AU"/>
        </w:rPr>
        <w:t>Financial and Insurance Services</w:t>
      </w:r>
      <w:r>
        <w:rPr>
          <w:rFonts w:ascii="Calibri" w:eastAsia="Times New Roman" w:hAnsi="Calibri"/>
          <w:color w:val="000000"/>
          <w:lang w:eastAsia="en-AU"/>
        </w:rPr>
        <w:t xml:space="preserve">, </w:t>
      </w:r>
      <w:r w:rsidRPr="00DF068F">
        <w:rPr>
          <w:rFonts w:ascii="Calibri" w:eastAsia="Times New Roman" w:hAnsi="Calibri"/>
          <w:color w:val="000000"/>
          <w:lang w:eastAsia="en-AU"/>
        </w:rPr>
        <w:t>Rental, Hiring and Real Estate Services</w:t>
      </w:r>
      <w:r>
        <w:rPr>
          <w:rFonts w:ascii="Calibri" w:eastAsia="Times New Roman" w:hAnsi="Calibri"/>
          <w:color w:val="000000"/>
          <w:lang w:eastAsia="en-AU"/>
        </w:rPr>
        <w:t xml:space="preserve">, </w:t>
      </w:r>
      <w:r w:rsidRPr="00DF068F">
        <w:rPr>
          <w:rFonts w:ascii="Calibri" w:eastAsia="Times New Roman" w:hAnsi="Calibri"/>
          <w:color w:val="000000"/>
          <w:lang w:eastAsia="en-AU"/>
        </w:rPr>
        <w:t>Professional, Scientific and Technical Services</w:t>
      </w:r>
      <w:r>
        <w:rPr>
          <w:rFonts w:ascii="Calibri" w:eastAsia="Times New Roman" w:hAnsi="Calibri"/>
          <w:color w:val="000000"/>
          <w:lang w:eastAsia="en-AU"/>
        </w:rPr>
        <w:t xml:space="preserve">, </w:t>
      </w:r>
      <w:r w:rsidRPr="00DF068F">
        <w:rPr>
          <w:rFonts w:ascii="Calibri" w:eastAsia="Times New Roman" w:hAnsi="Calibri"/>
          <w:color w:val="000000"/>
          <w:lang w:eastAsia="en-AU"/>
        </w:rPr>
        <w:t>Administrative and Support Services</w:t>
      </w:r>
      <w:r>
        <w:rPr>
          <w:rFonts w:ascii="Calibri" w:eastAsia="Times New Roman" w:hAnsi="Calibri"/>
          <w:color w:val="000000"/>
          <w:lang w:eastAsia="en-AU"/>
        </w:rPr>
        <w:t>,</w:t>
      </w:r>
      <w:r w:rsidRPr="00DF068F">
        <w:rPr>
          <w:rFonts w:ascii="Calibri" w:eastAsia="Times New Roman" w:hAnsi="Calibri"/>
          <w:color w:val="000000"/>
          <w:lang w:eastAsia="en-AU"/>
        </w:rPr>
        <w:t xml:space="preserve"> Public Administration and Safety</w:t>
      </w:r>
      <w:r>
        <w:rPr>
          <w:rFonts w:ascii="Calibri" w:eastAsia="Times New Roman" w:hAnsi="Calibri"/>
          <w:color w:val="000000"/>
          <w:lang w:eastAsia="en-AU"/>
        </w:rPr>
        <w:t>,</w:t>
      </w:r>
      <w:r w:rsidRPr="00DF068F">
        <w:rPr>
          <w:rFonts w:ascii="Calibri" w:eastAsia="Times New Roman" w:hAnsi="Calibri"/>
          <w:color w:val="000000"/>
          <w:lang w:eastAsia="en-AU"/>
        </w:rPr>
        <w:t xml:space="preserve"> Education and Training</w:t>
      </w:r>
      <w:r>
        <w:rPr>
          <w:rFonts w:ascii="Calibri" w:eastAsia="Times New Roman" w:hAnsi="Calibri"/>
          <w:color w:val="000000"/>
          <w:lang w:eastAsia="en-AU"/>
        </w:rPr>
        <w:t>,</w:t>
      </w:r>
      <w:r w:rsidRPr="00DF068F">
        <w:rPr>
          <w:rFonts w:ascii="Calibri" w:eastAsia="Times New Roman" w:hAnsi="Calibri"/>
          <w:color w:val="000000"/>
          <w:lang w:eastAsia="en-AU"/>
        </w:rPr>
        <w:t xml:space="preserve"> Health Care and Social Assistance</w:t>
      </w:r>
      <w:r>
        <w:rPr>
          <w:rFonts w:ascii="Calibri" w:eastAsia="Times New Roman" w:hAnsi="Calibri"/>
          <w:color w:val="000000"/>
          <w:lang w:eastAsia="en-AU"/>
        </w:rPr>
        <w:t xml:space="preserve">, </w:t>
      </w:r>
      <w:r w:rsidRPr="00DF068F">
        <w:rPr>
          <w:rFonts w:ascii="Calibri" w:eastAsia="Times New Roman" w:hAnsi="Calibri"/>
          <w:color w:val="000000"/>
          <w:lang w:eastAsia="en-AU"/>
        </w:rPr>
        <w:t>Arts and Recreation Services</w:t>
      </w:r>
      <w:r>
        <w:rPr>
          <w:rFonts w:ascii="Calibri" w:eastAsia="Times New Roman" w:hAnsi="Calibri"/>
          <w:color w:val="000000"/>
          <w:lang w:eastAsia="en-AU"/>
        </w:rPr>
        <w:t xml:space="preserve"> and Other Services.</w:t>
      </w:r>
    </w:p>
    <w:p w14:paraId="4CD602D5" w14:textId="77777777" w:rsidR="00A86BEC" w:rsidRDefault="00A86BEC" w:rsidP="00884F1A">
      <w:pPr>
        <w:pStyle w:val="FootnoteText"/>
      </w:pPr>
    </w:p>
  </w:footnote>
  <w:footnote w:id="8">
    <w:p w14:paraId="7432FB2B" w14:textId="77777777" w:rsidR="00A86BEC" w:rsidRDefault="00A86BEC" w:rsidP="00A379D5">
      <w:pPr>
        <w:pStyle w:val="FootnoteText"/>
      </w:pPr>
      <w:r w:rsidRPr="00B06B1A">
        <w:rPr>
          <w:rStyle w:val="FootnoteReference"/>
          <w:rFonts w:cstheme="minorHAnsi"/>
        </w:rPr>
        <w:footnoteRef/>
      </w:r>
      <w:r w:rsidRPr="00B06B1A">
        <w:rPr>
          <w:rFonts w:cstheme="minorHAnsi"/>
        </w:rPr>
        <w:t xml:space="preserve"> SA Industry Advocate is responsible for the SA Aboriginal Business Directory </w:t>
      </w:r>
      <w:hyperlink r:id="rId6" w:history="1">
        <w:r w:rsidRPr="00B06B1A">
          <w:rPr>
            <w:rStyle w:val="Hyperlink"/>
            <w:rFonts w:cstheme="minorHAnsi"/>
          </w:rPr>
          <w:t>https://industryadvocate.sa.gov.au/aboriginal-business-register/</w:t>
        </w:r>
      </w:hyperlink>
    </w:p>
  </w:footnote>
  <w:footnote w:id="9">
    <w:p w14:paraId="651EA96A" w14:textId="77777777" w:rsidR="00A86BEC" w:rsidRPr="00251EF9" w:rsidRDefault="00A86BEC" w:rsidP="00A379D5">
      <w:pPr>
        <w:pStyle w:val="FootnoteText"/>
        <w:rPr>
          <w:lang w:val="en-US"/>
        </w:rPr>
      </w:pPr>
      <w:r>
        <w:rPr>
          <w:rStyle w:val="FootnoteReference"/>
        </w:rPr>
        <w:footnoteRef/>
      </w:r>
      <w:r>
        <w:t xml:space="preserve"> </w:t>
      </w:r>
      <w:r>
        <w:rPr>
          <w:lang w:val="en-US"/>
        </w:rPr>
        <w:t>This involves removing commas, hyphens, text between parentheses, changing ‘and’ to ‘&amp;’, removing leading and trailing spaces, removing quotation marks, removing indicators of business type (such as Ltd., Corp. etc.) and removing punctuation.</w:t>
      </w:r>
    </w:p>
  </w:footnote>
  <w:footnote w:id="10">
    <w:p w14:paraId="5BDF06A7" w14:textId="77777777" w:rsidR="00A86BEC" w:rsidRPr="00925E39" w:rsidRDefault="00A86BEC" w:rsidP="00A379D5">
      <w:pPr>
        <w:pStyle w:val="FootnoteText"/>
        <w:rPr>
          <w:lang w:val="en-US"/>
        </w:rPr>
      </w:pPr>
      <w:r>
        <w:rPr>
          <w:rStyle w:val="FootnoteReference"/>
        </w:rPr>
        <w:footnoteRef/>
      </w:r>
      <w:r>
        <w:t xml:space="preserve"> An alternative way to link the data is through probabilistic matching. In this case, businesses would be linked on the basis of the likelihood that the business registry information belongs to a business in BLADE (e.g. based on a combination of common name and location).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A2271"/>
    <w:multiLevelType w:val="hybridMultilevel"/>
    <w:tmpl w:val="F04C5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0FB29B4"/>
    <w:multiLevelType w:val="hybridMultilevel"/>
    <w:tmpl w:val="EFB81E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144366"/>
    <w:multiLevelType w:val="hybridMultilevel"/>
    <w:tmpl w:val="EEC498B4"/>
    <w:lvl w:ilvl="0" w:tplc="661CD13E">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75D791B"/>
    <w:multiLevelType w:val="hybridMultilevel"/>
    <w:tmpl w:val="D2905BF0"/>
    <w:lvl w:ilvl="0" w:tplc="CC1CEFFA">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1E5972"/>
    <w:multiLevelType w:val="hybridMultilevel"/>
    <w:tmpl w:val="691CCA2E"/>
    <w:lvl w:ilvl="0" w:tplc="8CCCF9C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02A2D34"/>
    <w:multiLevelType w:val="hybridMultilevel"/>
    <w:tmpl w:val="CB82C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BE75E3"/>
    <w:multiLevelType w:val="hybridMultilevel"/>
    <w:tmpl w:val="C44AFFE2"/>
    <w:lvl w:ilvl="0" w:tplc="8CCCF9C8">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0C41D62"/>
    <w:multiLevelType w:val="multilevel"/>
    <w:tmpl w:val="D228F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A66C48"/>
    <w:multiLevelType w:val="hybridMultilevel"/>
    <w:tmpl w:val="8CE6FE6A"/>
    <w:lvl w:ilvl="0" w:tplc="59044E7E">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B57440"/>
    <w:multiLevelType w:val="hybridMultilevel"/>
    <w:tmpl w:val="26E21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8E0788"/>
    <w:multiLevelType w:val="hybridMultilevel"/>
    <w:tmpl w:val="3D6CC1FE"/>
    <w:lvl w:ilvl="0" w:tplc="74404EBE">
      <w:start w:val="1"/>
      <w:numFmt w:val="bullet"/>
      <w:lvlText w:val="-"/>
      <w:lvlJc w:val="left"/>
      <w:pPr>
        <w:ind w:left="720" w:hanging="360"/>
      </w:pPr>
      <w:rPr>
        <w:rFonts w:ascii="Times New Roman" w:eastAsiaTheme="minorHAnsi"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30025E1"/>
    <w:multiLevelType w:val="hybridMultilevel"/>
    <w:tmpl w:val="39B8CD8C"/>
    <w:lvl w:ilvl="0" w:tplc="8CCCF9C8">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A7F2ABF"/>
    <w:multiLevelType w:val="hybridMultilevel"/>
    <w:tmpl w:val="22E07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C36902"/>
    <w:multiLevelType w:val="hybridMultilevel"/>
    <w:tmpl w:val="A1E45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D4A63BF"/>
    <w:multiLevelType w:val="hybridMultilevel"/>
    <w:tmpl w:val="AFA4D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800035"/>
    <w:multiLevelType w:val="hybridMultilevel"/>
    <w:tmpl w:val="2C3E9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62C02579"/>
    <w:multiLevelType w:val="hybridMultilevel"/>
    <w:tmpl w:val="9F96BAB0"/>
    <w:lvl w:ilvl="0" w:tplc="C8169DF8">
      <w:start w:val="1"/>
      <w:numFmt w:val="bullet"/>
      <w:lvlText w:val="-"/>
      <w:lvlJc w:val="left"/>
      <w:pPr>
        <w:ind w:left="720" w:hanging="360"/>
      </w:pPr>
      <w:rPr>
        <w:rFonts w:ascii="Times New Roman" w:eastAsiaTheme="minorHAnsi" w:hAnsi="Times New Roman"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6214DB6"/>
    <w:multiLevelType w:val="hybridMultilevel"/>
    <w:tmpl w:val="4C745D40"/>
    <w:lvl w:ilvl="0" w:tplc="C8CCEC70">
      <w:start w:val="1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320A60"/>
    <w:multiLevelType w:val="hybridMultilevel"/>
    <w:tmpl w:val="0DB2B1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
  </w:num>
  <w:num w:numId="4">
    <w:abstractNumId w:val="0"/>
  </w:num>
  <w:num w:numId="5">
    <w:abstractNumId w:val="3"/>
  </w:num>
  <w:num w:numId="6">
    <w:abstractNumId w:val="17"/>
  </w:num>
  <w:num w:numId="7">
    <w:abstractNumId w:val="13"/>
  </w:num>
  <w:num w:numId="8">
    <w:abstractNumId w:val="12"/>
  </w:num>
  <w:num w:numId="9">
    <w:abstractNumId w:val="14"/>
  </w:num>
  <w:num w:numId="10">
    <w:abstractNumId w:val="5"/>
  </w:num>
  <w:num w:numId="11">
    <w:abstractNumId w:val="9"/>
  </w:num>
  <w:num w:numId="12">
    <w:abstractNumId w:val="18"/>
  </w:num>
  <w:num w:numId="13">
    <w:abstractNumId w:val="2"/>
  </w:num>
  <w:num w:numId="14">
    <w:abstractNumId w:val="11"/>
  </w:num>
  <w:num w:numId="15">
    <w:abstractNumId w:val="10"/>
  </w:num>
  <w:num w:numId="16">
    <w:abstractNumId w:val="16"/>
  </w:num>
  <w:num w:numId="17">
    <w:abstractNumId w:val="6"/>
  </w:num>
  <w:num w:numId="18">
    <w:abstractNumId w:val="7"/>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141"/>
    <w:rsid w:val="00000DAC"/>
    <w:rsid w:val="00001BE4"/>
    <w:rsid w:val="00002756"/>
    <w:rsid w:val="000029B7"/>
    <w:rsid w:val="00003AA2"/>
    <w:rsid w:val="00004134"/>
    <w:rsid w:val="000042F4"/>
    <w:rsid w:val="00004A61"/>
    <w:rsid w:val="00005302"/>
    <w:rsid w:val="0000554A"/>
    <w:rsid w:val="00010336"/>
    <w:rsid w:val="000110E0"/>
    <w:rsid w:val="00011B3B"/>
    <w:rsid w:val="0001261E"/>
    <w:rsid w:val="00012BE1"/>
    <w:rsid w:val="0001315D"/>
    <w:rsid w:val="000132A5"/>
    <w:rsid w:val="00013365"/>
    <w:rsid w:val="00013C44"/>
    <w:rsid w:val="000146C1"/>
    <w:rsid w:val="0001580D"/>
    <w:rsid w:val="00020CA3"/>
    <w:rsid w:val="00020EFD"/>
    <w:rsid w:val="00021446"/>
    <w:rsid w:val="00021C86"/>
    <w:rsid w:val="000225EA"/>
    <w:rsid w:val="00023592"/>
    <w:rsid w:val="00023DA4"/>
    <w:rsid w:val="00024F1E"/>
    <w:rsid w:val="00025F2E"/>
    <w:rsid w:val="00026E3E"/>
    <w:rsid w:val="00027A11"/>
    <w:rsid w:val="00027DE6"/>
    <w:rsid w:val="00030267"/>
    <w:rsid w:val="00030336"/>
    <w:rsid w:val="000308D2"/>
    <w:rsid w:val="00030D3D"/>
    <w:rsid w:val="0003198E"/>
    <w:rsid w:val="000319AE"/>
    <w:rsid w:val="00031E33"/>
    <w:rsid w:val="00031FDE"/>
    <w:rsid w:val="000320BD"/>
    <w:rsid w:val="000323C9"/>
    <w:rsid w:val="000349CB"/>
    <w:rsid w:val="00035694"/>
    <w:rsid w:val="0003675F"/>
    <w:rsid w:val="00037C3D"/>
    <w:rsid w:val="000412D8"/>
    <w:rsid w:val="000419E5"/>
    <w:rsid w:val="00041B6A"/>
    <w:rsid w:val="000429B8"/>
    <w:rsid w:val="0004578F"/>
    <w:rsid w:val="0005045F"/>
    <w:rsid w:val="00050D59"/>
    <w:rsid w:val="00050EC2"/>
    <w:rsid w:val="00051559"/>
    <w:rsid w:val="00051B33"/>
    <w:rsid w:val="00052D86"/>
    <w:rsid w:val="00053FE9"/>
    <w:rsid w:val="00054364"/>
    <w:rsid w:val="00054898"/>
    <w:rsid w:val="0005490C"/>
    <w:rsid w:val="000558DF"/>
    <w:rsid w:val="00057995"/>
    <w:rsid w:val="00060899"/>
    <w:rsid w:val="00060E35"/>
    <w:rsid w:val="00060F13"/>
    <w:rsid w:val="00061090"/>
    <w:rsid w:val="00061EFD"/>
    <w:rsid w:val="00063103"/>
    <w:rsid w:val="0006314D"/>
    <w:rsid w:val="000634FD"/>
    <w:rsid w:val="00063D61"/>
    <w:rsid w:val="00064F0D"/>
    <w:rsid w:val="000653D1"/>
    <w:rsid w:val="00065863"/>
    <w:rsid w:val="00066470"/>
    <w:rsid w:val="00066CF9"/>
    <w:rsid w:val="0007098F"/>
    <w:rsid w:val="000717AA"/>
    <w:rsid w:val="0007297D"/>
    <w:rsid w:val="000733B5"/>
    <w:rsid w:val="00073727"/>
    <w:rsid w:val="000737B4"/>
    <w:rsid w:val="00073A0E"/>
    <w:rsid w:val="000756B6"/>
    <w:rsid w:val="00075B62"/>
    <w:rsid w:val="000762E9"/>
    <w:rsid w:val="000774E4"/>
    <w:rsid w:val="00080845"/>
    <w:rsid w:val="000814C6"/>
    <w:rsid w:val="00082715"/>
    <w:rsid w:val="00082F0A"/>
    <w:rsid w:val="0008604A"/>
    <w:rsid w:val="000861DE"/>
    <w:rsid w:val="00090E0C"/>
    <w:rsid w:val="00091419"/>
    <w:rsid w:val="00091879"/>
    <w:rsid w:val="00092297"/>
    <w:rsid w:val="00093D16"/>
    <w:rsid w:val="000945B7"/>
    <w:rsid w:val="0009625E"/>
    <w:rsid w:val="000965A9"/>
    <w:rsid w:val="00096E6F"/>
    <w:rsid w:val="00096EAC"/>
    <w:rsid w:val="000A2422"/>
    <w:rsid w:val="000A2BF3"/>
    <w:rsid w:val="000A2D4B"/>
    <w:rsid w:val="000A33F4"/>
    <w:rsid w:val="000A3A67"/>
    <w:rsid w:val="000A3E03"/>
    <w:rsid w:val="000A7215"/>
    <w:rsid w:val="000A7E66"/>
    <w:rsid w:val="000B03E0"/>
    <w:rsid w:val="000B2A09"/>
    <w:rsid w:val="000B2BF0"/>
    <w:rsid w:val="000B2CFE"/>
    <w:rsid w:val="000B36DB"/>
    <w:rsid w:val="000B3BF6"/>
    <w:rsid w:val="000B41DF"/>
    <w:rsid w:val="000B6808"/>
    <w:rsid w:val="000B7066"/>
    <w:rsid w:val="000C053E"/>
    <w:rsid w:val="000C1319"/>
    <w:rsid w:val="000C189A"/>
    <w:rsid w:val="000C20F1"/>
    <w:rsid w:val="000C2A86"/>
    <w:rsid w:val="000C3BFE"/>
    <w:rsid w:val="000C77CE"/>
    <w:rsid w:val="000C7DA9"/>
    <w:rsid w:val="000D0560"/>
    <w:rsid w:val="000D1DA9"/>
    <w:rsid w:val="000D24E5"/>
    <w:rsid w:val="000D4324"/>
    <w:rsid w:val="000E03F5"/>
    <w:rsid w:val="000E0D58"/>
    <w:rsid w:val="000E0FB5"/>
    <w:rsid w:val="000E12CB"/>
    <w:rsid w:val="000E149D"/>
    <w:rsid w:val="000E1A6E"/>
    <w:rsid w:val="000E1B52"/>
    <w:rsid w:val="000E24D8"/>
    <w:rsid w:val="000E28BF"/>
    <w:rsid w:val="000E29E2"/>
    <w:rsid w:val="000E3040"/>
    <w:rsid w:val="000E3284"/>
    <w:rsid w:val="000E3806"/>
    <w:rsid w:val="000E3D1C"/>
    <w:rsid w:val="000E3D72"/>
    <w:rsid w:val="000E535F"/>
    <w:rsid w:val="000E61D9"/>
    <w:rsid w:val="000E634F"/>
    <w:rsid w:val="000E75BA"/>
    <w:rsid w:val="000E75DC"/>
    <w:rsid w:val="000E785B"/>
    <w:rsid w:val="000E7C54"/>
    <w:rsid w:val="000F03B2"/>
    <w:rsid w:val="000F09BD"/>
    <w:rsid w:val="000F0CBD"/>
    <w:rsid w:val="000F10E2"/>
    <w:rsid w:val="000F15D9"/>
    <w:rsid w:val="000F1B52"/>
    <w:rsid w:val="000F1BCC"/>
    <w:rsid w:val="000F2284"/>
    <w:rsid w:val="000F2356"/>
    <w:rsid w:val="000F3127"/>
    <w:rsid w:val="000F5484"/>
    <w:rsid w:val="000F54EC"/>
    <w:rsid w:val="000F5820"/>
    <w:rsid w:val="000F598E"/>
    <w:rsid w:val="000F7480"/>
    <w:rsid w:val="00102470"/>
    <w:rsid w:val="00102BFC"/>
    <w:rsid w:val="00102CD9"/>
    <w:rsid w:val="00103425"/>
    <w:rsid w:val="00103461"/>
    <w:rsid w:val="0010360C"/>
    <w:rsid w:val="00103865"/>
    <w:rsid w:val="00105ADD"/>
    <w:rsid w:val="00106047"/>
    <w:rsid w:val="00106188"/>
    <w:rsid w:val="00111617"/>
    <w:rsid w:val="00111C64"/>
    <w:rsid w:val="00111E44"/>
    <w:rsid w:val="00112965"/>
    <w:rsid w:val="00113620"/>
    <w:rsid w:val="001145FC"/>
    <w:rsid w:val="00115221"/>
    <w:rsid w:val="00115287"/>
    <w:rsid w:val="00117CB1"/>
    <w:rsid w:val="00117DF3"/>
    <w:rsid w:val="001210CD"/>
    <w:rsid w:val="001218E2"/>
    <w:rsid w:val="001218F4"/>
    <w:rsid w:val="00121F89"/>
    <w:rsid w:val="00122DA6"/>
    <w:rsid w:val="00122DFD"/>
    <w:rsid w:val="00123137"/>
    <w:rsid w:val="0012459B"/>
    <w:rsid w:val="00124B77"/>
    <w:rsid w:val="00125219"/>
    <w:rsid w:val="00126E63"/>
    <w:rsid w:val="001307DF"/>
    <w:rsid w:val="00130D40"/>
    <w:rsid w:val="00133014"/>
    <w:rsid w:val="00133CD6"/>
    <w:rsid w:val="00135141"/>
    <w:rsid w:val="0013638E"/>
    <w:rsid w:val="00137628"/>
    <w:rsid w:val="00137B01"/>
    <w:rsid w:val="00141A45"/>
    <w:rsid w:val="00142102"/>
    <w:rsid w:val="00142E90"/>
    <w:rsid w:val="001444E7"/>
    <w:rsid w:val="00145B16"/>
    <w:rsid w:val="00145EE5"/>
    <w:rsid w:val="00146C7B"/>
    <w:rsid w:val="00146EBD"/>
    <w:rsid w:val="00152146"/>
    <w:rsid w:val="00152AE2"/>
    <w:rsid w:val="0015310B"/>
    <w:rsid w:val="00153566"/>
    <w:rsid w:val="0015387B"/>
    <w:rsid w:val="00154315"/>
    <w:rsid w:val="00154563"/>
    <w:rsid w:val="0015694F"/>
    <w:rsid w:val="00156E1D"/>
    <w:rsid w:val="00157014"/>
    <w:rsid w:val="001574F4"/>
    <w:rsid w:val="0015765D"/>
    <w:rsid w:val="00160050"/>
    <w:rsid w:val="00160F5F"/>
    <w:rsid w:val="00161526"/>
    <w:rsid w:val="00162512"/>
    <w:rsid w:val="00162F4B"/>
    <w:rsid w:val="00164412"/>
    <w:rsid w:val="00164AC8"/>
    <w:rsid w:val="00166928"/>
    <w:rsid w:val="00166E84"/>
    <w:rsid w:val="00167501"/>
    <w:rsid w:val="00167669"/>
    <w:rsid w:val="00171308"/>
    <w:rsid w:val="0017282D"/>
    <w:rsid w:val="00172F16"/>
    <w:rsid w:val="0017403E"/>
    <w:rsid w:val="0017430C"/>
    <w:rsid w:val="00176267"/>
    <w:rsid w:val="001778FF"/>
    <w:rsid w:val="00177943"/>
    <w:rsid w:val="00177C1D"/>
    <w:rsid w:val="0018016C"/>
    <w:rsid w:val="00180ACD"/>
    <w:rsid w:val="0018198C"/>
    <w:rsid w:val="00181A05"/>
    <w:rsid w:val="00182036"/>
    <w:rsid w:val="00182E48"/>
    <w:rsid w:val="001833C0"/>
    <w:rsid w:val="001837BF"/>
    <w:rsid w:val="00190344"/>
    <w:rsid w:val="00190AC6"/>
    <w:rsid w:val="00192724"/>
    <w:rsid w:val="00194B8C"/>
    <w:rsid w:val="00196F20"/>
    <w:rsid w:val="00197C95"/>
    <w:rsid w:val="001A026A"/>
    <w:rsid w:val="001A0702"/>
    <w:rsid w:val="001A17F3"/>
    <w:rsid w:val="001A1997"/>
    <w:rsid w:val="001A1A82"/>
    <w:rsid w:val="001A21D3"/>
    <w:rsid w:val="001A24CD"/>
    <w:rsid w:val="001A285E"/>
    <w:rsid w:val="001A3724"/>
    <w:rsid w:val="001A386C"/>
    <w:rsid w:val="001A44E5"/>
    <w:rsid w:val="001A563E"/>
    <w:rsid w:val="001B1469"/>
    <w:rsid w:val="001B1B75"/>
    <w:rsid w:val="001B254E"/>
    <w:rsid w:val="001B28B1"/>
    <w:rsid w:val="001B2BC3"/>
    <w:rsid w:val="001B2E2E"/>
    <w:rsid w:val="001B51E4"/>
    <w:rsid w:val="001B528E"/>
    <w:rsid w:val="001B5B8E"/>
    <w:rsid w:val="001B5D73"/>
    <w:rsid w:val="001B628A"/>
    <w:rsid w:val="001B62B7"/>
    <w:rsid w:val="001C2DFE"/>
    <w:rsid w:val="001C33ED"/>
    <w:rsid w:val="001C3691"/>
    <w:rsid w:val="001C3EAA"/>
    <w:rsid w:val="001C41E3"/>
    <w:rsid w:val="001C5333"/>
    <w:rsid w:val="001C5A44"/>
    <w:rsid w:val="001C5AB8"/>
    <w:rsid w:val="001C7703"/>
    <w:rsid w:val="001C7944"/>
    <w:rsid w:val="001C79A7"/>
    <w:rsid w:val="001C7A52"/>
    <w:rsid w:val="001C7A5A"/>
    <w:rsid w:val="001D0318"/>
    <w:rsid w:val="001D068E"/>
    <w:rsid w:val="001D1082"/>
    <w:rsid w:val="001D15A7"/>
    <w:rsid w:val="001D1C20"/>
    <w:rsid w:val="001D262E"/>
    <w:rsid w:val="001D3588"/>
    <w:rsid w:val="001D35EF"/>
    <w:rsid w:val="001D3C45"/>
    <w:rsid w:val="001D68AD"/>
    <w:rsid w:val="001D68FC"/>
    <w:rsid w:val="001D7F0F"/>
    <w:rsid w:val="001E0A77"/>
    <w:rsid w:val="001E1397"/>
    <w:rsid w:val="001E1777"/>
    <w:rsid w:val="001E1C11"/>
    <w:rsid w:val="001E34D9"/>
    <w:rsid w:val="001E45EE"/>
    <w:rsid w:val="001E4F4C"/>
    <w:rsid w:val="001E50A9"/>
    <w:rsid w:val="001E71FE"/>
    <w:rsid w:val="001F0137"/>
    <w:rsid w:val="001F1078"/>
    <w:rsid w:val="001F114C"/>
    <w:rsid w:val="001F22A2"/>
    <w:rsid w:val="001F2499"/>
    <w:rsid w:val="001F2840"/>
    <w:rsid w:val="001F378C"/>
    <w:rsid w:val="001F387F"/>
    <w:rsid w:val="001F610D"/>
    <w:rsid w:val="001F6F95"/>
    <w:rsid w:val="001F706F"/>
    <w:rsid w:val="001F7AFB"/>
    <w:rsid w:val="002000C5"/>
    <w:rsid w:val="002001AB"/>
    <w:rsid w:val="00203280"/>
    <w:rsid w:val="002045D9"/>
    <w:rsid w:val="00204DC2"/>
    <w:rsid w:val="002073B5"/>
    <w:rsid w:val="00211939"/>
    <w:rsid w:val="002124FF"/>
    <w:rsid w:val="00212FBE"/>
    <w:rsid w:val="00213E9B"/>
    <w:rsid w:val="00214890"/>
    <w:rsid w:val="00215190"/>
    <w:rsid w:val="00222C1E"/>
    <w:rsid w:val="00223733"/>
    <w:rsid w:val="00223F29"/>
    <w:rsid w:val="00223FAA"/>
    <w:rsid w:val="002246E1"/>
    <w:rsid w:val="002262F5"/>
    <w:rsid w:val="00226959"/>
    <w:rsid w:val="00226B67"/>
    <w:rsid w:val="00226FA8"/>
    <w:rsid w:val="0022718E"/>
    <w:rsid w:val="002317F6"/>
    <w:rsid w:val="002323CA"/>
    <w:rsid w:val="00232DFB"/>
    <w:rsid w:val="0023332A"/>
    <w:rsid w:val="00234942"/>
    <w:rsid w:val="0023520A"/>
    <w:rsid w:val="00235277"/>
    <w:rsid w:val="00235637"/>
    <w:rsid w:val="00236C78"/>
    <w:rsid w:val="002413F8"/>
    <w:rsid w:val="0024265F"/>
    <w:rsid w:val="00242E71"/>
    <w:rsid w:val="0024356A"/>
    <w:rsid w:val="00243A04"/>
    <w:rsid w:val="002441DF"/>
    <w:rsid w:val="00244991"/>
    <w:rsid w:val="00244DB1"/>
    <w:rsid w:val="0024726D"/>
    <w:rsid w:val="00247808"/>
    <w:rsid w:val="00247DC2"/>
    <w:rsid w:val="00250737"/>
    <w:rsid w:val="002508F1"/>
    <w:rsid w:val="00250E25"/>
    <w:rsid w:val="00251FB4"/>
    <w:rsid w:val="0025212B"/>
    <w:rsid w:val="0025223E"/>
    <w:rsid w:val="00252972"/>
    <w:rsid w:val="002538DF"/>
    <w:rsid w:val="002541B2"/>
    <w:rsid w:val="0025425F"/>
    <w:rsid w:val="00254A4A"/>
    <w:rsid w:val="00254AE5"/>
    <w:rsid w:val="002558AC"/>
    <w:rsid w:val="0025763C"/>
    <w:rsid w:val="00257653"/>
    <w:rsid w:val="00257695"/>
    <w:rsid w:val="00257A90"/>
    <w:rsid w:val="00257FE5"/>
    <w:rsid w:val="00260E7F"/>
    <w:rsid w:val="00262600"/>
    <w:rsid w:val="0026363A"/>
    <w:rsid w:val="0026393F"/>
    <w:rsid w:val="00264CF4"/>
    <w:rsid w:val="002655C0"/>
    <w:rsid w:val="00266106"/>
    <w:rsid w:val="00266AED"/>
    <w:rsid w:val="00266E4F"/>
    <w:rsid w:val="002709CF"/>
    <w:rsid w:val="00270A35"/>
    <w:rsid w:val="00271856"/>
    <w:rsid w:val="00272E7C"/>
    <w:rsid w:val="00273212"/>
    <w:rsid w:val="00273E03"/>
    <w:rsid w:val="0027532C"/>
    <w:rsid w:val="002761A7"/>
    <w:rsid w:val="0028088C"/>
    <w:rsid w:val="00281016"/>
    <w:rsid w:val="00282506"/>
    <w:rsid w:val="00283FBD"/>
    <w:rsid w:val="00285CDE"/>
    <w:rsid w:val="00285ED5"/>
    <w:rsid w:val="0028696D"/>
    <w:rsid w:val="002872D0"/>
    <w:rsid w:val="00287599"/>
    <w:rsid w:val="00287A72"/>
    <w:rsid w:val="00290BF4"/>
    <w:rsid w:val="002930D1"/>
    <w:rsid w:val="00293AF1"/>
    <w:rsid w:val="002956DF"/>
    <w:rsid w:val="00296C7B"/>
    <w:rsid w:val="00297874"/>
    <w:rsid w:val="002A0601"/>
    <w:rsid w:val="002A2014"/>
    <w:rsid w:val="002A5D8F"/>
    <w:rsid w:val="002A62B4"/>
    <w:rsid w:val="002A664A"/>
    <w:rsid w:val="002A6FB8"/>
    <w:rsid w:val="002A708E"/>
    <w:rsid w:val="002A7F79"/>
    <w:rsid w:val="002B0010"/>
    <w:rsid w:val="002B0F12"/>
    <w:rsid w:val="002B12A1"/>
    <w:rsid w:val="002B140E"/>
    <w:rsid w:val="002B1666"/>
    <w:rsid w:val="002B296D"/>
    <w:rsid w:val="002B3CAC"/>
    <w:rsid w:val="002B4763"/>
    <w:rsid w:val="002B4B63"/>
    <w:rsid w:val="002B5D61"/>
    <w:rsid w:val="002B721C"/>
    <w:rsid w:val="002B748B"/>
    <w:rsid w:val="002C29A6"/>
    <w:rsid w:val="002C4A60"/>
    <w:rsid w:val="002C4DB0"/>
    <w:rsid w:val="002C5F0F"/>
    <w:rsid w:val="002C67B1"/>
    <w:rsid w:val="002C6E23"/>
    <w:rsid w:val="002C6F69"/>
    <w:rsid w:val="002C70F9"/>
    <w:rsid w:val="002D109B"/>
    <w:rsid w:val="002D179D"/>
    <w:rsid w:val="002D2B97"/>
    <w:rsid w:val="002D3116"/>
    <w:rsid w:val="002D439C"/>
    <w:rsid w:val="002D551D"/>
    <w:rsid w:val="002D5761"/>
    <w:rsid w:val="002D65A0"/>
    <w:rsid w:val="002D6E86"/>
    <w:rsid w:val="002E0245"/>
    <w:rsid w:val="002E08B5"/>
    <w:rsid w:val="002E157B"/>
    <w:rsid w:val="002E2464"/>
    <w:rsid w:val="002E3F15"/>
    <w:rsid w:val="002E3F48"/>
    <w:rsid w:val="002E448A"/>
    <w:rsid w:val="002E4CEC"/>
    <w:rsid w:val="002E50AF"/>
    <w:rsid w:val="002E5AB6"/>
    <w:rsid w:val="002E5C52"/>
    <w:rsid w:val="002E60DB"/>
    <w:rsid w:val="002E6762"/>
    <w:rsid w:val="002F0A39"/>
    <w:rsid w:val="002F0D2F"/>
    <w:rsid w:val="002F1458"/>
    <w:rsid w:val="002F2610"/>
    <w:rsid w:val="002F2BDE"/>
    <w:rsid w:val="002F3ABD"/>
    <w:rsid w:val="002F3CAA"/>
    <w:rsid w:val="002F41CD"/>
    <w:rsid w:val="002F5378"/>
    <w:rsid w:val="002F6AC5"/>
    <w:rsid w:val="002F6B56"/>
    <w:rsid w:val="003001A1"/>
    <w:rsid w:val="003029FC"/>
    <w:rsid w:val="00302AA6"/>
    <w:rsid w:val="0030301B"/>
    <w:rsid w:val="00303240"/>
    <w:rsid w:val="00303BA4"/>
    <w:rsid w:val="00303ECA"/>
    <w:rsid w:val="00305CA3"/>
    <w:rsid w:val="00306AA6"/>
    <w:rsid w:val="003078CD"/>
    <w:rsid w:val="00307D21"/>
    <w:rsid w:val="00310143"/>
    <w:rsid w:val="0031029B"/>
    <w:rsid w:val="003104EB"/>
    <w:rsid w:val="00310DAA"/>
    <w:rsid w:val="003126AA"/>
    <w:rsid w:val="003139F5"/>
    <w:rsid w:val="00315408"/>
    <w:rsid w:val="00315A3F"/>
    <w:rsid w:val="003163A9"/>
    <w:rsid w:val="00317DBF"/>
    <w:rsid w:val="00320A8B"/>
    <w:rsid w:val="00320C0E"/>
    <w:rsid w:val="003219FE"/>
    <w:rsid w:val="00323C79"/>
    <w:rsid w:val="003248B0"/>
    <w:rsid w:val="00324F8E"/>
    <w:rsid w:val="0032651F"/>
    <w:rsid w:val="00326A43"/>
    <w:rsid w:val="003277BC"/>
    <w:rsid w:val="003307CC"/>
    <w:rsid w:val="003308C2"/>
    <w:rsid w:val="00330FAD"/>
    <w:rsid w:val="0033179C"/>
    <w:rsid w:val="00332024"/>
    <w:rsid w:val="00332263"/>
    <w:rsid w:val="003323F9"/>
    <w:rsid w:val="0033255A"/>
    <w:rsid w:val="0033408E"/>
    <w:rsid w:val="00335A99"/>
    <w:rsid w:val="00337D31"/>
    <w:rsid w:val="00341DCB"/>
    <w:rsid w:val="00344325"/>
    <w:rsid w:val="00344601"/>
    <w:rsid w:val="0034504F"/>
    <w:rsid w:val="00346066"/>
    <w:rsid w:val="00347490"/>
    <w:rsid w:val="003474E6"/>
    <w:rsid w:val="003506A8"/>
    <w:rsid w:val="00350844"/>
    <w:rsid w:val="00351310"/>
    <w:rsid w:val="00353EAB"/>
    <w:rsid w:val="00354B40"/>
    <w:rsid w:val="00355332"/>
    <w:rsid w:val="00356589"/>
    <w:rsid w:val="00356D82"/>
    <w:rsid w:val="003601FA"/>
    <w:rsid w:val="0036064F"/>
    <w:rsid w:val="003615FF"/>
    <w:rsid w:val="00361743"/>
    <w:rsid w:val="003620D3"/>
    <w:rsid w:val="0036243B"/>
    <w:rsid w:val="003624E3"/>
    <w:rsid w:val="00363308"/>
    <w:rsid w:val="00363A92"/>
    <w:rsid w:val="0036463C"/>
    <w:rsid w:val="00366ABD"/>
    <w:rsid w:val="003673C6"/>
    <w:rsid w:val="003676BE"/>
    <w:rsid w:val="00367E99"/>
    <w:rsid w:val="00367EE0"/>
    <w:rsid w:val="0037054B"/>
    <w:rsid w:val="00370D06"/>
    <w:rsid w:val="0037178E"/>
    <w:rsid w:val="003717B8"/>
    <w:rsid w:val="003719AA"/>
    <w:rsid w:val="00372FA7"/>
    <w:rsid w:val="00373FEC"/>
    <w:rsid w:val="00374E54"/>
    <w:rsid w:val="00375E4F"/>
    <w:rsid w:val="00376C23"/>
    <w:rsid w:val="00377635"/>
    <w:rsid w:val="00377E7A"/>
    <w:rsid w:val="00380800"/>
    <w:rsid w:val="00380969"/>
    <w:rsid w:val="00380E21"/>
    <w:rsid w:val="003815EB"/>
    <w:rsid w:val="003841A0"/>
    <w:rsid w:val="003847B9"/>
    <w:rsid w:val="00384D40"/>
    <w:rsid w:val="00385751"/>
    <w:rsid w:val="003861A7"/>
    <w:rsid w:val="003874CF"/>
    <w:rsid w:val="00391D30"/>
    <w:rsid w:val="003924F7"/>
    <w:rsid w:val="00394CA1"/>
    <w:rsid w:val="003957CE"/>
    <w:rsid w:val="00395806"/>
    <w:rsid w:val="00395FD1"/>
    <w:rsid w:val="003970CC"/>
    <w:rsid w:val="00397419"/>
    <w:rsid w:val="0039773D"/>
    <w:rsid w:val="003A24B5"/>
    <w:rsid w:val="003A289E"/>
    <w:rsid w:val="003A2BD1"/>
    <w:rsid w:val="003A2C2A"/>
    <w:rsid w:val="003A475D"/>
    <w:rsid w:val="003A63EE"/>
    <w:rsid w:val="003A6435"/>
    <w:rsid w:val="003A717D"/>
    <w:rsid w:val="003A7809"/>
    <w:rsid w:val="003B07D1"/>
    <w:rsid w:val="003B1261"/>
    <w:rsid w:val="003B1439"/>
    <w:rsid w:val="003B1FD4"/>
    <w:rsid w:val="003B2327"/>
    <w:rsid w:val="003B3D21"/>
    <w:rsid w:val="003B3F20"/>
    <w:rsid w:val="003B407D"/>
    <w:rsid w:val="003B6D49"/>
    <w:rsid w:val="003B796A"/>
    <w:rsid w:val="003C046C"/>
    <w:rsid w:val="003C1714"/>
    <w:rsid w:val="003C1CB2"/>
    <w:rsid w:val="003C2607"/>
    <w:rsid w:val="003C33BA"/>
    <w:rsid w:val="003C3E38"/>
    <w:rsid w:val="003C3E98"/>
    <w:rsid w:val="003C3ECB"/>
    <w:rsid w:val="003C4458"/>
    <w:rsid w:val="003C55F7"/>
    <w:rsid w:val="003C6EE7"/>
    <w:rsid w:val="003C759E"/>
    <w:rsid w:val="003D05B4"/>
    <w:rsid w:val="003D065B"/>
    <w:rsid w:val="003D11DA"/>
    <w:rsid w:val="003D24B5"/>
    <w:rsid w:val="003D333A"/>
    <w:rsid w:val="003D3597"/>
    <w:rsid w:val="003D45E4"/>
    <w:rsid w:val="003D6292"/>
    <w:rsid w:val="003D6537"/>
    <w:rsid w:val="003D759C"/>
    <w:rsid w:val="003D7861"/>
    <w:rsid w:val="003E0138"/>
    <w:rsid w:val="003E0436"/>
    <w:rsid w:val="003E047B"/>
    <w:rsid w:val="003E078E"/>
    <w:rsid w:val="003E0B48"/>
    <w:rsid w:val="003E110C"/>
    <w:rsid w:val="003E2100"/>
    <w:rsid w:val="003E29C4"/>
    <w:rsid w:val="003E3CBA"/>
    <w:rsid w:val="003E4CF3"/>
    <w:rsid w:val="003E6700"/>
    <w:rsid w:val="003E736C"/>
    <w:rsid w:val="003F017B"/>
    <w:rsid w:val="003F2031"/>
    <w:rsid w:val="003F2840"/>
    <w:rsid w:val="003F2F15"/>
    <w:rsid w:val="003F3E8C"/>
    <w:rsid w:val="003F5E05"/>
    <w:rsid w:val="003F6902"/>
    <w:rsid w:val="003F6EFB"/>
    <w:rsid w:val="004007CA"/>
    <w:rsid w:val="00400C32"/>
    <w:rsid w:val="00401540"/>
    <w:rsid w:val="00402BDC"/>
    <w:rsid w:val="00402CBA"/>
    <w:rsid w:val="00402D85"/>
    <w:rsid w:val="004031D3"/>
    <w:rsid w:val="0040367E"/>
    <w:rsid w:val="00403D58"/>
    <w:rsid w:val="00405AC7"/>
    <w:rsid w:val="004061FF"/>
    <w:rsid w:val="00407EA7"/>
    <w:rsid w:val="00410044"/>
    <w:rsid w:val="00410C53"/>
    <w:rsid w:val="00411422"/>
    <w:rsid w:val="00411442"/>
    <w:rsid w:val="00411692"/>
    <w:rsid w:val="00411A6D"/>
    <w:rsid w:val="00413AC6"/>
    <w:rsid w:val="00414394"/>
    <w:rsid w:val="004146FD"/>
    <w:rsid w:val="00414ACA"/>
    <w:rsid w:val="00414DBF"/>
    <w:rsid w:val="00415AC5"/>
    <w:rsid w:val="00417107"/>
    <w:rsid w:val="0041748B"/>
    <w:rsid w:val="00417686"/>
    <w:rsid w:val="004200D9"/>
    <w:rsid w:val="0042272A"/>
    <w:rsid w:val="00422ED9"/>
    <w:rsid w:val="004235EF"/>
    <w:rsid w:val="004241AE"/>
    <w:rsid w:val="00424A82"/>
    <w:rsid w:val="00424BBF"/>
    <w:rsid w:val="00427A11"/>
    <w:rsid w:val="00430A3E"/>
    <w:rsid w:val="004313B3"/>
    <w:rsid w:val="0043186C"/>
    <w:rsid w:val="00431F0F"/>
    <w:rsid w:val="00432218"/>
    <w:rsid w:val="004334B9"/>
    <w:rsid w:val="004349EF"/>
    <w:rsid w:val="00434C0A"/>
    <w:rsid w:val="004350C1"/>
    <w:rsid w:val="004374E6"/>
    <w:rsid w:val="00440A6F"/>
    <w:rsid w:val="00440BC6"/>
    <w:rsid w:val="00441B7B"/>
    <w:rsid w:val="00443159"/>
    <w:rsid w:val="004443B4"/>
    <w:rsid w:val="00444E16"/>
    <w:rsid w:val="0044515E"/>
    <w:rsid w:val="004466F6"/>
    <w:rsid w:val="0044707B"/>
    <w:rsid w:val="004475AA"/>
    <w:rsid w:val="004479DC"/>
    <w:rsid w:val="00452277"/>
    <w:rsid w:val="004537F2"/>
    <w:rsid w:val="00453AD4"/>
    <w:rsid w:val="004543FD"/>
    <w:rsid w:val="00454B6E"/>
    <w:rsid w:val="004555F1"/>
    <w:rsid w:val="0045577B"/>
    <w:rsid w:val="004563B7"/>
    <w:rsid w:val="0045645B"/>
    <w:rsid w:val="00456575"/>
    <w:rsid w:val="00456D30"/>
    <w:rsid w:val="00456D77"/>
    <w:rsid w:val="00461D89"/>
    <w:rsid w:val="00463E7D"/>
    <w:rsid w:val="00463EA5"/>
    <w:rsid w:val="00463F34"/>
    <w:rsid w:val="0046413D"/>
    <w:rsid w:val="004645A3"/>
    <w:rsid w:val="004652CE"/>
    <w:rsid w:val="00466156"/>
    <w:rsid w:val="0046642B"/>
    <w:rsid w:val="004701A2"/>
    <w:rsid w:val="00470479"/>
    <w:rsid w:val="0047082F"/>
    <w:rsid w:val="00470958"/>
    <w:rsid w:val="0047101E"/>
    <w:rsid w:val="004711AB"/>
    <w:rsid w:val="004711E8"/>
    <w:rsid w:val="00472222"/>
    <w:rsid w:val="004733D6"/>
    <w:rsid w:val="00473DE2"/>
    <w:rsid w:val="0047434D"/>
    <w:rsid w:val="00474FA6"/>
    <w:rsid w:val="00475091"/>
    <w:rsid w:val="0047611D"/>
    <w:rsid w:val="00476664"/>
    <w:rsid w:val="00477440"/>
    <w:rsid w:val="004804D2"/>
    <w:rsid w:val="004813E8"/>
    <w:rsid w:val="00481ABB"/>
    <w:rsid w:val="00481C71"/>
    <w:rsid w:val="00481C99"/>
    <w:rsid w:val="00481E12"/>
    <w:rsid w:val="0048272F"/>
    <w:rsid w:val="00482749"/>
    <w:rsid w:val="00482C7D"/>
    <w:rsid w:val="0048354C"/>
    <w:rsid w:val="00483848"/>
    <w:rsid w:val="00484CDF"/>
    <w:rsid w:val="00484E05"/>
    <w:rsid w:val="004851FB"/>
    <w:rsid w:val="004852A8"/>
    <w:rsid w:val="00485A0D"/>
    <w:rsid w:val="00486119"/>
    <w:rsid w:val="00486A6D"/>
    <w:rsid w:val="00487EAF"/>
    <w:rsid w:val="00487FAF"/>
    <w:rsid w:val="0049045B"/>
    <w:rsid w:val="004910DE"/>
    <w:rsid w:val="004919F0"/>
    <w:rsid w:val="00492767"/>
    <w:rsid w:val="00492BD1"/>
    <w:rsid w:val="00492EA9"/>
    <w:rsid w:val="00493962"/>
    <w:rsid w:val="004943FB"/>
    <w:rsid w:val="004949C4"/>
    <w:rsid w:val="00494ADC"/>
    <w:rsid w:val="00495628"/>
    <w:rsid w:val="004A22F2"/>
    <w:rsid w:val="004A2391"/>
    <w:rsid w:val="004A2A11"/>
    <w:rsid w:val="004A375A"/>
    <w:rsid w:val="004A3BBA"/>
    <w:rsid w:val="004A3CE1"/>
    <w:rsid w:val="004A4600"/>
    <w:rsid w:val="004A463A"/>
    <w:rsid w:val="004A4924"/>
    <w:rsid w:val="004A4E66"/>
    <w:rsid w:val="004A6778"/>
    <w:rsid w:val="004A7111"/>
    <w:rsid w:val="004A79D1"/>
    <w:rsid w:val="004B0C2F"/>
    <w:rsid w:val="004B0D81"/>
    <w:rsid w:val="004B0EE9"/>
    <w:rsid w:val="004B1A3D"/>
    <w:rsid w:val="004B1B76"/>
    <w:rsid w:val="004B1D82"/>
    <w:rsid w:val="004B29A7"/>
    <w:rsid w:val="004B3383"/>
    <w:rsid w:val="004B47FC"/>
    <w:rsid w:val="004B4A89"/>
    <w:rsid w:val="004B509F"/>
    <w:rsid w:val="004B5520"/>
    <w:rsid w:val="004B59E9"/>
    <w:rsid w:val="004B5BE3"/>
    <w:rsid w:val="004B5F3F"/>
    <w:rsid w:val="004B6F5B"/>
    <w:rsid w:val="004B77AC"/>
    <w:rsid w:val="004B7C40"/>
    <w:rsid w:val="004C150C"/>
    <w:rsid w:val="004C2F63"/>
    <w:rsid w:val="004C33E1"/>
    <w:rsid w:val="004C40DD"/>
    <w:rsid w:val="004C43EF"/>
    <w:rsid w:val="004C53F1"/>
    <w:rsid w:val="004C60C9"/>
    <w:rsid w:val="004D00FF"/>
    <w:rsid w:val="004D0A23"/>
    <w:rsid w:val="004D0D3D"/>
    <w:rsid w:val="004D0EB6"/>
    <w:rsid w:val="004D20BE"/>
    <w:rsid w:val="004D264C"/>
    <w:rsid w:val="004D4484"/>
    <w:rsid w:val="004D44EE"/>
    <w:rsid w:val="004D7A81"/>
    <w:rsid w:val="004D7AE5"/>
    <w:rsid w:val="004E047B"/>
    <w:rsid w:val="004E1EE0"/>
    <w:rsid w:val="004E260F"/>
    <w:rsid w:val="004E3531"/>
    <w:rsid w:val="004E37BF"/>
    <w:rsid w:val="004E477A"/>
    <w:rsid w:val="004E4B01"/>
    <w:rsid w:val="004E5621"/>
    <w:rsid w:val="004E5CB6"/>
    <w:rsid w:val="004E6B0E"/>
    <w:rsid w:val="004E7396"/>
    <w:rsid w:val="004E745F"/>
    <w:rsid w:val="004F0E3B"/>
    <w:rsid w:val="004F12B1"/>
    <w:rsid w:val="004F1742"/>
    <w:rsid w:val="004F1768"/>
    <w:rsid w:val="004F27FE"/>
    <w:rsid w:val="004F3802"/>
    <w:rsid w:val="004F3823"/>
    <w:rsid w:val="004F5CD3"/>
    <w:rsid w:val="004F5FA4"/>
    <w:rsid w:val="004F644F"/>
    <w:rsid w:val="004F6745"/>
    <w:rsid w:val="004F6B7F"/>
    <w:rsid w:val="00500834"/>
    <w:rsid w:val="005009A9"/>
    <w:rsid w:val="005018A6"/>
    <w:rsid w:val="00501F60"/>
    <w:rsid w:val="005025C3"/>
    <w:rsid w:val="005025ED"/>
    <w:rsid w:val="00502A43"/>
    <w:rsid w:val="00503013"/>
    <w:rsid w:val="0050446A"/>
    <w:rsid w:val="00504AF0"/>
    <w:rsid w:val="005053E2"/>
    <w:rsid w:val="00505DB6"/>
    <w:rsid w:val="005063AC"/>
    <w:rsid w:val="005071F7"/>
    <w:rsid w:val="00507DCE"/>
    <w:rsid w:val="00511277"/>
    <w:rsid w:val="0051159D"/>
    <w:rsid w:val="0051336F"/>
    <w:rsid w:val="00513A05"/>
    <w:rsid w:val="0051474C"/>
    <w:rsid w:val="00514AE4"/>
    <w:rsid w:val="00514B5C"/>
    <w:rsid w:val="00514EC0"/>
    <w:rsid w:val="00515118"/>
    <w:rsid w:val="00515463"/>
    <w:rsid w:val="00515957"/>
    <w:rsid w:val="005167DD"/>
    <w:rsid w:val="00516B56"/>
    <w:rsid w:val="00516C39"/>
    <w:rsid w:val="00517518"/>
    <w:rsid w:val="00520781"/>
    <w:rsid w:val="005211E0"/>
    <w:rsid w:val="00522C2E"/>
    <w:rsid w:val="00523085"/>
    <w:rsid w:val="00523F0C"/>
    <w:rsid w:val="00527009"/>
    <w:rsid w:val="00527F54"/>
    <w:rsid w:val="005307A1"/>
    <w:rsid w:val="00531768"/>
    <w:rsid w:val="005318E9"/>
    <w:rsid w:val="00531BEB"/>
    <w:rsid w:val="00532C2E"/>
    <w:rsid w:val="00536765"/>
    <w:rsid w:val="00537695"/>
    <w:rsid w:val="005379E8"/>
    <w:rsid w:val="00540487"/>
    <w:rsid w:val="0054134D"/>
    <w:rsid w:val="00541977"/>
    <w:rsid w:val="00541E04"/>
    <w:rsid w:val="005427AB"/>
    <w:rsid w:val="00542955"/>
    <w:rsid w:val="00543867"/>
    <w:rsid w:val="00543B62"/>
    <w:rsid w:val="005442FA"/>
    <w:rsid w:val="005446AD"/>
    <w:rsid w:val="00546821"/>
    <w:rsid w:val="005471D4"/>
    <w:rsid w:val="00551136"/>
    <w:rsid w:val="005514A6"/>
    <w:rsid w:val="0055238B"/>
    <w:rsid w:val="0055240F"/>
    <w:rsid w:val="005527B1"/>
    <w:rsid w:val="00553FDD"/>
    <w:rsid w:val="0055405F"/>
    <w:rsid w:val="005549BD"/>
    <w:rsid w:val="00555CE8"/>
    <w:rsid w:val="0055626C"/>
    <w:rsid w:val="00556877"/>
    <w:rsid w:val="005576AF"/>
    <w:rsid w:val="00557861"/>
    <w:rsid w:val="00560F6B"/>
    <w:rsid w:val="00561F27"/>
    <w:rsid w:val="00563FE2"/>
    <w:rsid w:val="0056441B"/>
    <w:rsid w:val="00565EE9"/>
    <w:rsid w:val="00565F18"/>
    <w:rsid w:val="0056708C"/>
    <w:rsid w:val="005677C5"/>
    <w:rsid w:val="00567A94"/>
    <w:rsid w:val="005703A9"/>
    <w:rsid w:val="0057250D"/>
    <w:rsid w:val="005739BE"/>
    <w:rsid w:val="00573A4F"/>
    <w:rsid w:val="005746FF"/>
    <w:rsid w:val="005757C4"/>
    <w:rsid w:val="00575A0A"/>
    <w:rsid w:val="00576B18"/>
    <w:rsid w:val="0057722B"/>
    <w:rsid w:val="005807AE"/>
    <w:rsid w:val="00580991"/>
    <w:rsid w:val="00581189"/>
    <w:rsid w:val="0058195F"/>
    <w:rsid w:val="005825F9"/>
    <w:rsid w:val="005827C8"/>
    <w:rsid w:val="00585645"/>
    <w:rsid w:val="00585935"/>
    <w:rsid w:val="00585F7E"/>
    <w:rsid w:val="00586DB2"/>
    <w:rsid w:val="005877C5"/>
    <w:rsid w:val="0059097F"/>
    <w:rsid w:val="005912F7"/>
    <w:rsid w:val="00592174"/>
    <w:rsid w:val="00592D48"/>
    <w:rsid w:val="00592EDC"/>
    <w:rsid w:val="00593CD2"/>
    <w:rsid w:val="00594BB3"/>
    <w:rsid w:val="00595423"/>
    <w:rsid w:val="005958E4"/>
    <w:rsid w:val="00595B0E"/>
    <w:rsid w:val="005A041E"/>
    <w:rsid w:val="005A16FD"/>
    <w:rsid w:val="005A1746"/>
    <w:rsid w:val="005A1961"/>
    <w:rsid w:val="005A1A08"/>
    <w:rsid w:val="005A2813"/>
    <w:rsid w:val="005A3100"/>
    <w:rsid w:val="005A4197"/>
    <w:rsid w:val="005A4666"/>
    <w:rsid w:val="005A7839"/>
    <w:rsid w:val="005A7C53"/>
    <w:rsid w:val="005B0108"/>
    <w:rsid w:val="005B0492"/>
    <w:rsid w:val="005B1CCE"/>
    <w:rsid w:val="005B2F37"/>
    <w:rsid w:val="005B3812"/>
    <w:rsid w:val="005B5053"/>
    <w:rsid w:val="005C130B"/>
    <w:rsid w:val="005C1396"/>
    <w:rsid w:val="005C15AB"/>
    <w:rsid w:val="005C1938"/>
    <w:rsid w:val="005C55DF"/>
    <w:rsid w:val="005C5905"/>
    <w:rsid w:val="005C6764"/>
    <w:rsid w:val="005C6874"/>
    <w:rsid w:val="005C68A6"/>
    <w:rsid w:val="005C75FD"/>
    <w:rsid w:val="005D0DD4"/>
    <w:rsid w:val="005D0FF8"/>
    <w:rsid w:val="005D1A0B"/>
    <w:rsid w:val="005D2169"/>
    <w:rsid w:val="005D3A87"/>
    <w:rsid w:val="005D4D55"/>
    <w:rsid w:val="005D5166"/>
    <w:rsid w:val="005D5653"/>
    <w:rsid w:val="005D5A48"/>
    <w:rsid w:val="005D5F9D"/>
    <w:rsid w:val="005D6EF9"/>
    <w:rsid w:val="005D7335"/>
    <w:rsid w:val="005D790E"/>
    <w:rsid w:val="005E0172"/>
    <w:rsid w:val="005E01D5"/>
    <w:rsid w:val="005E06C8"/>
    <w:rsid w:val="005E0E5B"/>
    <w:rsid w:val="005E18FB"/>
    <w:rsid w:val="005E1EB8"/>
    <w:rsid w:val="005E269D"/>
    <w:rsid w:val="005E295F"/>
    <w:rsid w:val="005E2E6B"/>
    <w:rsid w:val="005E2F66"/>
    <w:rsid w:val="005E35E1"/>
    <w:rsid w:val="005E40F9"/>
    <w:rsid w:val="005E484F"/>
    <w:rsid w:val="005E4B0A"/>
    <w:rsid w:val="005F0BB5"/>
    <w:rsid w:val="005F258F"/>
    <w:rsid w:val="005F3FAE"/>
    <w:rsid w:val="005F439A"/>
    <w:rsid w:val="005F4E28"/>
    <w:rsid w:val="005F58D3"/>
    <w:rsid w:val="005F66DC"/>
    <w:rsid w:val="005F720D"/>
    <w:rsid w:val="005F7BA2"/>
    <w:rsid w:val="0060118C"/>
    <w:rsid w:val="00601303"/>
    <w:rsid w:val="00601B28"/>
    <w:rsid w:val="00601C1D"/>
    <w:rsid w:val="00602347"/>
    <w:rsid w:val="006032C1"/>
    <w:rsid w:val="006036CF"/>
    <w:rsid w:val="00603B60"/>
    <w:rsid w:val="006050B7"/>
    <w:rsid w:val="0060673C"/>
    <w:rsid w:val="00606DF3"/>
    <w:rsid w:val="00606F64"/>
    <w:rsid w:val="0060785B"/>
    <w:rsid w:val="00607B36"/>
    <w:rsid w:val="0061032A"/>
    <w:rsid w:val="0061076E"/>
    <w:rsid w:val="006107B7"/>
    <w:rsid w:val="006108C6"/>
    <w:rsid w:val="006114AB"/>
    <w:rsid w:val="00613812"/>
    <w:rsid w:val="0061469E"/>
    <w:rsid w:val="00614B89"/>
    <w:rsid w:val="00615578"/>
    <w:rsid w:val="00615580"/>
    <w:rsid w:val="006157EF"/>
    <w:rsid w:val="00616B03"/>
    <w:rsid w:val="00616E0D"/>
    <w:rsid w:val="00617112"/>
    <w:rsid w:val="00617B90"/>
    <w:rsid w:val="00617DD8"/>
    <w:rsid w:val="0062060E"/>
    <w:rsid w:val="0062116F"/>
    <w:rsid w:val="00621420"/>
    <w:rsid w:val="0062189E"/>
    <w:rsid w:val="00622ACF"/>
    <w:rsid w:val="006238A2"/>
    <w:rsid w:val="006243C6"/>
    <w:rsid w:val="00624FE4"/>
    <w:rsid w:val="006259A3"/>
    <w:rsid w:val="00626100"/>
    <w:rsid w:val="006275F5"/>
    <w:rsid w:val="0063003F"/>
    <w:rsid w:val="00633DCD"/>
    <w:rsid w:val="00633E3E"/>
    <w:rsid w:val="006345B8"/>
    <w:rsid w:val="006346A0"/>
    <w:rsid w:val="00634964"/>
    <w:rsid w:val="00634B60"/>
    <w:rsid w:val="00634B68"/>
    <w:rsid w:val="00637D3C"/>
    <w:rsid w:val="006402E2"/>
    <w:rsid w:val="006408F6"/>
    <w:rsid w:val="006423A3"/>
    <w:rsid w:val="00643299"/>
    <w:rsid w:val="006439DF"/>
    <w:rsid w:val="00644CE8"/>
    <w:rsid w:val="00646126"/>
    <w:rsid w:val="006467F7"/>
    <w:rsid w:val="00646A2E"/>
    <w:rsid w:val="0064773B"/>
    <w:rsid w:val="006479D0"/>
    <w:rsid w:val="00647D4C"/>
    <w:rsid w:val="006504E7"/>
    <w:rsid w:val="00650FFE"/>
    <w:rsid w:val="00651032"/>
    <w:rsid w:val="006514B4"/>
    <w:rsid w:val="006514DE"/>
    <w:rsid w:val="00651ABD"/>
    <w:rsid w:val="0065237F"/>
    <w:rsid w:val="006536E2"/>
    <w:rsid w:val="00654052"/>
    <w:rsid w:val="00654C6C"/>
    <w:rsid w:val="00655A0C"/>
    <w:rsid w:val="006572F1"/>
    <w:rsid w:val="00657645"/>
    <w:rsid w:val="00657A13"/>
    <w:rsid w:val="00657DDA"/>
    <w:rsid w:val="00660107"/>
    <w:rsid w:val="00660A22"/>
    <w:rsid w:val="00662FE5"/>
    <w:rsid w:val="006631EC"/>
    <w:rsid w:val="006633B2"/>
    <w:rsid w:val="006642DB"/>
    <w:rsid w:val="00667B5C"/>
    <w:rsid w:val="00670E65"/>
    <w:rsid w:val="0067225B"/>
    <w:rsid w:val="00672CC7"/>
    <w:rsid w:val="0067358E"/>
    <w:rsid w:val="00675FF0"/>
    <w:rsid w:val="006762AA"/>
    <w:rsid w:val="00676335"/>
    <w:rsid w:val="006769CC"/>
    <w:rsid w:val="00676F21"/>
    <w:rsid w:val="00680E2E"/>
    <w:rsid w:val="00681E47"/>
    <w:rsid w:val="00682A83"/>
    <w:rsid w:val="00682C3A"/>
    <w:rsid w:val="00682CB9"/>
    <w:rsid w:val="00682F07"/>
    <w:rsid w:val="00684064"/>
    <w:rsid w:val="00684155"/>
    <w:rsid w:val="00684CE9"/>
    <w:rsid w:val="0068516C"/>
    <w:rsid w:val="00685D3F"/>
    <w:rsid w:val="00687318"/>
    <w:rsid w:val="00687A32"/>
    <w:rsid w:val="00687A33"/>
    <w:rsid w:val="00690B6D"/>
    <w:rsid w:val="006921DD"/>
    <w:rsid w:val="00692829"/>
    <w:rsid w:val="00692FE8"/>
    <w:rsid w:val="00694DEA"/>
    <w:rsid w:val="00695623"/>
    <w:rsid w:val="00695A77"/>
    <w:rsid w:val="00695AD4"/>
    <w:rsid w:val="0069689C"/>
    <w:rsid w:val="00696DEF"/>
    <w:rsid w:val="006973B3"/>
    <w:rsid w:val="00697FCB"/>
    <w:rsid w:val="006A337F"/>
    <w:rsid w:val="006A49A1"/>
    <w:rsid w:val="006A4B24"/>
    <w:rsid w:val="006A548B"/>
    <w:rsid w:val="006A5E94"/>
    <w:rsid w:val="006A70E4"/>
    <w:rsid w:val="006A78F1"/>
    <w:rsid w:val="006B1994"/>
    <w:rsid w:val="006B1B84"/>
    <w:rsid w:val="006B2925"/>
    <w:rsid w:val="006B37F9"/>
    <w:rsid w:val="006B3FC8"/>
    <w:rsid w:val="006B5D14"/>
    <w:rsid w:val="006B6653"/>
    <w:rsid w:val="006B6BB1"/>
    <w:rsid w:val="006C01AE"/>
    <w:rsid w:val="006C03D8"/>
    <w:rsid w:val="006C3C19"/>
    <w:rsid w:val="006C4161"/>
    <w:rsid w:val="006C47DC"/>
    <w:rsid w:val="006C4D74"/>
    <w:rsid w:val="006C5397"/>
    <w:rsid w:val="006C7A9D"/>
    <w:rsid w:val="006D0254"/>
    <w:rsid w:val="006D0279"/>
    <w:rsid w:val="006D0BD8"/>
    <w:rsid w:val="006D0DFF"/>
    <w:rsid w:val="006D1DA9"/>
    <w:rsid w:val="006D2B5F"/>
    <w:rsid w:val="006D3161"/>
    <w:rsid w:val="006D5E8F"/>
    <w:rsid w:val="006D6325"/>
    <w:rsid w:val="006D65DF"/>
    <w:rsid w:val="006D65EA"/>
    <w:rsid w:val="006D66AD"/>
    <w:rsid w:val="006D7D04"/>
    <w:rsid w:val="006D7F1B"/>
    <w:rsid w:val="006E0479"/>
    <w:rsid w:val="006E2C74"/>
    <w:rsid w:val="006E2F1C"/>
    <w:rsid w:val="006E335D"/>
    <w:rsid w:val="006E3BEF"/>
    <w:rsid w:val="006E4A0C"/>
    <w:rsid w:val="006E7EC1"/>
    <w:rsid w:val="006F114C"/>
    <w:rsid w:val="006F1B1A"/>
    <w:rsid w:val="006F1BEE"/>
    <w:rsid w:val="006F2321"/>
    <w:rsid w:val="006F2931"/>
    <w:rsid w:val="006F3934"/>
    <w:rsid w:val="006F3F60"/>
    <w:rsid w:val="006F56E7"/>
    <w:rsid w:val="006F59BD"/>
    <w:rsid w:val="006F5E05"/>
    <w:rsid w:val="006F6090"/>
    <w:rsid w:val="006F6BAE"/>
    <w:rsid w:val="006F7068"/>
    <w:rsid w:val="006F752F"/>
    <w:rsid w:val="00700307"/>
    <w:rsid w:val="00700385"/>
    <w:rsid w:val="00700941"/>
    <w:rsid w:val="00700B08"/>
    <w:rsid w:val="00701C9A"/>
    <w:rsid w:val="007022B4"/>
    <w:rsid w:val="00702CDA"/>
    <w:rsid w:val="00703844"/>
    <w:rsid w:val="0070598E"/>
    <w:rsid w:val="00707C45"/>
    <w:rsid w:val="00710ECF"/>
    <w:rsid w:val="0071121F"/>
    <w:rsid w:val="0071235A"/>
    <w:rsid w:val="0071472C"/>
    <w:rsid w:val="00715080"/>
    <w:rsid w:val="007154EA"/>
    <w:rsid w:val="007159FB"/>
    <w:rsid w:val="00715BC8"/>
    <w:rsid w:val="007168A3"/>
    <w:rsid w:val="00716984"/>
    <w:rsid w:val="00716D79"/>
    <w:rsid w:val="0072143D"/>
    <w:rsid w:val="007228D7"/>
    <w:rsid w:val="00722BF3"/>
    <w:rsid w:val="0072340D"/>
    <w:rsid w:val="00723E45"/>
    <w:rsid w:val="00723F8B"/>
    <w:rsid w:val="007252C9"/>
    <w:rsid w:val="00726602"/>
    <w:rsid w:val="00731112"/>
    <w:rsid w:val="007326E4"/>
    <w:rsid w:val="00733128"/>
    <w:rsid w:val="00734433"/>
    <w:rsid w:val="00734858"/>
    <w:rsid w:val="00734D7F"/>
    <w:rsid w:val="00734EBA"/>
    <w:rsid w:val="007351E7"/>
    <w:rsid w:val="00735652"/>
    <w:rsid w:val="007400BB"/>
    <w:rsid w:val="00743289"/>
    <w:rsid w:val="00743F9D"/>
    <w:rsid w:val="00744CCE"/>
    <w:rsid w:val="00745013"/>
    <w:rsid w:val="007456EA"/>
    <w:rsid w:val="0074592A"/>
    <w:rsid w:val="00745B2B"/>
    <w:rsid w:val="007461A9"/>
    <w:rsid w:val="00746FDA"/>
    <w:rsid w:val="00747462"/>
    <w:rsid w:val="00750558"/>
    <w:rsid w:val="00750BA6"/>
    <w:rsid w:val="00751CAE"/>
    <w:rsid w:val="007522D6"/>
    <w:rsid w:val="00753843"/>
    <w:rsid w:val="00753F0E"/>
    <w:rsid w:val="00754318"/>
    <w:rsid w:val="007547F7"/>
    <w:rsid w:val="00754F1D"/>
    <w:rsid w:val="007560F8"/>
    <w:rsid w:val="0075718D"/>
    <w:rsid w:val="007603F8"/>
    <w:rsid w:val="00761B97"/>
    <w:rsid w:val="007628B6"/>
    <w:rsid w:val="0076389C"/>
    <w:rsid w:val="00763E7C"/>
    <w:rsid w:val="00765523"/>
    <w:rsid w:val="00766069"/>
    <w:rsid w:val="00766190"/>
    <w:rsid w:val="00767131"/>
    <w:rsid w:val="00767985"/>
    <w:rsid w:val="0076799E"/>
    <w:rsid w:val="00770499"/>
    <w:rsid w:val="007716E1"/>
    <w:rsid w:val="0077170D"/>
    <w:rsid w:val="00772292"/>
    <w:rsid w:val="007726AB"/>
    <w:rsid w:val="00773CFD"/>
    <w:rsid w:val="00773CFF"/>
    <w:rsid w:val="0077473B"/>
    <w:rsid w:val="00774D56"/>
    <w:rsid w:val="00775104"/>
    <w:rsid w:val="007752D2"/>
    <w:rsid w:val="00776E23"/>
    <w:rsid w:val="0077787E"/>
    <w:rsid w:val="00777D2D"/>
    <w:rsid w:val="007800D1"/>
    <w:rsid w:val="00782133"/>
    <w:rsid w:val="00782BFA"/>
    <w:rsid w:val="00783158"/>
    <w:rsid w:val="007840D7"/>
    <w:rsid w:val="00786E21"/>
    <w:rsid w:val="00787466"/>
    <w:rsid w:val="007877AB"/>
    <w:rsid w:val="007919A6"/>
    <w:rsid w:val="00791DD3"/>
    <w:rsid w:val="0079469C"/>
    <w:rsid w:val="007946DD"/>
    <w:rsid w:val="0079481E"/>
    <w:rsid w:val="00794ABD"/>
    <w:rsid w:val="007A0F7D"/>
    <w:rsid w:val="007A1A77"/>
    <w:rsid w:val="007A2DE4"/>
    <w:rsid w:val="007A36EF"/>
    <w:rsid w:val="007A371B"/>
    <w:rsid w:val="007A46C9"/>
    <w:rsid w:val="007A4E97"/>
    <w:rsid w:val="007A5075"/>
    <w:rsid w:val="007A5172"/>
    <w:rsid w:val="007A55B0"/>
    <w:rsid w:val="007A5ECD"/>
    <w:rsid w:val="007A74AC"/>
    <w:rsid w:val="007A759E"/>
    <w:rsid w:val="007B1B6D"/>
    <w:rsid w:val="007B499B"/>
    <w:rsid w:val="007B4C46"/>
    <w:rsid w:val="007B62E0"/>
    <w:rsid w:val="007B683F"/>
    <w:rsid w:val="007B6956"/>
    <w:rsid w:val="007B79B1"/>
    <w:rsid w:val="007C0623"/>
    <w:rsid w:val="007C153A"/>
    <w:rsid w:val="007C1BFB"/>
    <w:rsid w:val="007C2278"/>
    <w:rsid w:val="007C268F"/>
    <w:rsid w:val="007C270E"/>
    <w:rsid w:val="007C2E18"/>
    <w:rsid w:val="007C38B3"/>
    <w:rsid w:val="007C3FB3"/>
    <w:rsid w:val="007C4CD4"/>
    <w:rsid w:val="007C5AD0"/>
    <w:rsid w:val="007C5CAC"/>
    <w:rsid w:val="007C64E9"/>
    <w:rsid w:val="007D0FB6"/>
    <w:rsid w:val="007D1DF6"/>
    <w:rsid w:val="007D25A2"/>
    <w:rsid w:val="007D362E"/>
    <w:rsid w:val="007D3732"/>
    <w:rsid w:val="007D46E3"/>
    <w:rsid w:val="007D488C"/>
    <w:rsid w:val="007D5CA3"/>
    <w:rsid w:val="007D706A"/>
    <w:rsid w:val="007D7FEE"/>
    <w:rsid w:val="007E0161"/>
    <w:rsid w:val="007E223F"/>
    <w:rsid w:val="007E29C5"/>
    <w:rsid w:val="007E2B22"/>
    <w:rsid w:val="007E323F"/>
    <w:rsid w:val="007E4294"/>
    <w:rsid w:val="007E4698"/>
    <w:rsid w:val="007E5B32"/>
    <w:rsid w:val="007E631F"/>
    <w:rsid w:val="007E7D7E"/>
    <w:rsid w:val="007F1B37"/>
    <w:rsid w:val="007F1B49"/>
    <w:rsid w:val="007F2282"/>
    <w:rsid w:val="007F31E6"/>
    <w:rsid w:val="007F33E9"/>
    <w:rsid w:val="007F38B5"/>
    <w:rsid w:val="007F3B7B"/>
    <w:rsid w:val="007F537F"/>
    <w:rsid w:val="007F590C"/>
    <w:rsid w:val="007F5EBF"/>
    <w:rsid w:val="007F6F64"/>
    <w:rsid w:val="007F707C"/>
    <w:rsid w:val="008009C3"/>
    <w:rsid w:val="00800E16"/>
    <w:rsid w:val="008020F1"/>
    <w:rsid w:val="00802189"/>
    <w:rsid w:val="00802FAD"/>
    <w:rsid w:val="00803209"/>
    <w:rsid w:val="00804629"/>
    <w:rsid w:val="00804CB7"/>
    <w:rsid w:val="008059A0"/>
    <w:rsid w:val="00806341"/>
    <w:rsid w:val="00806869"/>
    <w:rsid w:val="00806935"/>
    <w:rsid w:val="00806E04"/>
    <w:rsid w:val="008079E1"/>
    <w:rsid w:val="00807BD5"/>
    <w:rsid w:val="00812181"/>
    <w:rsid w:val="00812467"/>
    <w:rsid w:val="0081426D"/>
    <w:rsid w:val="00814379"/>
    <w:rsid w:val="008144E2"/>
    <w:rsid w:val="00816228"/>
    <w:rsid w:val="00816B90"/>
    <w:rsid w:val="00817F7F"/>
    <w:rsid w:val="008204D6"/>
    <w:rsid w:val="0082066E"/>
    <w:rsid w:val="008212A4"/>
    <w:rsid w:val="00821599"/>
    <w:rsid w:val="008221B3"/>
    <w:rsid w:val="00822769"/>
    <w:rsid w:val="00822B40"/>
    <w:rsid w:val="00822E83"/>
    <w:rsid w:val="00823E78"/>
    <w:rsid w:val="00825BBB"/>
    <w:rsid w:val="00826BF1"/>
    <w:rsid w:val="008328ED"/>
    <w:rsid w:val="00832998"/>
    <w:rsid w:val="008338C2"/>
    <w:rsid w:val="008346DD"/>
    <w:rsid w:val="008361EA"/>
    <w:rsid w:val="008371B9"/>
    <w:rsid w:val="00837739"/>
    <w:rsid w:val="00837792"/>
    <w:rsid w:val="00837A37"/>
    <w:rsid w:val="008426AF"/>
    <w:rsid w:val="00842C29"/>
    <w:rsid w:val="0084475A"/>
    <w:rsid w:val="00845DC8"/>
    <w:rsid w:val="0084721C"/>
    <w:rsid w:val="00850212"/>
    <w:rsid w:val="00850EC0"/>
    <w:rsid w:val="008511EC"/>
    <w:rsid w:val="00851479"/>
    <w:rsid w:val="0085156C"/>
    <w:rsid w:val="00851C2A"/>
    <w:rsid w:val="00851D8E"/>
    <w:rsid w:val="008521A7"/>
    <w:rsid w:val="008521B2"/>
    <w:rsid w:val="00852611"/>
    <w:rsid w:val="008542A1"/>
    <w:rsid w:val="00856539"/>
    <w:rsid w:val="008566B7"/>
    <w:rsid w:val="008571E1"/>
    <w:rsid w:val="0086271F"/>
    <w:rsid w:val="00863AFA"/>
    <w:rsid w:val="00865F1E"/>
    <w:rsid w:val="00866196"/>
    <w:rsid w:val="008668FC"/>
    <w:rsid w:val="00866A54"/>
    <w:rsid w:val="00867A1F"/>
    <w:rsid w:val="0087047A"/>
    <w:rsid w:val="00871717"/>
    <w:rsid w:val="00871EA1"/>
    <w:rsid w:val="008724AE"/>
    <w:rsid w:val="00872C71"/>
    <w:rsid w:val="00872CA6"/>
    <w:rsid w:val="008733B5"/>
    <w:rsid w:val="00873941"/>
    <w:rsid w:val="008739FD"/>
    <w:rsid w:val="008742AF"/>
    <w:rsid w:val="008745B4"/>
    <w:rsid w:val="0087594F"/>
    <w:rsid w:val="008779B2"/>
    <w:rsid w:val="00880A74"/>
    <w:rsid w:val="00880A87"/>
    <w:rsid w:val="00880AFB"/>
    <w:rsid w:val="00880E6E"/>
    <w:rsid w:val="0088260E"/>
    <w:rsid w:val="00883622"/>
    <w:rsid w:val="00884D8F"/>
    <w:rsid w:val="00884F1A"/>
    <w:rsid w:val="0088547D"/>
    <w:rsid w:val="0088567C"/>
    <w:rsid w:val="00886394"/>
    <w:rsid w:val="00886E10"/>
    <w:rsid w:val="00890E3F"/>
    <w:rsid w:val="00891E86"/>
    <w:rsid w:val="00892B26"/>
    <w:rsid w:val="00892ED3"/>
    <w:rsid w:val="008931C7"/>
    <w:rsid w:val="0089341B"/>
    <w:rsid w:val="008934DB"/>
    <w:rsid w:val="00894137"/>
    <w:rsid w:val="00894495"/>
    <w:rsid w:val="00894B18"/>
    <w:rsid w:val="00894DEE"/>
    <w:rsid w:val="0089519E"/>
    <w:rsid w:val="00896647"/>
    <w:rsid w:val="00897A26"/>
    <w:rsid w:val="00897F97"/>
    <w:rsid w:val="008A0D13"/>
    <w:rsid w:val="008A15DE"/>
    <w:rsid w:val="008A252A"/>
    <w:rsid w:val="008A3586"/>
    <w:rsid w:val="008A4B3D"/>
    <w:rsid w:val="008A586D"/>
    <w:rsid w:val="008A5D91"/>
    <w:rsid w:val="008A7E9F"/>
    <w:rsid w:val="008B0873"/>
    <w:rsid w:val="008B208C"/>
    <w:rsid w:val="008B20AD"/>
    <w:rsid w:val="008B2F4D"/>
    <w:rsid w:val="008B33CE"/>
    <w:rsid w:val="008B46AB"/>
    <w:rsid w:val="008B4E65"/>
    <w:rsid w:val="008B5081"/>
    <w:rsid w:val="008B5892"/>
    <w:rsid w:val="008B66CE"/>
    <w:rsid w:val="008B69C2"/>
    <w:rsid w:val="008B6DA1"/>
    <w:rsid w:val="008C0BF8"/>
    <w:rsid w:val="008C106A"/>
    <w:rsid w:val="008C325C"/>
    <w:rsid w:val="008C330D"/>
    <w:rsid w:val="008C3482"/>
    <w:rsid w:val="008C497A"/>
    <w:rsid w:val="008C4FD6"/>
    <w:rsid w:val="008C6567"/>
    <w:rsid w:val="008C6839"/>
    <w:rsid w:val="008C69AB"/>
    <w:rsid w:val="008D0CC5"/>
    <w:rsid w:val="008D1522"/>
    <w:rsid w:val="008D1AE7"/>
    <w:rsid w:val="008D3249"/>
    <w:rsid w:val="008D3266"/>
    <w:rsid w:val="008D4B05"/>
    <w:rsid w:val="008D553F"/>
    <w:rsid w:val="008D5935"/>
    <w:rsid w:val="008D661D"/>
    <w:rsid w:val="008D6F04"/>
    <w:rsid w:val="008E0763"/>
    <w:rsid w:val="008E0D2C"/>
    <w:rsid w:val="008E0E05"/>
    <w:rsid w:val="008E0F4E"/>
    <w:rsid w:val="008E10FD"/>
    <w:rsid w:val="008E39CB"/>
    <w:rsid w:val="008E39D4"/>
    <w:rsid w:val="008E3AA7"/>
    <w:rsid w:val="008E3CDA"/>
    <w:rsid w:val="008E4E3E"/>
    <w:rsid w:val="008E559A"/>
    <w:rsid w:val="008E5684"/>
    <w:rsid w:val="008E5BB3"/>
    <w:rsid w:val="008E5F8F"/>
    <w:rsid w:val="008F0842"/>
    <w:rsid w:val="008F0A36"/>
    <w:rsid w:val="008F169A"/>
    <w:rsid w:val="008F1E10"/>
    <w:rsid w:val="008F24A9"/>
    <w:rsid w:val="008F2F3F"/>
    <w:rsid w:val="008F341A"/>
    <w:rsid w:val="008F34ED"/>
    <w:rsid w:val="008F3521"/>
    <w:rsid w:val="008F43A8"/>
    <w:rsid w:val="008F5DAE"/>
    <w:rsid w:val="008F627E"/>
    <w:rsid w:val="008F6A95"/>
    <w:rsid w:val="00900794"/>
    <w:rsid w:val="00901C22"/>
    <w:rsid w:val="009023F4"/>
    <w:rsid w:val="009037C8"/>
    <w:rsid w:val="009060BA"/>
    <w:rsid w:val="0090617D"/>
    <w:rsid w:val="00907E80"/>
    <w:rsid w:val="00907FAE"/>
    <w:rsid w:val="00910FB1"/>
    <w:rsid w:val="00911A0E"/>
    <w:rsid w:val="00911EB2"/>
    <w:rsid w:val="00911F23"/>
    <w:rsid w:val="00912A9C"/>
    <w:rsid w:val="00912FC2"/>
    <w:rsid w:val="00913A84"/>
    <w:rsid w:val="0091578D"/>
    <w:rsid w:val="009163FA"/>
    <w:rsid w:val="00916BF1"/>
    <w:rsid w:val="00920A52"/>
    <w:rsid w:val="00921B32"/>
    <w:rsid w:val="00921C40"/>
    <w:rsid w:val="00922C3D"/>
    <w:rsid w:val="009241A0"/>
    <w:rsid w:val="00925DE6"/>
    <w:rsid w:val="00926109"/>
    <w:rsid w:val="00926235"/>
    <w:rsid w:val="00926A8B"/>
    <w:rsid w:val="00930166"/>
    <w:rsid w:val="009318CA"/>
    <w:rsid w:val="0093273D"/>
    <w:rsid w:val="00934232"/>
    <w:rsid w:val="00934A32"/>
    <w:rsid w:val="00934E3B"/>
    <w:rsid w:val="00935A93"/>
    <w:rsid w:val="00935C78"/>
    <w:rsid w:val="00937B1F"/>
    <w:rsid w:val="00937FDC"/>
    <w:rsid w:val="00937FF2"/>
    <w:rsid w:val="009410BB"/>
    <w:rsid w:val="00941418"/>
    <w:rsid w:val="009415E0"/>
    <w:rsid w:val="00942444"/>
    <w:rsid w:val="0094321C"/>
    <w:rsid w:val="00943940"/>
    <w:rsid w:val="0094572E"/>
    <w:rsid w:val="0094617C"/>
    <w:rsid w:val="0095139A"/>
    <w:rsid w:val="0095258B"/>
    <w:rsid w:val="00952D3F"/>
    <w:rsid w:val="00952FA6"/>
    <w:rsid w:val="009530B5"/>
    <w:rsid w:val="0095635E"/>
    <w:rsid w:val="00956990"/>
    <w:rsid w:val="009571CC"/>
    <w:rsid w:val="009607DF"/>
    <w:rsid w:val="00961320"/>
    <w:rsid w:val="00961AEB"/>
    <w:rsid w:val="0096374C"/>
    <w:rsid w:val="009639FE"/>
    <w:rsid w:val="00963CE9"/>
    <w:rsid w:val="00964C88"/>
    <w:rsid w:val="00965835"/>
    <w:rsid w:val="009659F4"/>
    <w:rsid w:val="00965EFF"/>
    <w:rsid w:val="009664FD"/>
    <w:rsid w:val="00966D51"/>
    <w:rsid w:val="00966DBF"/>
    <w:rsid w:val="00966E59"/>
    <w:rsid w:val="0097157C"/>
    <w:rsid w:val="00972D8A"/>
    <w:rsid w:val="009731E7"/>
    <w:rsid w:val="0097376F"/>
    <w:rsid w:val="0097380E"/>
    <w:rsid w:val="00974B9B"/>
    <w:rsid w:val="00975611"/>
    <w:rsid w:val="00975762"/>
    <w:rsid w:val="00975C77"/>
    <w:rsid w:val="00975D44"/>
    <w:rsid w:val="009776C0"/>
    <w:rsid w:val="00977A68"/>
    <w:rsid w:val="00981F82"/>
    <w:rsid w:val="00982037"/>
    <w:rsid w:val="00983F16"/>
    <w:rsid w:val="00984CE3"/>
    <w:rsid w:val="00985A86"/>
    <w:rsid w:val="00985B5E"/>
    <w:rsid w:val="00986610"/>
    <w:rsid w:val="0098718F"/>
    <w:rsid w:val="00987BE9"/>
    <w:rsid w:val="00991356"/>
    <w:rsid w:val="009915C1"/>
    <w:rsid w:val="00991D6B"/>
    <w:rsid w:val="009921A2"/>
    <w:rsid w:val="00993858"/>
    <w:rsid w:val="00994048"/>
    <w:rsid w:val="009944C6"/>
    <w:rsid w:val="00994B05"/>
    <w:rsid w:val="00995EB6"/>
    <w:rsid w:val="009963D9"/>
    <w:rsid w:val="009975AB"/>
    <w:rsid w:val="009A0271"/>
    <w:rsid w:val="009A042B"/>
    <w:rsid w:val="009A1BB3"/>
    <w:rsid w:val="009A1D7E"/>
    <w:rsid w:val="009A2794"/>
    <w:rsid w:val="009A33FA"/>
    <w:rsid w:val="009A40C1"/>
    <w:rsid w:val="009A418E"/>
    <w:rsid w:val="009A44C9"/>
    <w:rsid w:val="009A4583"/>
    <w:rsid w:val="009A4ADC"/>
    <w:rsid w:val="009A5886"/>
    <w:rsid w:val="009A5A21"/>
    <w:rsid w:val="009A5BDE"/>
    <w:rsid w:val="009A5F3C"/>
    <w:rsid w:val="009A651B"/>
    <w:rsid w:val="009A7891"/>
    <w:rsid w:val="009A7C3D"/>
    <w:rsid w:val="009B22C2"/>
    <w:rsid w:val="009B294B"/>
    <w:rsid w:val="009B2B02"/>
    <w:rsid w:val="009B47A9"/>
    <w:rsid w:val="009B4B33"/>
    <w:rsid w:val="009B5658"/>
    <w:rsid w:val="009B600B"/>
    <w:rsid w:val="009B6A19"/>
    <w:rsid w:val="009B6AB6"/>
    <w:rsid w:val="009C03DA"/>
    <w:rsid w:val="009C0B63"/>
    <w:rsid w:val="009C1EA0"/>
    <w:rsid w:val="009C3E8C"/>
    <w:rsid w:val="009C4F80"/>
    <w:rsid w:val="009C5438"/>
    <w:rsid w:val="009C5BB8"/>
    <w:rsid w:val="009C6466"/>
    <w:rsid w:val="009D0434"/>
    <w:rsid w:val="009D077B"/>
    <w:rsid w:val="009D08DD"/>
    <w:rsid w:val="009D158E"/>
    <w:rsid w:val="009D34DA"/>
    <w:rsid w:val="009D36FF"/>
    <w:rsid w:val="009D3C43"/>
    <w:rsid w:val="009D3D8F"/>
    <w:rsid w:val="009D4169"/>
    <w:rsid w:val="009D4960"/>
    <w:rsid w:val="009D60C6"/>
    <w:rsid w:val="009D64E8"/>
    <w:rsid w:val="009D69B5"/>
    <w:rsid w:val="009D6F00"/>
    <w:rsid w:val="009D6FE6"/>
    <w:rsid w:val="009D7265"/>
    <w:rsid w:val="009D7DF8"/>
    <w:rsid w:val="009D7F34"/>
    <w:rsid w:val="009E1D07"/>
    <w:rsid w:val="009E3B95"/>
    <w:rsid w:val="009E3D8D"/>
    <w:rsid w:val="009E3DB0"/>
    <w:rsid w:val="009E42A2"/>
    <w:rsid w:val="009E50FD"/>
    <w:rsid w:val="009E5754"/>
    <w:rsid w:val="009E650D"/>
    <w:rsid w:val="009E6D85"/>
    <w:rsid w:val="009E7ECC"/>
    <w:rsid w:val="009E7F5F"/>
    <w:rsid w:val="009F0294"/>
    <w:rsid w:val="009F1638"/>
    <w:rsid w:val="009F1B30"/>
    <w:rsid w:val="009F1C8C"/>
    <w:rsid w:val="009F2284"/>
    <w:rsid w:val="009F23BC"/>
    <w:rsid w:val="009F2BF7"/>
    <w:rsid w:val="009F2C31"/>
    <w:rsid w:val="009F2E69"/>
    <w:rsid w:val="009F2FBC"/>
    <w:rsid w:val="009F57AA"/>
    <w:rsid w:val="009F5CDE"/>
    <w:rsid w:val="009F6B87"/>
    <w:rsid w:val="009F7FDD"/>
    <w:rsid w:val="00A026CF"/>
    <w:rsid w:val="00A0281C"/>
    <w:rsid w:val="00A02B1B"/>
    <w:rsid w:val="00A02C80"/>
    <w:rsid w:val="00A02E39"/>
    <w:rsid w:val="00A034F8"/>
    <w:rsid w:val="00A0691C"/>
    <w:rsid w:val="00A06B84"/>
    <w:rsid w:val="00A071FD"/>
    <w:rsid w:val="00A11429"/>
    <w:rsid w:val="00A11533"/>
    <w:rsid w:val="00A119B3"/>
    <w:rsid w:val="00A128AA"/>
    <w:rsid w:val="00A12BFD"/>
    <w:rsid w:val="00A13E11"/>
    <w:rsid w:val="00A1456C"/>
    <w:rsid w:val="00A1485D"/>
    <w:rsid w:val="00A14E78"/>
    <w:rsid w:val="00A151C1"/>
    <w:rsid w:val="00A15223"/>
    <w:rsid w:val="00A16387"/>
    <w:rsid w:val="00A16E67"/>
    <w:rsid w:val="00A20EF6"/>
    <w:rsid w:val="00A2247B"/>
    <w:rsid w:val="00A22738"/>
    <w:rsid w:val="00A23583"/>
    <w:rsid w:val="00A2370E"/>
    <w:rsid w:val="00A24F7E"/>
    <w:rsid w:val="00A252C2"/>
    <w:rsid w:val="00A255B3"/>
    <w:rsid w:val="00A26AF8"/>
    <w:rsid w:val="00A27480"/>
    <w:rsid w:val="00A27820"/>
    <w:rsid w:val="00A27D8E"/>
    <w:rsid w:val="00A27E43"/>
    <w:rsid w:val="00A30890"/>
    <w:rsid w:val="00A30A8D"/>
    <w:rsid w:val="00A31222"/>
    <w:rsid w:val="00A3183C"/>
    <w:rsid w:val="00A31CCE"/>
    <w:rsid w:val="00A32577"/>
    <w:rsid w:val="00A336C6"/>
    <w:rsid w:val="00A339BF"/>
    <w:rsid w:val="00A341D1"/>
    <w:rsid w:val="00A344FF"/>
    <w:rsid w:val="00A35850"/>
    <w:rsid w:val="00A35D0C"/>
    <w:rsid w:val="00A379D5"/>
    <w:rsid w:val="00A37A0C"/>
    <w:rsid w:val="00A405CE"/>
    <w:rsid w:val="00A41288"/>
    <w:rsid w:val="00A4180F"/>
    <w:rsid w:val="00A43A36"/>
    <w:rsid w:val="00A43DDD"/>
    <w:rsid w:val="00A43F40"/>
    <w:rsid w:val="00A448BC"/>
    <w:rsid w:val="00A47BE7"/>
    <w:rsid w:val="00A47C5F"/>
    <w:rsid w:val="00A47E6F"/>
    <w:rsid w:val="00A51718"/>
    <w:rsid w:val="00A51AF2"/>
    <w:rsid w:val="00A52F59"/>
    <w:rsid w:val="00A53014"/>
    <w:rsid w:val="00A5302F"/>
    <w:rsid w:val="00A532A2"/>
    <w:rsid w:val="00A53F95"/>
    <w:rsid w:val="00A54527"/>
    <w:rsid w:val="00A54DD6"/>
    <w:rsid w:val="00A55263"/>
    <w:rsid w:val="00A5599B"/>
    <w:rsid w:val="00A55B3A"/>
    <w:rsid w:val="00A55FFD"/>
    <w:rsid w:val="00A56370"/>
    <w:rsid w:val="00A56AE0"/>
    <w:rsid w:val="00A578F4"/>
    <w:rsid w:val="00A57DB4"/>
    <w:rsid w:val="00A600C5"/>
    <w:rsid w:val="00A60235"/>
    <w:rsid w:val="00A6039E"/>
    <w:rsid w:val="00A6085D"/>
    <w:rsid w:val="00A6178F"/>
    <w:rsid w:val="00A61803"/>
    <w:rsid w:val="00A63631"/>
    <w:rsid w:val="00A63930"/>
    <w:rsid w:val="00A644E5"/>
    <w:rsid w:val="00A64ED9"/>
    <w:rsid w:val="00A6510E"/>
    <w:rsid w:val="00A6583C"/>
    <w:rsid w:val="00A663EF"/>
    <w:rsid w:val="00A667B3"/>
    <w:rsid w:val="00A70253"/>
    <w:rsid w:val="00A708FC"/>
    <w:rsid w:val="00A70965"/>
    <w:rsid w:val="00A7112E"/>
    <w:rsid w:val="00A712FF"/>
    <w:rsid w:val="00A716AC"/>
    <w:rsid w:val="00A73038"/>
    <w:rsid w:val="00A74551"/>
    <w:rsid w:val="00A757FA"/>
    <w:rsid w:val="00A7670D"/>
    <w:rsid w:val="00A7766A"/>
    <w:rsid w:val="00A77787"/>
    <w:rsid w:val="00A77C63"/>
    <w:rsid w:val="00A8023F"/>
    <w:rsid w:val="00A803E9"/>
    <w:rsid w:val="00A8045C"/>
    <w:rsid w:val="00A8078F"/>
    <w:rsid w:val="00A8268C"/>
    <w:rsid w:val="00A82B57"/>
    <w:rsid w:val="00A8325F"/>
    <w:rsid w:val="00A83B7C"/>
    <w:rsid w:val="00A83E9E"/>
    <w:rsid w:val="00A83EB8"/>
    <w:rsid w:val="00A844DB"/>
    <w:rsid w:val="00A85BBB"/>
    <w:rsid w:val="00A85FFB"/>
    <w:rsid w:val="00A862FB"/>
    <w:rsid w:val="00A86874"/>
    <w:rsid w:val="00A86BEC"/>
    <w:rsid w:val="00A9063F"/>
    <w:rsid w:val="00A91580"/>
    <w:rsid w:val="00A92555"/>
    <w:rsid w:val="00A92DFD"/>
    <w:rsid w:val="00A92E0D"/>
    <w:rsid w:val="00A9374C"/>
    <w:rsid w:val="00A94FA9"/>
    <w:rsid w:val="00A95311"/>
    <w:rsid w:val="00A96C4F"/>
    <w:rsid w:val="00A96DFD"/>
    <w:rsid w:val="00A978C0"/>
    <w:rsid w:val="00AA2916"/>
    <w:rsid w:val="00AA29AC"/>
    <w:rsid w:val="00AA3DBC"/>
    <w:rsid w:val="00AA4023"/>
    <w:rsid w:val="00AA51B4"/>
    <w:rsid w:val="00AA6C20"/>
    <w:rsid w:val="00AA78BF"/>
    <w:rsid w:val="00AB0260"/>
    <w:rsid w:val="00AB055A"/>
    <w:rsid w:val="00AB058C"/>
    <w:rsid w:val="00AB0F9A"/>
    <w:rsid w:val="00AB1032"/>
    <w:rsid w:val="00AB15B5"/>
    <w:rsid w:val="00AB1AA4"/>
    <w:rsid w:val="00AB2EF6"/>
    <w:rsid w:val="00AB49B9"/>
    <w:rsid w:val="00AB5BC1"/>
    <w:rsid w:val="00AB5E00"/>
    <w:rsid w:val="00AB6E56"/>
    <w:rsid w:val="00AC0E19"/>
    <w:rsid w:val="00AC13A3"/>
    <w:rsid w:val="00AC152D"/>
    <w:rsid w:val="00AC1D7A"/>
    <w:rsid w:val="00AC35D3"/>
    <w:rsid w:val="00AC3D06"/>
    <w:rsid w:val="00AC419B"/>
    <w:rsid w:val="00AC4C86"/>
    <w:rsid w:val="00AC516D"/>
    <w:rsid w:val="00AC6067"/>
    <w:rsid w:val="00AC6DED"/>
    <w:rsid w:val="00AC7448"/>
    <w:rsid w:val="00AC7826"/>
    <w:rsid w:val="00AC7E17"/>
    <w:rsid w:val="00AD0524"/>
    <w:rsid w:val="00AD0F3C"/>
    <w:rsid w:val="00AD17E5"/>
    <w:rsid w:val="00AD19E0"/>
    <w:rsid w:val="00AD24EC"/>
    <w:rsid w:val="00AD24F8"/>
    <w:rsid w:val="00AD2A6B"/>
    <w:rsid w:val="00AD2F4E"/>
    <w:rsid w:val="00AD2FFF"/>
    <w:rsid w:val="00AD3371"/>
    <w:rsid w:val="00AD3519"/>
    <w:rsid w:val="00AD42B6"/>
    <w:rsid w:val="00AD5536"/>
    <w:rsid w:val="00AD5B2C"/>
    <w:rsid w:val="00AD71C3"/>
    <w:rsid w:val="00AE0389"/>
    <w:rsid w:val="00AE0645"/>
    <w:rsid w:val="00AE0F21"/>
    <w:rsid w:val="00AE1892"/>
    <w:rsid w:val="00AE2022"/>
    <w:rsid w:val="00AE2531"/>
    <w:rsid w:val="00AE2667"/>
    <w:rsid w:val="00AE304D"/>
    <w:rsid w:val="00AE3907"/>
    <w:rsid w:val="00AE4B3F"/>
    <w:rsid w:val="00AE54B5"/>
    <w:rsid w:val="00AE6120"/>
    <w:rsid w:val="00AE6191"/>
    <w:rsid w:val="00AE6631"/>
    <w:rsid w:val="00AE758C"/>
    <w:rsid w:val="00AE784F"/>
    <w:rsid w:val="00AF0A92"/>
    <w:rsid w:val="00AF1D52"/>
    <w:rsid w:val="00AF28FE"/>
    <w:rsid w:val="00AF2C24"/>
    <w:rsid w:val="00AF31B4"/>
    <w:rsid w:val="00AF4B1B"/>
    <w:rsid w:val="00AF55F3"/>
    <w:rsid w:val="00AF5D42"/>
    <w:rsid w:val="00AF6D32"/>
    <w:rsid w:val="00AF7314"/>
    <w:rsid w:val="00AF7711"/>
    <w:rsid w:val="00AF77C6"/>
    <w:rsid w:val="00AF78CF"/>
    <w:rsid w:val="00B00486"/>
    <w:rsid w:val="00B00B8E"/>
    <w:rsid w:val="00B00EC6"/>
    <w:rsid w:val="00B011E8"/>
    <w:rsid w:val="00B016E1"/>
    <w:rsid w:val="00B01AA6"/>
    <w:rsid w:val="00B04465"/>
    <w:rsid w:val="00B06B1A"/>
    <w:rsid w:val="00B06E6C"/>
    <w:rsid w:val="00B10AE6"/>
    <w:rsid w:val="00B11551"/>
    <w:rsid w:val="00B12080"/>
    <w:rsid w:val="00B1310E"/>
    <w:rsid w:val="00B134BD"/>
    <w:rsid w:val="00B148D5"/>
    <w:rsid w:val="00B14B0E"/>
    <w:rsid w:val="00B159A6"/>
    <w:rsid w:val="00B15B40"/>
    <w:rsid w:val="00B15F2B"/>
    <w:rsid w:val="00B1654B"/>
    <w:rsid w:val="00B16F47"/>
    <w:rsid w:val="00B17981"/>
    <w:rsid w:val="00B20F28"/>
    <w:rsid w:val="00B22D45"/>
    <w:rsid w:val="00B25122"/>
    <w:rsid w:val="00B25253"/>
    <w:rsid w:val="00B2531C"/>
    <w:rsid w:val="00B267D0"/>
    <w:rsid w:val="00B26DA7"/>
    <w:rsid w:val="00B26F3D"/>
    <w:rsid w:val="00B275F3"/>
    <w:rsid w:val="00B277F8"/>
    <w:rsid w:val="00B302CB"/>
    <w:rsid w:val="00B304A4"/>
    <w:rsid w:val="00B31289"/>
    <w:rsid w:val="00B32018"/>
    <w:rsid w:val="00B321F8"/>
    <w:rsid w:val="00B32389"/>
    <w:rsid w:val="00B32390"/>
    <w:rsid w:val="00B329F0"/>
    <w:rsid w:val="00B337AC"/>
    <w:rsid w:val="00B3419A"/>
    <w:rsid w:val="00B342AC"/>
    <w:rsid w:val="00B34E44"/>
    <w:rsid w:val="00B35071"/>
    <w:rsid w:val="00B35118"/>
    <w:rsid w:val="00B3556D"/>
    <w:rsid w:val="00B35F89"/>
    <w:rsid w:val="00B37919"/>
    <w:rsid w:val="00B37B80"/>
    <w:rsid w:val="00B37D3E"/>
    <w:rsid w:val="00B37F66"/>
    <w:rsid w:val="00B40A83"/>
    <w:rsid w:val="00B40CB6"/>
    <w:rsid w:val="00B41E6E"/>
    <w:rsid w:val="00B4229D"/>
    <w:rsid w:val="00B423A6"/>
    <w:rsid w:val="00B424FD"/>
    <w:rsid w:val="00B4513A"/>
    <w:rsid w:val="00B464B5"/>
    <w:rsid w:val="00B47552"/>
    <w:rsid w:val="00B47C41"/>
    <w:rsid w:val="00B50DF3"/>
    <w:rsid w:val="00B52A26"/>
    <w:rsid w:val="00B52F0B"/>
    <w:rsid w:val="00B52F13"/>
    <w:rsid w:val="00B541C2"/>
    <w:rsid w:val="00B5475E"/>
    <w:rsid w:val="00B56CC2"/>
    <w:rsid w:val="00B5707D"/>
    <w:rsid w:val="00B57C11"/>
    <w:rsid w:val="00B6233A"/>
    <w:rsid w:val="00B624E5"/>
    <w:rsid w:val="00B62F23"/>
    <w:rsid w:val="00B639E3"/>
    <w:rsid w:val="00B6517A"/>
    <w:rsid w:val="00B65D6B"/>
    <w:rsid w:val="00B671EA"/>
    <w:rsid w:val="00B67A5C"/>
    <w:rsid w:val="00B67ACF"/>
    <w:rsid w:val="00B703A5"/>
    <w:rsid w:val="00B70BF4"/>
    <w:rsid w:val="00B723EC"/>
    <w:rsid w:val="00B72542"/>
    <w:rsid w:val="00B72557"/>
    <w:rsid w:val="00B72D28"/>
    <w:rsid w:val="00B72ED7"/>
    <w:rsid w:val="00B72FB1"/>
    <w:rsid w:val="00B72FEC"/>
    <w:rsid w:val="00B73009"/>
    <w:rsid w:val="00B73334"/>
    <w:rsid w:val="00B73FA2"/>
    <w:rsid w:val="00B74553"/>
    <w:rsid w:val="00B74631"/>
    <w:rsid w:val="00B76BD2"/>
    <w:rsid w:val="00B77023"/>
    <w:rsid w:val="00B7782C"/>
    <w:rsid w:val="00B77F42"/>
    <w:rsid w:val="00B80757"/>
    <w:rsid w:val="00B80D89"/>
    <w:rsid w:val="00B81073"/>
    <w:rsid w:val="00B81815"/>
    <w:rsid w:val="00B8328F"/>
    <w:rsid w:val="00B83756"/>
    <w:rsid w:val="00B83F52"/>
    <w:rsid w:val="00B84E1F"/>
    <w:rsid w:val="00B85A53"/>
    <w:rsid w:val="00B85BDB"/>
    <w:rsid w:val="00B877DC"/>
    <w:rsid w:val="00B9034B"/>
    <w:rsid w:val="00B923DA"/>
    <w:rsid w:val="00B92DFF"/>
    <w:rsid w:val="00B92FAD"/>
    <w:rsid w:val="00B94675"/>
    <w:rsid w:val="00B96F54"/>
    <w:rsid w:val="00B973EE"/>
    <w:rsid w:val="00BA0CE3"/>
    <w:rsid w:val="00BA2146"/>
    <w:rsid w:val="00BA5EAA"/>
    <w:rsid w:val="00BA628A"/>
    <w:rsid w:val="00BA66FC"/>
    <w:rsid w:val="00BA6815"/>
    <w:rsid w:val="00BA76D4"/>
    <w:rsid w:val="00BB08C1"/>
    <w:rsid w:val="00BB0FB5"/>
    <w:rsid w:val="00BB1141"/>
    <w:rsid w:val="00BB13E1"/>
    <w:rsid w:val="00BB15FA"/>
    <w:rsid w:val="00BB19F1"/>
    <w:rsid w:val="00BB21F2"/>
    <w:rsid w:val="00BB2FD0"/>
    <w:rsid w:val="00BB3A7C"/>
    <w:rsid w:val="00BB407E"/>
    <w:rsid w:val="00BC035D"/>
    <w:rsid w:val="00BC07CE"/>
    <w:rsid w:val="00BC0FD7"/>
    <w:rsid w:val="00BC15B1"/>
    <w:rsid w:val="00BC3BF8"/>
    <w:rsid w:val="00BC4447"/>
    <w:rsid w:val="00BC47B8"/>
    <w:rsid w:val="00BC49B8"/>
    <w:rsid w:val="00BC57FA"/>
    <w:rsid w:val="00BC5E14"/>
    <w:rsid w:val="00BC656F"/>
    <w:rsid w:val="00BC665D"/>
    <w:rsid w:val="00BC68A8"/>
    <w:rsid w:val="00BC7908"/>
    <w:rsid w:val="00BD0852"/>
    <w:rsid w:val="00BD117F"/>
    <w:rsid w:val="00BD2F66"/>
    <w:rsid w:val="00BD3037"/>
    <w:rsid w:val="00BD3431"/>
    <w:rsid w:val="00BD5202"/>
    <w:rsid w:val="00BD5CC1"/>
    <w:rsid w:val="00BD62D7"/>
    <w:rsid w:val="00BD760F"/>
    <w:rsid w:val="00BE0A69"/>
    <w:rsid w:val="00BE0BAD"/>
    <w:rsid w:val="00BE1B8F"/>
    <w:rsid w:val="00BE3379"/>
    <w:rsid w:val="00BE384A"/>
    <w:rsid w:val="00BE3B80"/>
    <w:rsid w:val="00BE3C6E"/>
    <w:rsid w:val="00BF00FC"/>
    <w:rsid w:val="00BF0947"/>
    <w:rsid w:val="00BF0A3E"/>
    <w:rsid w:val="00BF1F77"/>
    <w:rsid w:val="00BF3CFF"/>
    <w:rsid w:val="00BF520A"/>
    <w:rsid w:val="00BF5DA1"/>
    <w:rsid w:val="00BF61DA"/>
    <w:rsid w:val="00BF7173"/>
    <w:rsid w:val="00BF753F"/>
    <w:rsid w:val="00BF7B30"/>
    <w:rsid w:val="00C015AC"/>
    <w:rsid w:val="00C01B5D"/>
    <w:rsid w:val="00C02C65"/>
    <w:rsid w:val="00C0484C"/>
    <w:rsid w:val="00C0547C"/>
    <w:rsid w:val="00C07540"/>
    <w:rsid w:val="00C07613"/>
    <w:rsid w:val="00C10C71"/>
    <w:rsid w:val="00C120B5"/>
    <w:rsid w:val="00C12398"/>
    <w:rsid w:val="00C1258A"/>
    <w:rsid w:val="00C13713"/>
    <w:rsid w:val="00C13D5F"/>
    <w:rsid w:val="00C15648"/>
    <w:rsid w:val="00C15AE2"/>
    <w:rsid w:val="00C15F61"/>
    <w:rsid w:val="00C16DF7"/>
    <w:rsid w:val="00C170BF"/>
    <w:rsid w:val="00C1712E"/>
    <w:rsid w:val="00C17F5A"/>
    <w:rsid w:val="00C2105C"/>
    <w:rsid w:val="00C211BD"/>
    <w:rsid w:val="00C2156B"/>
    <w:rsid w:val="00C21810"/>
    <w:rsid w:val="00C226BE"/>
    <w:rsid w:val="00C228C0"/>
    <w:rsid w:val="00C22FC5"/>
    <w:rsid w:val="00C2354D"/>
    <w:rsid w:val="00C2478B"/>
    <w:rsid w:val="00C257AC"/>
    <w:rsid w:val="00C26184"/>
    <w:rsid w:val="00C3072D"/>
    <w:rsid w:val="00C3252B"/>
    <w:rsid w:val="00C3267D"/>
    <w:rsid w:val="00C3318F"/>
    <w:rsid w:val="00C34610"/>
    <w:rsid w:val="00C35645"/>
    <w:rsid w:val="00C36AF0"/>
    <w:rsid w:val="00C37487"/>
    <w:rsid w:val="00C37894"/>
    <w:rsid w:val="00C40E3A"/>
    <w:rsid w:val="00C41F91"/>
    <w:rsid w:val="00C43EA5"/>
    <w:rsid w:val="00C448AF"/>
    <w:rsid w:val="00C50A86"/>
    <w:rsid w:val="00C51042"/>
    <w:rsid w:val="00C52DD6"/>
    <w:rsid w:val="00C53282"/>
    <w:rsid w:val="00C53824"/>
    <w:rsid w:val="00C53C6A"/>
    <w:rsid w:val="00C54300"/>
    <w:rsid w:val="00C543B1"/>
    <w:rsid w:val="00C55696"/>
    <w:rsid w:val="00C55E35"/>
    <w:rsid w:val="00C560AF"/>
    <w:rsid w:val="00C56264"/>
    <w:rsid w:val="00C60E64"/>
    <w:rsid w:val="00C6239D"/>
    <w:rsid w:val="00C63E68"/>
    <w:rsid w:val="00C64DFD"/>
    <w:rsid w:val="00C652FA"/>
    <w:rsid w:val="00C653D8"/>
    <w:rsid w:val="00C658A8"/>
    <w:rsid w:val="00C66097"/>
    <w:rsid w:val="00C66A56"/>
    <w:rsid w:val="00C711A3"/>
    <w:rsid w:val="00C746F2"/>
    <w:rsid w:val="00C74A7A"/>
    <w:rsid w:val="00C74D5B"/>
    <w:rsid w:val="00C75869"/>
    <w:rsid w:val="00C7637D"/>
    <w:rsid w:val="00C77186"/>
    <w:rsid w:val="00C77B09"/>
    <w:rsid w:val="00C80A99"/>
    <w:rsid w:val="00C80AFF"/>
    <w:rsid w:val="00C80D14"/>
    <w:rsid w:val="00C8100A"/>
    <w:rsid w:val="00C8124E"/>
    <w:rsid w:val="00C84290"/>
    <w:rsid w:val="00C842CF"/>
    <w:rsid w:val="00C84A1A"/>
    <w:rsid w:val="00C84B9D"/>
    <w:rsid w:val="00C873FB"/>
    <w:rsid w:val="00C90CDB"/>
    <w:rsid w:val="00C91224"/>
    <w:rsid w:val="00C9415E"/>
    <w:rsid w:val="00C942B5"/>
    <w:rsid w:val="00C95DB9"/>
    <w:rsid w:val="00C9656B"/>
    <w:rsid w:val="00C9695C"/>
    <w:rsid w:val="00C96EA2"/>
    <w:rsid w:val="00C97A96"/>
    <w:rsid w:val="00CA22AE"/>
    <w:rsid w:val="00CA2A73"/>
    <w:rsid w:val="00CA35D5"/>
    <w:rsid w:val="00CA39BF"/>
    <w:rsid w:val="00CA3D65"/>
    <w:rsid w:val="00CA4233"/>
    <w:rsid w:val="00CA4256"/>
    <w:rsid w:val="00CA4C05"/>
    <w:rsid w:val="00CA5012"/>
    <w:rsid w:val="00CA59E2"/>
    <w:rsid w:val="00CA73BE"/>
    <w:rsid w:val="00CA77C4"/>
    <w:rsid w:val="00CB0E13"/>
    <w:rsid w:val="00CB1EA0"/>
    <w:rsid w:val="00CB29CB"/>
    <w:rsid w:val="00CB2CBE"/>
    <w:rsid w:val="00CB3252"/>
    <w:rsid w:val="00CB35CC"/>
    <w:rsid w:val="00CB3893"/>
    <w:rsid w:val="00CB3AA0"/>
    <w:rsid w:val="00CB43B2"/>
    <w:rsid w:val="00CB47FF"/>
    <w:rsid w:val="00CB5080"/>
    <w:rsid w:val="00CB51ED"/>
    <w:rsid w:val="00CB56C3"/>
    <w:rsid w:val="00CB63D0"/>
    <w:rsid w:val="00CB7447"/>
    <w:rsid w:val="00CB7EA8"/>
    <w:rsid w:val="00CC18B5"/>
    <w:rsid w:val="00CC301D"/>
    <w:rsid w:val="00CC4F46"/>
    <w:rsid w:val="00CC62AD"/>
    <w:rsid w:val="00CC658C"/>
    <w:rsid w:val="00CC6A71"/>
    <w:rsid w:val="00CC6D23"/>
    <w:rsid w:val="00CC6D64"/>
    <w:rsid w:val="00CD088F"/>
    <w:rsid w:val="00CD1613"/>
    <w:rsid w:val="00CD338F"/>
    <w:rsid w:val="00CD3C75"/>
    <w:rsid w:val="00CD3F33"/>
    <w:rsid w:val="00CD42DD"/>
    <w:rsid w:val="00CD4468"/>
    <w:rsid w:val="00CD4712"/>
    <w:rsid w:val="00CD512E"/>
    <w:rsid w:val="00CD60E0"/>
    <w:rsid w:val="00CD620F"/>
    <w:rsid w:val="00CD62B9"/>
    <w:rsid w:val="00CD64A5"/>
    <w:rsid w:val="00CD65A9"/>
    <w:rsid w:val="00CD6CDD"/>
    <w:rsid w:val="00CD7376"/>
    <w:rsid w:val="00CD7980"/>
    <w:rsid w:val="00CD7DC5"/>
    <w:rsid w:val="00CE03E8"/>
    <w:rsid w:val="00CE092D"/>
    <w:rsid w:val="00CE0B34"/>
    <w:rsid w:val="00CE1C24"/>
    <w:rsid w:val="00CE28FA"/>
    <w:rsid w:val="00CE2DE8"/>
    <w:rsid w:val="00CE315D"/>
    <w:rsid w:val="00CE3775"/>
    <w:rsid w:val="00CE3FBF"/>
    <w:rsid w:val="00CE5A2C"/>
    <w:rsid w:val="00CF1761"/>
    <w:rsid w:val="00CF1D58"/>
    <w:rsid w:val="00CF211F"/>
    <w:rsid w:val="00CF2194"/>
    <w:rsid w:val="00CF2579"/>
    <w:rsid w:val="00CF2904"/>
    <w:rsid w:val="00CF5582"/>
    <w:rsid w:val="00CF5ACE"/>
    <w:rsid w:val="00CF6C40"/>
    <w:rsid w:val="00CF7A83"/>
    <w:rsid w:val="00D00E23"/>
    <w:rsid w:val="00D010FA"/>
    <w:rsid w:val="00D01124"/>
    <w:rsid w:val="00D011DE"/>
    <w:rsid w:val="00D011E8"/>
    <w:rsid w:val="00D01388"/>
    <w:rsid w:val="00D01766"/>
    <w:rsid w:val="00D01F77"/>
    <w:rsid w:val="00D02C04"/>
    <w:rsid w:val="00D05128"/>
    <w:rsid w:val="00D053E7"/>
    <w:rsid w:val="00D05EE7"/>
    <w:rsid w:val="00D06E60"/>
    <w:rsid w:val="00D0723E"/>
    <w:rsid w:val="00D07871"/>
    <w:rsid w:val="00D07D5A"/>
    <w:rsid w:val="00D120A3"/>
    <w:rsid w:val="00D12452"/>
    <w:rsid w:val="00D12C1B"/>
    <w:rsid w:val="00D12CD6"/>
    <w:rsid w:val="00D14B84"/>
    <w:rsid w:val="00D152B0"/>
    <w:rsid w:val="00D15655"/>
    <w:rsid w:val="00D15A93"/>
    <w:rsid w:val="00D177F8"/>
    <w:rsid w:val="00D17C0D"/>
    <w:rsid w:val="00D17CC9"/>
    <w:rsid w:val="00D17F12"/>
    <w:rsid w:val="00D20780"/>
    <w:rsid w:val="00D21199"/>
    <w:rsid w:val="00D214E7"/>
    <w:rsid w:val="00D21FB2"/>
    <w:rsid w:val="00D231C5"/>
    <w:rsid w:val="00D236F7"/>
    <w:rsid w:val="00D2373B"/>
    <w:rsid w:val="00D23A76"/>
    <w:rsid w:val="00D256BC"/>
    <w:rsid w:val="00D25B1D"/>
    <w:rsid w:val="00D25B3A"/>
    <w:rsid w:val="00D26158"/>
    <w:rsid w:val="00D2680E"/>
    <w:rsid w:val="00D27F86"/>
    <w:rsid w:val="00D3051C"/>
    <w:rsid w:val="00D308E3"/>
    <w:rsid w:val="00D32854"/>
    <w:rsid w:val="00D33EF1"/>
    <w:rsid w:val="00D33FA7"/>
    <w:rsid w:val="00D34C39"/>
    <w:rsid w:val="00D35358"/>
    <w:rsid w:val="00D360D8"/>
    <w:rsid w:val="00D36ACC"/>
    <w:rsid w:val="00D36E67"/>
    <w:rsid w:val="00D377CE"/>
    <w:rsid w:val="00D37B00"/>
    <w:rsid w:val="00D404CF"/>
    <w:rsid w:val="00D4349F"/>
    <w:rsid w:val="00D4389A"/>
    <w:rsid w:val="00D4394E"/>
    <w:rsid w:val="00D43C80"/>
    <w:rsid w:val="00D4426A"/>
    <w:rsid w:val="00D4426D"/>
    <w:rsid w:val="00D44A76"/>
    <w:rsid w:val="00D44B46"/>
    <w:rsid w:val="00D45058"/>
    <w:rsid w:val="00D4578F"/>
    <w:rsid w:val="00D47224"/>
    <w:rsid w:val="00D47255"/>
    <w:rsid w:val="00D477B9"/>
    <w:rsid w:val="00D47F63"/>
    <w:rsid w:val="00D508F5"/>
    <w:rsid w:val="00D50CBB"/>
    <w:rsid w:val="00D513B2"/>
    <w:rsid w:val="00D528E6"/>
    <w:rsid w:val="00D52C5B"/>
    <w:rsid w:val="00D53095"/>
    <w:rsid w:val="00D5426E"/>
    <w:rsid w:val="00D544F3"/>
    <w:rsid w:val="00D54D57"/>
    <w:rsid w:val="00D55218"/>
    <w:rsid w:val="00D55988"/>
    <w:rsid w:val="00D55D4F"/>
    <w:rsid w:val="00D55FFF"/>
    <w:rsid w:val="00D5654B"/>
    <w:rsid w:val="00D57730"/>
    <w:rsid w:val="00D577E6"/>
    <w:rsid w:val="00D60498"/>
    <w:rsid w:val="00D61401"/>
    <w:rsid w:val="00D626A5"/>
    <w:rsid w:val="00D62C54"/>
    <w:rsid w:val="00D62DA2"/>
    <w:rsid w:val="00D6561A"/>
    <w:rsid w:val="00D65987"/>
    <w:rsid w:val="00D67576"/>
    <w:rsid w:val="00D67F1E"/>
    <w:rsid w:val="00D702D6"/>
    <w:rsid w:val="00D70ABD"/>
    <w:rsid w:val="00D724E1"/>
    <w:rsid w:val="00D72BCF"/>
    <w:rsid w:val="00D73241"/>
    <w:rsid w:val="00D73FF1"/>
    <w:rsid w:val="00D7536B"/>
    <w:rsid w:val="00D754F6"/>
    <w:rsid w:val="00D7555C"/>
    <w:rsid w:val="00D758C4"/>
    <w:rsid w:val="00D8136A"/>
    <w:rsid w:val="00D81E35"/>
    <w:rsid w:val="00D82A08"/>
    <w:rsid w:val="00D82F3E"/>
    <w:rsid w:val="00D831A6"/>
    <w:rsid w:val="00D84061"/>
    <w:rsid w:val="00D8493D"/>
    <w:rsid w:val="00D853FE"/>
    <w:rsid w:val="00D86E08"/>
    <w:rsid w:val="00D8707E"/>
    <w:rsid w:val="00D8796C"/>
    <w:rsid w:val="00D90B55"/>
    <w:rsid w:val="00D91BFE"/>
    <w:rsid w:val="00D9202A"/>
    <w:rsid w:val="00D93543"/>
    <w:rsid w:val="00D93792"/>
    <w:rsid w:val="00D93D35"/>
    <w:rsid w:val="00D94932"/>
    <w:rsid w:val="00D960AB"/>
    <w:rsid w:val="00D96529"/>
    <w:rsid w:val="00D97CCB"/>
    <w:rsid w:val="00D97DA7"/>
    <w:rsid w:val="00DA1B89"/>
    <w:rsid w:val="00DA2E50"/>
    <w:rsid w:val="00DA36AA"/>
    <w:rsid w:val="00DA4C64"/>
    <w:rsid w:val="00DA70BF"/>
    <w:rsid w:val="00DA7A15"/>
    <w:rsid w:val="00DA7E3A"/>
    <w:rsid w:val="00DB010A"/>
    <w:rsid w:val="00DB0DA8"/>
    <w:rsid w:val="00DB29DB"/>
    <w:rsid w:val="00DB2F1A"/>
    <w:rsid w:val="00DB3295"/>
    <w:rsid w:val="00DB33B6"/>
    <w:rsid w:val="00DB4861"/>
    <w:rsid w:val="00DB48CD"/>
    <w:rsid w:val="00DB7399"/>
    <w:rsid w:val="00DB7ED8"/>
    <w:rsid w:val="00DC020D"/>
    <w:rsid w:val="00DC0551"/>
    <w:rsid w:val="00DC1CDD"/>
    <w:rsid w:val="00DC20B3"/>
    <w:rsid w:val="00DC2B2E"/>
    <w:rsid w:val="00DC326E"/>
    <w:rsid w:val="00DC4341"/>
    <w:rsid w:val="00DC4461"/>
    <w:rsid w:val="00DC65FA"/>
    <w:rsid w:val="00DC6FFE"/>
    <w:rsid w:val="00DD0201"/>
    <w:rsid w:val="00DD0994"/>
    <w:rsid w:val="00DD25F3"/>
    <w:rsid w:val="00DD26CD"/>
    <w:rsid w:val="00DD3229"/>
    <w:rsid w:val="00DD5345"/>
    <w:rsid w:val="00DD6101"/>
    <w:rsid w:val="00DD6A33"/>
    <w:rsid w:val="00DD7C62"/>
    <w:rsid w:val="00DE002A"/>
    <w:rsid w:val="00DE0368"/>
    <w:rsid w:val="00DE20FF"/>
    <w:rsid w:val="00DE2665"/>
    <w:rsid w:val="00DE34F7"/>
    <w:rsid w:val="00DE360E"/>
    <w:rsid w:val="00DE3DB5"/>
    <w:rsid w:val="00DE43AC"/>
    <w:rsid w:val="00DE58CC"/>
    <w:rsid w:val="00DE6910"/>
    <w:rsid w:val="00DE6C4F"/>
    <w:rsid w:val="00DF041E"/>
    <w:rsid w:val="00DF0546"/>
    <w:rsid w:val="00DF068F"/>
    <w:rsid w:val="00DF1679"/>
    <w:rsid w:val="00DF22C2"/>
    <w:rsid w:val="00DF2579"/>
    <w:rsid w:val="00DF3F46"/>
    <w:rsid w:val="00DF4B19"/>
    <w:rsid w:val="00DF5258"/>
    <w:rsid w:val="00DF57C4"/>
    <w:rsid w:val="00DF5CCC"/>
    <w:rsid w:val="00DF7A97"/>
    <w:rsid w:val="00DF7AD1"/>
    <w:rsid w:val="00DF7F3A"/>
    <w:rsid w:val="00E00B02"/>
    <w:rsid w:val="00E01104"/>
    <w:rsid w:val="00E02A2D"/>
    <w:rsid w:val="00E038ED"/>
    <w:rsid w:val="00E03C4A"/>
    <w:rsid w:val="00E0460B"/>
    <w:rsid w:val="00E05879"/>
    <w:rsid w:val="00E05C89"/>
    <w:rsid w:val="00E10B65"/>
    <w:rsid w:val="00E11388"/>
    <w:rsid w:val="00E12727"/>
    <w:rsid w:val="00E12A95"/>
    <w:rsid w:val="00E12CFF"/>
    <w:rsid w:val="00E1396C"/>
    <w:rsid w:val="00E141E6"/>
    <w:rsid w:val="00E14491"/>
    <w:rsid w:val="00E14BDE"/>
    <w:rsid w:val="00E20A06"/>
    <w:rsid w:val="00E22764"/>
    <w:rsid w:val="00E23A5F"/>
    <w:rsid w:val="00E23EA5"/>
    <w:rsid w:val="00E24874"/>
    <w:rsid w:val="00E248E2"/>
    <w:rsid w:val="00E24A3A"/>
    <w:rsid w:val="00E24FEA"/>
    <w:rsid w:val="00E25136"/>
    <w:rsid w:val="00E25842"/>
    <w:rsid w:val="00E25965"/>
    <w:rsid w:val="00E259F7"/>
    <w:rsid w:val="00E264EA"/>
    <w:rsid w:val="00E26935"/>
    <w:rsid w:val="00E26AD5"/>
    <w:rsid w:val="00E2729C"/>
    <w:rsid w:val="00E273BF"/>
    <w:rsid w:val="00E31606"/>
    <w:rsid w:val="00E31F5C"/>
    <w:rsid w:val="00E32A08"/>
    <w:rsid w:val="00E33590"/>
    <w:rsid w:val="00E33E4C"/>
    <w:rsid w:val="00E34DDA"/>
    <w:rsid w:val="00E350E8"/>
    <w:rsid w:val="00E35853"/>
    <w:rsid w:val="00E36748"/>
    <w:rsid w:val="00E36807"/>
    <w:rsid w:val="00E36BA5"/>
    <w:rsid w:val="00E36F93"/>
    <w:rsid w:val="00E377FD"/>
    <w:rsid w:val="00E40A87"/>
    <w:rsid w:val="00E40E95"/>
    <w:rsid w:val="00E427DE"/>
    <w:rsid w:val="00E43123"/>
    <w:rsid w:val="00E43C1F"/>
    <w:rsid w:val="00E45551"/>
    <w:rsid w:val="00E45C0A"/>
    <w:rsid w:val="00E46021"/>
    <w:rsid w:val="00E4628A"/>
    <w:rsid w:val="00E464A0"/>
    <w:rsid w:val="00E46B96"/>
    <w:rsid w:val="00E46C7F"/>
    <w:rsid w:val="00E46D24"/>
    <w:rsid w:val="00E47419"/>
    <w:rsid w:val="00E479C7"/>
    <w:rsid w:val="00E50568"/>
    <w:rsid w:val="00E50BC4"/>
    <w:rsid w:val="00E50C4C"/>
    <w:rsid w:val="00E50F07"/>
    <w:rsid w:val="00E51B06"/>
    <w:rsid w:val="00E51FB2"/>
    <w:rsid w:val="00E5220B"/>
    <w:rsid w:val="00E528E3"/>
    <w:rsid w:val="00E54F31"/>
    <w:rsid w:val="00E5580B"/>
    <w:rsid w:val="00E5685A"/>
    <w:rsid w:val="00E56900"/>
    <w:rsid w:val="00E60A0A"/>
    <w:rsid w:val="00E60B3F"/>
    <w:rsid w:val="00E60CA6"/>
    <w:rsid w:val="00E60DD1"/>
    <w:rsid w:val="00E610FE"/>
    <w:rsid w:val="00E61FCC"/>
    <w:rsid w:val="00E62F0E"/>
    <w:rsid w:val="00E63052"/>
    <w:rsid w:val="00E63737"/>
    <w:rsid w:val="00E6411F"/>
    <w:rsid w:val="00E64EFB"/>
    <w:rsid w:val="00E650FF"/>
    <w:rsid w:val="00E651BB"/>
    <w:rsid w:val="00E66181"/>
    <w:rsid w:val="00E67E09"/>
    <w:rsid w:val="00E707EB"/>
    <w:rsid w:val="00E710B1"/>
    <w:rsid w:val="00E7156C"/>
    <w:rsid w:val="00E718DD"/>
    <w:rsid w:val="00E71C2C"/>
    <w:rsid w:val="00E71F86"/>
    <w:rsid w:val="00E75535"/>
    <w:rsid w:val="00E75CE0"/>
    <w:rsid w:val="00E75DD6"/>
    <w:rsid w:val="00E76A0B"/>
    <w:rsid w:val="00E76B4C"/>
    <w:rsid w:val="00E76BB8"/>
    <w:rsid w:val="00E8170B"/>
    <w:rsid w:val="00E8184E"/>
    <w:rsid w:val="00E827A9"/>
    <w:rsid w:val="00E83063"/>
    <w:rsid w:val="00E83714"/>
    <w:rsid w:val="00E85EC9"/>
    <w:rsid w:val="00E86604"/>
    <w:rsid w:val="00E86668"/>
    <w:rsid w:val="00E86D9C"/>
    <w:rsid w:val="00E8751C"/>
    <w:rsid w:val="00E8751F"/>
    <w:rsid w:val="00E90145"/>
    <w:rsid w:val="00E902AF"/>
    <w:rsid w:val="00E917F7"/>
    <w:rsid w:val="00E918E2"/>
    <w:rsid w:val="00E9251D"/>
    <w:rsid w:val="00E92968"/>
    <w:rsid w:val="00E9301D"/>
    <w:rsid w:val="00E937F8"/>
    <w:rsid w:val="00E93934"/>
    <w:rsid w:val="00E93F24"/>
    <w:rsid w:val="00E93FBB"/>
    <w:rsid w:val="00E949C7"/>
    <w:rsid w:val="00E94BD2"/>
    <w:rsid w:val="00E94EB9"/>
    <w:rsid w:val="00E97A43"/>
    <w:rsid w:val="00EA11F2"/>
    <w:rsid w:val="00EA147A"/>
    <w:rsid w:val="00EA2356"/>
    <w:rsid w:val="00EA2550"/>
    <w:rsid w:val="00EA4815"/>
    <w:rsid w:val="00EA48EB"/>
    <w:rsid w:val="00EA60DA"/>
    <w:rsid w:val="00EA60F3"/>
    <w:rsid w:val="00EA64E7"/>
    <w:rsid w:val="00EA6A4A"/>
    <w:rsid w:val="00EB0A32"/>
    <w:rsid w:val="00EB1754"/>
    <w:rsid w:val="00EB1A8E"/>
    <w:rsid w:val="00EB1C71"/>
    <w:rsid w:val="00EB1DDB"/>
    <w:rsid w:val="00EB2DF9"/>
    <w:rsid w:val="00EB3325"/>
    <w:rsid w:val="00EB3CE9"/>
    <w:rsid w:val="00EB3E5D"/>
    <w:rsid w:val="00EB4508"/>
    <w:rsid w:val="00EB4671"/>
    <w:rsid w:val="00EB4861"/>
    <w:rsid w:val="00EB5B04"/>
    <w:rsid w:val="00EB62A8"/>
    <w:rsid w:val="00EC0A12"/>
    <w:rsid w:val="00EC0E32"/>
    <w:rsid w:val="00EC1030"/>
    <w:rsid w:val="00EC173B"/>
    <w:rsid w:val="00EC1D03"/>
    <w:rsid w:val="00EC25CF"/>
    <w:rsid w:val="00EC33A6"/>
    <w:rsid w:val="00EC36AF"/>
    <w:rsid w:val="00EC4DFE"/>
    <w:rsid w:val="00EC5866"/>
    <w:rsid w:val="00EC5A6F"/>
    <w:rsid w:val="00EC6A40"/>
    <w:rsid w:val="00EC7272"/>
    <w:rsid w:val="00EC7B22"/>
    <w:rsid w:val="00EC7C2D"/>
    <w:rsid w:val="00ED0FBC"/>
    <w:rsid w:val="00ED1189"/>
    <w:rsid w:val="00ED1C46"/>
    <w:rsid w:val="00ED2277"/>
    <w:rsid w:val="00ED25E5"/>
    <w:rsid w:val="00ED2BE1"/>
    <w:rsid w:val="00ED2D97"/>
    <w:rsid w:val="00ED30F6"/>
    <w:rsid w:val="00ED6FFB"/>
    <w:rsid w:val="00ED7EC9"/>
    <w:rsid w:val="00EE07EC"/>
    <w:rsid w:val="00EE138D"/>
    <w:rsid w:val="00EE2D47"/>
    <w:rsid w:val="00EE4AB9"/>
    <w:rsid w:val="00EE50D4"/>
    <w:rsid w:val="00EE55A9"/>
    <w:rsid w:val="00EE5A8A"/>
    <w:rsid w:val="00EE6EAB"/>
    <w:rsid w:val="00EE71C3"/>
    <w:rsid w:val="00EE71EF"/>
    <w:rsid w:val="00EE7591"/>
    <w:rsid w:val="00EE7AEE"/>
    <w:rsid w:val="00EF19EE"/>
    <w:rsid w:val="00EF1BF7"/>
    <w:rsid w:val="00EF3FAA"/>
    <w:rsid w:val="00EF46A0"/>
    <w:rsid w:val="00EF6100"/>
    <w:rsid w:val="00EF64AE"/>
    <w:rsid w:val="00F01E9A"/>
    <w:rsid w:val="00F049BD"/>
    <w:rsid w:val="00F0530B"/>
    <w:rsid w:val="00F062BA"/>
    <w:rsid w:val="00F06469"/>
    <w:rsid w:val="00F0704A"/>
    <w:rsid w:val="00F117AA"/>
    <w:rsid w:val="00F12F68"/>
    <w:rsid w:val="00F133E9"/>
    <w:rsid w:val="00F1387F"/>
    <w:rsid w:val="00F13F5E"/>
    <w:rsid w:val="00F140DA"/>
    <w:rsid w:val="00F15306"/>
    <w:rsid w:val="00F156D9"/>
    <w:rsid w:val="00F15D8A"/>
    <w:rsid w:val="00F15FCE"/>
    <w:rsid w:val="00F206F0"/>
    <w:rsid w:val="00F20794"/>
    <w:rsid w:val="00F209EE"/>
    <w:rsid w:val="00F20CFF"/>
    <w:rsid w:val="00F21E22"/>
    <w:rsid w:val="00F22873"/>
    <w:rsid w:val="00F22A82"/>
    <w:rsid w:val="00F233B8"/>
    <w:rsid w:val="00F239D3"/>
    <w:rsid w:val="00F24180"/>
    <w:rsid w:val="00F243C5"/>
    <w:rsid w:val="00F24B6C"/>
    <w:rsid w:val="00F259C8"/>
    <w:rsid w:val="00F261E0"/>
    <w:rsid w:val="00F26530"/>
    <w:rsid w:val="00F2682B"/>
    <w:rsid w:val="00F270D4"/>
    <w:rsid w:val="00F275B4"/>
    <w:rsid w:val="00F27660"/>
    <w:rsid w:val="00F3053F"/>
    <w:rsid w:val="00F30D44"/>
    <w:rsid w:val="00F30E20"/>
    <w:rsid w:val="00F327F4"/>
    <w:rsid w:val="00F329B2"/>
    <w:rsid w:val="00F32DE8"/>
    <w:rsid w:val="00F355B8"/>
    <w:rsid w:val="00F3565B"/>
    <w:rsid w:val="00F358D9"/>
    <w:rsid w:val="00F361E8"/>
    <w:rsid w:val="00F361EE"/>
    <w:rsid w:val="00F366D7"/>
    <w:rsid w:val="00F36B1D"/>
    <w:rsid w:val="00F3785A"/>
    <w:rsid w:val="00F37CF2"/>
    <w:rsid w:val="00F4332A"/>
    <w:rsid w:val="00F43A78"/>
    <w:rsid w:val="00F44E88"/>
    <w:rsid w:val="00F45E5F"/>
    <w:rsid w:val="00F46E17"/>
    <w:rsid w:val="00F47CA4"/>
    <w:rsid w:val="00F52913"/>
    <w:rsid w:val="00F52D7D"/>
    <w:rsid w:val="00F52F76"/>
    <w:rsid w:val="00F53E8B"/>
    <w:rsid w:val="00F54613"/>
    <w:rsid w:val="00F54D7B"/>
    <w:rsid w:val="00F54F31"/>
    <w:rsid w:val="00F55486"/>
    <w:rsid w:val="00F567E5"/>
    <w:rsid w:val="00F56DAE"/>
    <w:rsid w:val="00F56EDC"/>
    <w:rsid w:val="00F57240"/>
    <w:rsid w:val="00F5763E"/>
    <w:rsid w:val="00F57E3C"/>
    <w:rsid w:val="00F60206"/>
    <w:rsid w:val="00F61CF8"/>
    <w:rsid w:val="00F651B3"/>
    <w:rsid w:val="00F70DEA"/>
    <w:rsid w:val="00F71009"/>
    <w:rsid w:val="00F71118"/>
    <w:rsid w:val="00F7130A"/>
    <w:rsid w:val="00F72C2E"/>
    <w:rsid w:val="00F733DD"/>
    <w:rsid w:val="00F735D6"/>
    <w:rsid w:val="00F74232"/>
    <w:rsid w:val="00F747E7"/>
    <w:rsid w:val="00F74C77"/>
    <w:rsid w:val="00F74F23"/>
    <w:rsid w:val="00F7535E"/>
    <w:rsid w:val="00F76294"/>
    <w:rsid w:val="00F764B0"/>
    <w:rsid w:val="00F770A0"/>
    <w:rsid w:val="00F81DDC"/>
    <w:rsid w:val="00F82E97"/>
    <w:rsid w:val="00F846F8"/>
    <w:rsid w:val="00F852B2"/>
    <w:rsid w:val="00F85383"/>
    <w:rsid w:val="00F85583"/>
    <w:rsid w:val="00F87C6B"/>
    <w:rsid w:val="00F87D60"/>
    <w:rsid w:val="00F90012"/>
    <w:rsid w:val="00F92D3E"/>
    <w:rsid w:val="00F93101"/>
    <w:rsid w:val="00F93590"/>
    <w:rsid w:val="00F94A43"/>
    <w:rsid w:val="00F9558D"/>
    <w:rsid w:val="00F96036"/>
    <w:rsid w:val="00F979D2"/>
    <w:rsid w:val="00FA07D7"/>
    <w:rsid w:val="00FA0AC6"/>
    <w:rsid w:val="00FA151B"/>
    <w:rsid w:val="00FA3351"/>
    <w:rsid w:val="00FA3431"/>
    <w:rsid w:val="00FA456D"/>
    <w:rsid w:val="00FA5D5F"/>
    <w:rsid w:val="00FA6EB4"/>
    <w:rsid w:val="00FB059E"/>
    <w:rsid w:val="00FB16B8"/>
    <w:rsid w:val="00FB2554"/>
    <w:rsid w:val="00FB3592"/>
    <w:rsid w:val="00FB48CE"/>
    <w:rsid w:val="00FB5279"/>
    <w:rsid w:val="00FB61B4"/>
    <w:rsid w:val="00FB684B"/>
    <w:rsid w:val="00FB76A8"/>
    <w:rsid w:val="00FC05E0"/>
    <w:rsid w:val="00FC2089"/>
    <w:rsid w:val="00FC29A0"/>
    <w:rsid w:val="00FC3227"/>
    <w:rsid w:val="00FC3E11"/>
    <w:rsid w:val="00FC44F6"/>
    <w:rsid w:val="00FC4EA4"/>
    <w:rsid w:val="00FC654F"/>
    <w:rsid w:val="00FC7F67"/>
    <w:rsid w:val="00FD06EA"/>
    <w:rsid w:val="00FD39F1"/>
    <w:rsid w:val="00FD3EBB"/>
    <w:rsid w:val="00FD4115"/>
    <w:rsid w:val="00FD4F56"/>
    <w:rsid w:val="00FD511D"/>
    <w:rsid w:val="00FD5419"/>
    <w:rsid w:val="00FD5AF8"/>
    <w:rsid w:val="00FD5E08"/>
    <w:rsid w:val="00FD6DA8"/>
    <w:rsid w:val="00FD731F"/>
    <w:rsid w:val="00FE0281"/>
    <w:rsid w:val="00FE1FA3"/>
    <w:rsid w:val="00FE240A"/>
    <w:rsid w:val="00FE27C8"/>
    <w:rsid w:val="00FE2AB0"/>
    <w:rsid w:val="00FE2E76"/>
    <w:rsid w:val="00FE54F6"/>
    <w:rsid w:val="00FE5D6C"/>
    <w:rsid w:val="00FE6A48"/>
    <w:rsid w:val="00FE7602"/>
    <w:rsid w:val="00FE771A"/>
    <w:rsid w:val="00FE7A9F"/>
    <w:rsid w:val="00FF0C3A"/>
    <w:rsid w:val="00FF0E64"/>
    <w:rsid w:val="00FF1035"/>
    <w:rsid w:val="00FF199D"/>
    <w:rsid w:val="00FF2BED"/>
    <w:rsid w:val="00FF2CFB"/>
    <w:rsid w:val="00FF2DBE"/>
    <w:rsid w:val="00FF31D0"/>
    <w:rsid w:val="00FF322D"/>
    <w:rsid w:val="00FF3A21"/>
    <w:rsid w:val="00FF3A82"/>
    <w:rsid w:val="00FF4C7C"/>
    <w:rsid w:val="00FF539E"/>
    <w:rsid w:val="00FF5D12"/>
    <w:rsid w:val="00FF5E53"/>
    <w:rsid w:val="00FF6430"/>
    <w:rsid w:val="00FF7C28"/>
    <w:rsid w:val="00FF7E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7A874"/>
  <w15:chartTrackingRefBased/>
  <w15:docId w15:val="{66CF4B3F-B1EA-714F-990C-DCBCB73A9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Calibr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11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B11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6B1A"/>
    <w:pPr>
      <w:keepNext/>
      <w:keepLines/>
      <w:spacing w:before="40" w:line="259" w:lineRule="auto"/>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15FA"/>
    <w:rPr>
      <w:rFonts w:cs="Times New Roman"/>
      <w:sz w:val="18"/>
      <w:szCs w:val="18"/>
    </w:rPr>
  </w:style>
  <w:style w:type="character" w:customStyle="1" w:styleId="BalloonTextChar">
    <w:name w:val="Balloon Text Char"/>
    <w:basedOn w:val="DefaultParagraphFont"/>
    <w:link w:val="BalloonText"/>
    <w:uiPriority w:val="99"/>
    <w:semiHidden/>
    <w:rsid w:val="00BB15FA"/>
    <w:rPr>
      <w:rFonts w:cs="Times New Roman"/>
      <w:sz w:val="18"/>
      <w:szCs w:val="18"/>
    </w:rPr>
  </w:style>
  <w:style w:type="character" w:customStyle="1" w:styleId="Heading1Char">
    <w:name w:val="Heading 1 Char"/>
    <w:basedOn w:val="DefaultParagraphFont"/>
    <w:link w:val="Heading1"/>
    <w:uiPriority w:val="9"/>
    <w:rsid w:val="00BB11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B114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B1141"/>
    <w:pPr>
      <w:ind w:left="720"/>
      <w:contextualSpacing/>
    </w:pPr>
  </w:style>
  <w:style w:type="character" w:styleId="Hyperlink">
    <w:name w:val="Hyperlink"/>
    <w:basedOn w:val="DefaultParagraphFont"/>
    <w:uiPriority w:val="99"/>
    <w:unhideWhenUsed/>
    <w:rsid w:val="00BB1141"/>
    <w:rPr>
      <w:color w:val="0563C1" w:themeColor="hyperlink"/>
      <w:u w:val="single"/>
    </w:rPr>
  </w:style>
  <w:style w:type="character" w:styleId="CommentReference">
    <w:name w:val="annotation reference"/>
    <w:basedOn w:val="DefaultParagraphFont"/>
    <w:uiPriority w:val="99"/>
    <w:semiHidden/>
    <w:unhideWhenUsed/>
    <w:rsid w:val="00BB1141"/>
    <w:rPr>
      <w:sz w:val="16"/>
      <w:szCs w:val="16"/>
    </w:rPr>
  </w:style>
  <w:style w:type="paragraph" w:styleId="CommentText">
    <w:name w:val="annotation text"/>
    <w:basedOn w:val="Normal"/>
    <w:link w:val="CommentTextChar"/>
    <w:uiPriority w:val="99"/>
    <w:semiHidden/>
    <w:unhideWhenUsed/>
    <w:rsid w:val="00BB1141"/>
    <w:rPr>
      <w:sz w:val="20"/>
      <w:szCs w:val="20"/>
    </w:rPr>
  </w:style>
  <w:style w:type="character" w:customStyle="1" w:styleId="CommentTextChar">
    <w:name w:val="Comment Text Char"/>
    <w:basedOn w:val="DefaultParagraphFont"/>
    <w:link w:val="CommentText"/>
    <w:uiPriority w:val="99"/>
    <w:semiHidden/>
    <w:rsid w:val="00BB1141"/>
    <w:rPr>
      <w:sz w:val="20"/>
      <w:szCs w:val="20"/>
    </w:rPr>
  </w:style>
  <w:style w:type="character" w:styleId="FollowedHyperlink">
    <w:name w:val="FollowedHyperlink"/>
    <w:basedOn w:val="DefaultParagraphFont"/>
    <w:uiPriority w:val="99"/>
    <w:semiHidden/>
    <w:unhideWhenUsed/>
    <w:rsid w:val="00CF2579"/>
    <w:rPr>
      <w:color w:val="954F72" w:themeColor="followedHyperlink"/>
      <w:u w:val="single"/>
    </w:rPr>
  </w:style>
  <w:style w:type="character" w:customStyle="1" w:styleId="UnresolvedMention1">
    <w:name w:val="Unresolved Mention1"/>
    <w:basedOn w:val="DefaultParagraphFont"/>
    <w:uiPriority w:val="99"/>
    <w:semiHidden/>
    <w:unhideWhenUsed/>
    <w:rsid w:val="00CF2579"/>
    <w:rPr>
      <w:color w:val="605E5C"/>
      <w:shd w:val="clear" w:color="auto" w:fill="E1DFDD"/>
    </w:rPr>
  </w:style>
  <w:style w:type="paragraph" w:styleId="FootnoteText">
    <w:name w:val="footnote text"/>
    <w:basedOn w:val="Normal"/>
    <w:link w:val="FootnoteTextChar"/>
    <w:uiPriority w:val="99"/>
    <w:unhideWhenUsed/>
    <w:rsid w:val="00CF2579"/>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CF2579"/>
    <w:rPr>
      <w:rFonts w:asciiTheme="minorHAnsi" w:hAnsiTheme="minorHAnsi" w:cstheme="minorBidi"/>
      <w:sz w:val="20"/>
      <w:szCs w:val="20"/>
    </w:rPr>
  </w:style>
  <w:style w:type="character" w:styleId="FootnoteReference">
    <w:name w:val="footnote reference"/>
    <w:basedOn w:val="DefaultParagraphFont"/>
    <w:uiPriority w:val="99"/>
    <w:unhideWhenUsed/>
    <w:rsid w:val="00CF2579"/>
    <w:rPr>
      <w:vertAlign w:val="superscript"/>
    </w:rPr>
  </w:style>
  <w:style w:type="paragraph" w:styleId="HTMLPreformatted">
    <w:name w:val="HTML Preformatted"/>
    <w:basedOn w:val="Normal"/>
    <w:link w:val="HTMLPreformattedChar"/>
    <w:uiPriority w:val="99"/>
    <w:unhideWhenUsed/>
    <w:rsid w:val="00CF25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CF2579"/>
    <w:rPr>
      <w:rFonts w:ascii="Courier New" w:eastAsia="Times New Roman" w:hAnsi="Courier New" w:cs="Courier New"/>
      <w:sz w:val="20"/>
      <w:szCs w:val="20"/>
      <w:lang w:eastAsia="zh-CN"/>
    </w:rPr>
  </w:style>
  <w:style w:type="table" w:styleId="TableGrid">
    <w:name w:val="Table Grid"/>
    <w:basedOn w:val="TableNormal"/>
    <w:uiPriority w:val="39"/>
    <w:rsid w:val="00C711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D6DA8"/>
    <w:rPr>
      <w:b/>
      <w:bCs/>
    </w:rPr>
  </w:style>
  <w:style w:type="character" w:customStyle="1" w:styleId="CommentSubjectChar">
    <w:name w:val="Comment Subject Char"/>
    <w:basedOn w:val="CommentTextChar"/>
    <w:link w:val="CommentSubject"/>
    <w:uiPriority w:val="99"/>
    <w:semiHidden/>
    <w:rsid w:val="00FD6DA8"/>
    <w:rPr>
      <w:b/>
      <w:bCs/>
      <w:sz w:val="20"/>
      <w:szCs w:val="20"/>
    </w:rPr>
  </w:style>
  <w:style w:type="character" w:customStyle="1" w:styleId="Heading3Char">
    <w:name w:val="Heading 3 Char"/>
    <w:basedOn w:val="DefaultParagraphFont"/>
    <w:link w:val="Heading3"/>
    <w:uiPriority w:val="9"/>
    <w:rsid w:val="00B06B1A"/>
    <w:rPr>
      <w:rFonts w:asciiTheme="majorHAnsi" w:eastAsiaTheme="majorEastAsia" w:hAnsiTheme="majorHAnsi" w:cstheme="majorBidi"/>
      <w:color w:val="1F3763" w:themeColor="accent1" w:themeShade="7F"/>
      <w:sz w:val="24"/>
      <w:szCs w:val="24"/>
    </w:rPr>
  </w:style>
  <w:style w:type="character" w:customStyle="1" w:styleId="status">
    <w:name w:val="status"/>
    <w:basedOn w:val="DefaultParagraphFont"/>
    <w:rsid w:val="00453AD4"/>
  </w:style>
  <w:style w:type="character" w:customStyle="1" w:styleId="red">
    <w:name w:val="red"/>
    <w:basedOn w:val="DefaultParagraphFont"/>
    <w:rsid w:val="00453AD4"/>
  </w:style>
  <w:style w:type="paragraph" w:styleId="NormalWeb">
    <w:name w:val="Normal (Web)"/>
    <w:basedOn w:val="Normal"/>
    <w:uiPriority w:val="99"/>
    <w:semiHidden/>
    <w:unhideWhenUsed/>
    <w:rsid w:val="00A74551"/>
    <w:pPr>
      <w:spacing w:before="100" w:beforeAutospacing="1" w:after="100" w:afterAutospacing="1"/>
    </w:pPr>
    <w:rPr>
      <w:rFonts w:eastAsia="Times New Roman" w:cs="Times New Roman"/>
      <w:sz w:val="24"/>
      <w:szCs w:val="24"/>
      <w:lang w:eastAsia="en-AU"/>
    </w:rPr>
  </w:style>
  <w:style w:type="character" w:styleId="PlaceholderText">
    <w:name w:val="Placeholder Text"/>
    <w:basedOn w:val="DefaultParagraphFont"/>
    <w:uiPriority w:val="99"/>
    <w:semiHidden/>
    <w:rsid w:val="007326E4"/>
    <w:rPr>
      <w:color w:val="808080"/>
    </w:rPr>
  </w:style>
  <w:style w:type="character" w:customStyle="1" w:styleId="citation">
    <w:name w:val="citation"/>
    <w:basedOn w:val="DefaultParagraphFont"/>
    <w:rsid w:val="0033255A"/>
  </w:style>
  <w:style w:type="character" w:customStyle="1" w:styleId="doi">
    <w:name w:val="doi"/>
    <w:basedOn w:val="DefaultParagraphFont"/>
    <w:rsid w:val="0033255A"/>
  </w:style>
  <w:style w:type="paragraph" w:styleId="Header">
    <w:name w:val="header"/>
    <w:basedOn w:val="Normal"/>
    <w:link w:val="HeaderChar"/>
    <w:uiPriority w:val="99"/>
    <w:unhideWhenUsed/>
    <w:rsid w:val="009F1B30"/>
    <w:pPr>
      <w:tabs>
        <w:tab w:val="center" w:pos="4513"/>
        <w:tab w:val="right" w:pos="9026"/>
      </w:tabs>
    </w:pPr>
  </w:style>
  <w:style w:type="character" w:customStyle="1" w:styleId="HeaderChar">
    <w:name w:val="Header Char"/>
    <w:basedOn w:val="DefaultParagraphFont"/>
    <w:link w:val="Header"/>
    <w:uiPriority w:val="99"/>
    <w:rsid w:val="009F1B30"/>
  </w:style>
  <w:style w:type="paragraph" w:styleId="Footer">
    <w:name w:val="footer"/>
    <w:basedOn w:val="Normal"/>
    <w:link w:val="FooterChar"/>
    <w:uiPriority w:val="99"/>
    <w:unhideWhenUsed/>
    <w:rsid w:val="009F1B30"/>
    <w:pPr>
      <w:tabs>
        <w:tab w:val="center" w:pos="4513"/>
        <w:tab w:val="right" w:pos="9026"/>
      </w:tabs>
    </w:pPr>
  </w:style>
  <w:style w:type="character" w:customStyle="1" w:styleId="FooterChar">
    <w:name w:val="Footer Char"/>
    <w:basedOn w:val="DefaultParagraphFont"/>
    <w:link w:val="Footer"/>
    <w:uiPriority w:val="99"/>
    <w:rsid w:val="009F1B30"/>
  </w:style>
  <w:style w:type="paragraph" w:styleId="Revision">
    <w:name w:val="Revision"/>
    <w:hidden/>
    <w:uiPriority w:val="99"/>
    <w:semiHidden/>
    <w:rsid w:val="005811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66140">
      <w:bodyDiv w:val="1"/>
      <w:marLeft w:val="0"/>
      <w:marRight w:val="0"/>
      <w:marTop w:val="0"/>
      <w:marBottom w:val="0"/>
      <w:divBdr>
        <w:top w:val="none" w:sz="0" w:space="0" w:color="auto"/>
        <w:left w:val="none" w:sz="0" w:space="0" w:color="auto"/>
        <w:bottom w:val="none" w:sz="0" w:space="0" w:color="auto"/>
        <w:right w:val="none" w:sz="0" w:space="0" w:color="auto"/>
      </w:divBdr>
    </w:div>
    <w:div w:id="338508663">
      <w:bodyDiv w:val="1"/>
      <w:marLeft w:val="0"/>
      <w:marRight w:val="0"/>
      <w:marTop w:val="0"/>
      <w:marBottom w:val="0"/>
      <w:divBdr>
        <w:top w:val="none" w:sz="0" w:space="0" w:color="auto"/>
        <w:left w:val="none" w:sz="0" w:space="0" w:color="auto"/>
        <w:bottom w:val="none" w:sz="0" w:space="0" w:color="auto"/>
        <w:right w:val="none" w:sz="0" w:space="0" w:color="auto"/>
      </w:divBdr>
    </w:div>
    <w:div w:id="413279083">
      <w:bodyDiv w:val="1"/>
      <w:marLeft w:val="0"/>
      <w:marRight w:val="0"/>
      <w:marTop w:val="0"/>
      <w:marBottom w:val="0"/>
      <w:divBdr>
        <w:top w:val="none" w:sz="0" w:space="0" w:color="auto"/>
        <w:left w:val="none" w:sz="0" w:space="0" w:color="auto"/>
        <w:bottom w:val="none" w:sz="0" w:space="0" w:color="auto"/>
        <w:right w:val="none" w:sz="0" w:space="0" w:color="auto"/>
      </w:divBdr>
      <w:divsChild>
        <w:div w:id="732509461">
          <w:marLeft w:val="0"/>
          <w:marRight w:val="0"/>
          <w:marTop w:val="0"/>
          <w:marBottom w:val="0"/>
          <w:divBdr>
            <w:top w:val="none" w:sz="0" w:space="0" w:color="auto"/>
            <w:left w:val="none" w:sz="0" w:space="0" w:color="auto"/>
            <w:bottom w:val="none" w:sz="0" w:space="0" w:color="auto"/>
            <w:right w:val="none" w:sz="0" w:space="0" w:color="auto"/>
          </w:divBdr>
          <w:divsChild>
            <w:div w:id="1339581551">
              <w:marLeft w:val="0"/>
              <w:marRight w:val="0"/>
              <w:marTop w:val="0"/>
              <w:marBottom w:val="0"/>
              <w:divBdr>
                <w:top w:val="none" w:sz="0" w:space="0" w:color="auto"/>
                <w:left w:val="none" w:sz="0" w:space="0" w:color="auto"/>
                <w:bottom w:val="none" w:sz="0" w:space="0" w:color="auto"/>
                <w:right w:val="none" w:sz="0" w:space="0" w:color="auto"/>
              </w:divBdr>
            </w:div>
          </w:divsChild>
        </w:div>
        <w:div w:id="1318681072">
          <w:marLeft w:val="0"/>
          <w:marRight w:val="0"/>
          <w:marTop w:val="0"/>
          <w:marBottom w:val="0"/>
          <w:divBdr>
            <w:top w:val="none" w:sz="0" w:space="0" w:color="auto"/>
            <w:left w:val="none" w:sz="0" w:space="0" w:color="auto"/>
            <w:bottom w:val="none" w:sz="0" w:space="0" w:color="auto"/>
            <w:right w:val="none" w:sz="0" w:space="0" w:color="auto"/>
          </w:divBdr>
          <w:divsChild>
            <w:div w:id="2003197550">
              <w:marLeft w:val="0"/>
              <w:marRight w:val="0"/>
              <w:marTop w:val="0"/>
              <w:marBottom w:val="0"/>
              <w:divBdr>
                <w:top w:val="none" w:sz="0" w:space="0" w:color="auto"/>
                <w:left w:val="none" w:sz="0" w:space="0" w:color="auto"/>
                <w:bottom w:val="single" w:sz="36" w:space="0" w:color="F2F2F2"/>
                <w:right w:val="none" w:sz="0" w:space="0" w:color="auto"/>
              </w:divBdr>
            </w:div>
          </w:divsChild>
        </w:div>
      </w:divsChild>
    </w:div>
    <w:div w:id="724720795">
      <w:bodyDiv w:val="1"/>
      <w:marLeft w:val="0"/>
      <w:marRight w:val="0"/>
      <w:marTop w:val="0"/>
      <w:marBottom w:val="0"/>
      <w:divBdr>
        <w:top w:val="none" w:sz="0" w:space="0" w:color="auto"/>
        <w:left w:val="none" w:sz="0" w:space="0" w:color="auto"/>
        <w:bottom w:val="none" w:sz="0" w:space="0" w:color="auto"/>
        <w:right w:val="none" w:sz="0" w:space="0" w:color="auto"/>
      </w:divBdr>
    </w:div>
    <w:div w:id="1138761042">
      <w:bodyDiv w:val="1"/>
      <w:marLeft w:val="0"/>
      <w:marRight w:val="0"/>
      <w:marTop w:val="0"/>
      <w:marBottom w:val="0"/>
      <w:divBdr>
        <w:top w:val="none" w:sz="0" w:space="0" w:color="auto"/>
        <w:left w:val="none" w:sz="0" w:space="0" w:color="auto"/>
        <w:bottom w:val="none" w:sz="0" w:space="0" w:color="auto"/>
        <w:right w:val="none" w:sz="0" w:space="0" w:color="auto"/>
      </w:divBdr>
    </w:div>
    <w:div w:id="1156457213">
      <w:bodyDiv w:val="1"/>
      <w:marLeft w:val="0"/>
      <w:marRight w:val="0"/>
      <w:marTop w:val="0"/>
      <w:marBottom w:val="0"/>
      <w:divBdr>
        <w:top w:val="none" w:sz="0" w:space="0" w:color="auto"/>
        <w:left w:val="none" w:sz="0" w:space="0" w:color="auto"/>
        <w:bottom w:val="none" w:sz="0" w:space="0" w:color="auto"/>
        <w:right w:val="none" w:sz="0" w:space="0" w:color="auto"/>
      </w:divBdr>
    </w:div>
    <w:div w:id="1210846153">
      <w:bodyDiv w:val="1"/>
      <w:marLeft w:val="0"/>
      <w:marRight w:val="0"/>
      <w:marTop w:val="0"/>
      <w:marBottom w:val="0"/>
      <w:divBdr>
        <w:top w:val="none" w:sz="0" w:space="0" w:color="auto"/>
        <w:left w:val="none" w:sz="0" w:space="0" w:color="auto"/>
        <w:bottom w:val="none" w:sz="0" w:space="0" w:color="auto"/>
        <w:right w:val="none" w:sz="0" w:space="0" w:color="auto"/>
      </w:divBdr>
    </w:div>
    <w:div w:id="1359237163">
      <w:bodyDiv w:val="1"/>
      <w:marLeft w:val="0"/>
      <w:marRight w:val="0"/>
      <w:marTop w:val="0"/>
      <w:marBottom w:val="0"/>
      <w:divBdr>
        <w:top w:val="none" w:sz="0" w:space="0" w:color="auto"/>
        <w:left w:val="none" w:sz="0" w:space="0" w:color="auto"/>
        <w:bottom w:val="none" w:sz="0" w:space="0" w:color="auto"/>
        <w:right w:val="none" w:sz="0" w:space="0" w:color="auto"/>
      </w:divBdr>
    </w:div>
    <w:div w:id="1688288581">
      <w:bodyDiv w:val="1"/>
      <w:marLeft w:val="0"/>
      <w:marRight w:val="0"/>
      <w:marTop w:val="0"/>
      <w:marBottom w:val="0"/>
      <w:divBdr>
        <w:top w:val="none" w:sz="0" w:space="0" w:color="auto"/>
        <w:left w:val="none" w:sz="0" w:space="0" w:color="auto"/>
        <w:bottom w:val="none" w:sz="0" w:space="0" w:color="auto"/>
        <w:right w:val="none" w:sz="0" w:space="0" w:color="auto"/>
      </w:divBdr>
    </w:div>
    <w:div w:id="1770084436">
      <w:bodyDiv w:val="1"/>
      <w:marLeft w:val="0"/>
      <w:marRight w:val="0"/>
      <w:marTop w:val="0"/>
      <w:marBottom w:val="0"/>
      <w:divBdr>
        <w:top w:val="none" w:sz="0" w:space="0" w:color="auto"/>
        <w:left w:val="none" w:sz="0" w:space="0" w:color="auto"/>
        <w:bottom w:val="none" w:sz="0" w:space="0" w:color="auto"/>
        <w:right w:val="none" w:sz="0" w:space="0" w:color="auto"/>
      </w:divBdr>
    </w:div>
    <w:div w:id="1985743245">
      <w:bodyDiv w:val="1"/>
      <w:marLeft w:val="0"/>
      <w:marRight w:val="0"/>
      <w:marTop w:val="0"/>
      <w:marBottom w:val="0"/>
      <w:divBdr>
        <w:top w:val="none" w:sz="0" w:space="0" w:color="auto"/>
        <w:left w:val="none" w:sz="0" w:space="0" w:color="auto"/>
        <w:bottom w:val="none" w:sz="0" w:space="0" w:color="auto"/>
        <w:right w:val="none" w:sz="0" w:space="0" w:color="auto"/>
      </w:divBdr>
    </w:div>
    <w:div w:id="2007635034">
      <w:bodyDiv w:val="1"/>
      <w:marLeft w:val="0"/>
      <w:marRight w:val="0"/>
      <w:marTop w:val="0"/>
      <w:marBottom w:val="0"/>
      <w:divBdr>
        <w:top w:val="none" w:sz="0" w:space="0" w:color="auto"/>
        <w:left w:val="none" w:sz="0" w:space="0" w:color="auto"/>
        <w:bottom w:val="none" w:sz="0" w:space="0" w:color="auto"/>
        <w:right w:val="none" w:sz="0" w:space="0" w:color="auto"/>
      </w:divBdr>
    </w:div>
    <w:div w:id="2038197141">
      <w:bodyDiv w:val="1"/>
      <w:marLeft w:val="0"/>
      <w:marRight w:val="0"/>
      <w:marTop w:val="0"/>
      <w:marBottom w:val="0"/>
      <w:divBdr>
        <w:top w:val="none" w:sz="0" w:space="0" w:color="auto"/>
        <w:left w:val="none" w:sz="0" w:space="0" w:color="auto"/>
        <w:bottom w:val="none" w:sz="0" w:space="0" w:color="auto"/>
        <w:right w:val="none" w:sz="0" w:space="0" w:color="auto"/>
      </w:divBdr>
    </w:div>
    <w:div w:id="2111733287">
      <w:bodyDiv w:val="1"/>
      <w:marLeft w:val="0"/>
      <w:marRight w:val="0"/>
      <w:marTop w:val="0"/>
      <w:marBottom w:val="0"/>
      <w:divBdr>
        <w:top w:val="none" w:sz="0" w:space="0" w:color="auto"/>
        <w:left w:val="none" w:sz="0" w:space="0" w:color="auto"/>
        <w:bottom w:val="none" w:sz="0" w:space="0" w:color="auto"/>
        <w:right w:val="none" w:sz="0" w:space="0" w:color="auto"/>
      </w:divBdr>
      <w:divsChild>
        <w:div w:id="205799028">
          <w:marLeft w:val="300"/>
          <w:marRight w:val="75"/>
          <w:marTop w:val="150"/>
          <w:marBottom w:val="75"/>
          <w:divBdr>
            <w:top w:val="none" w:sz="0" w:space="0" w:color="auto"/>
            <w:left w:val="none" w:sz="0" w:space="0" w:color="auto"/>
            <w:bottom w:val="none" w:sz="0" w:space="0" w:color="auto"/>
            <w:right w:val="none" w:sz="0" w:space="0" w:color="auto"/>
          </w:divBdr>
        </w:div>
        <w:div w:id="298388330">
          <w:marLeft w:val="240"/>
          <w:marRight w:val="75"/>
          <w:marTop w:val="75"/>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chart" Target="charts/chart6.xm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image" Target="media/image1.gif"/><Relationship Id="rId25" Type="http://schemas.openxmlformats.org/officeDocument/2006/relationships/image" Target="media/image6.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chart" Target="charts/chart5.xml"/><Relationship Id="rId20" Type="http://schemas.openxmlformats.org/officeDocument/2006/relationships/chart" Target="charts/chart8.xml"/><Relationship Id="rId29" Type="http://schemas.openxmlformats.org/officeDocument/2006/relationships/hyperlink" Target="https://www.niaa.gov.au/sites/default/files/publications/ipp-guide.pdf"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ibl.research@unimelb.edu.au" TargetMode="External"/><Relationship Id="rId24" Type="http://schemas.openxmlformats.org/officeDocument/2006/relationships/image" Target="media/image5.pn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chart" Target="charts/chart4.xml"/><Relationship Id="rId23" Type="http://schemas.openxmlformats.org/officeDocument/2006/relationships/image" Target="media/image4.png"/><Relationship Id="rId28" Type="http://schemas.openxmlformats.org/officeDocument/2006/relationships/chart" Target="charts/chart9.xml"/><Relationship Id="rId10" Type="http://schemas.openxmlformats.org/officeDocument/2006/relationships/endnotes" Target="endnotes.xml"/><Relationship Id="rId19" Type="http://schemas.openxmlformats.org/officeDocument/2006/relationships/chart" Target="charts/chart7.xml"/><Relationship Id="rId31" Type="http://schemas.openxmlformats.org/officeDocument/2006/relationships/hyperlink" Target="https://abr.business.gov.au/Tools/AbnLookup"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3.xml"/><Relationship Id="rId22" Type="http://schemas.openxmlformats.org/officeDocument/2006/relationships/image" Target="media/image3.png"/><Relationship Id="rId27" Type="http://schemas.openxmlformats.org/officeDocument/2006/relationships/image" Target="media/image8.gif"/><Relationship Id="rId30" Type="http://schemas.openxmlformats.org/officeDocument/2006/relationships/hyperlink" Target="https://supplynation.org.au/research-paper/state-of-indigenous-business-driving-growth/" TargetMode="External"/><Relationship Id="rId8" Type="http://schemas.openxmlformats.org/officeDocument/2006/relationships/webSettings" Target="web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directory.business.vic.gov.au/aboriginal/home" TargetMode="External"/><Relationship Id="rId2" Type="http://schemas.openxmlformats.org/officeDocument/2006/relationships/hyperlink" Target="http://www.bbf.org.au/index.asp" TargetMode="External"/><Relationship Id="rId1" Type="http://schemas.openxmlformats.org/officeDocument/2006/relationships/hyperlink" Target="https://abdwa.icn.org.au/" TargetMode="External"/><Relationship Id="rId6" Type="http://schemas.openxmlformats.org/officeDocument/2006/relationships/hyperlink" Target="https://industryadvocate.sa.gov.au/aboriginal-business-register/" TargetMode="External"/><Relationship Id="rId5" Type="http://schemas.openxmlformats.org/officeDocument/2006/relationships/hyperlink" Target="https://www.oric.gov.au/" TargetMode="External"/><Relationship Id="rId4" Type="http://schemas.openxmlformats.org/officeDocument/2006/relationships/hyperlink" Target="https://kinaway.com.au/search/"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unimelbcloud-my.sharepoint.com/personal/cainp_unimelb_edu_au/Documents/Documents/Working%20directory/Journal%20submissions/IPPP/Snapshot%20study/Output%20for%20snapsho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unimelbcloud-my.sharepoint.com/personal/cainp_unimelb_edu_au/Documents/Documents/Working%20directory/Journal%20submissions/IPPP/Snapshot%20study/Output%20for%20snapsho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unimelbcloud-my.sharepoint.com/personal/cainp_unimelb_edu_au/Documents/Documents/Working%20directory/Journal%20submissions/IPPP/Snapshot%20study/Output%20for%20snapsho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https://unimelbcloud-my.sharepoint.com/personal/cainp_unimelb_edu_au/Documents/Documents/Working%20directory/Journal%20submissions/IPPP/Snapshot%20study/Output%20for%20snapsho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unimelbcloud-my.sharepoint.com/personal/cainp_unimelb_edu_au/Documents/Documents/Working%20directory/Journal%20submissions/IPPP/Snapshot%20study/Output%20for%20snapsho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https://unimelbcloud-my.sharepoint.com/personal/cainp_unimelb_edu_au/Documents/Documents/Working%20directory/Journal%20submissions/IPPP/Snapshot%20study/Figures%20for%20snapsho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https://unimelbcloud-my.sharepoint.com/personal/cainp_unimelb_edu_au/Documents/Documents/Working%20directory/Journal%20submissions/IPPP/Snapshot%20study/Output%20for%20snapsho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1" Type="http://schemas.openxmlformats.org/officeDocument/2006/relationships/oleObject" Target="https://unimelbcloud-my.sharepoint.com/personal/cainp_unimelb_edu_au/Documents/Documents/Working%20directory/Journal%20submissions/IPPP/Snapshot%20study/Output%20for%20snapshot.xlsx" TargetMode="External"/></Relationships>
</file>

<file path=word/charts/_rels/chart9.xml.rels><?xml version="1.0" encoding="UTF-8" standalone="yes"?>
<Relationships xmlns="http://schemas.openxmlformats.org/package/2006/relationships"><Relationship Id="rId3" Type="http://schemas.openxmlformats.org/officeDocument/2006/relationships/oleObject" Target="https://unimelbcloud-my.sharepoint.com/personal/cainp_unimelb_edu_au/Documents/Documents/Working%20directory/Journal%20submissions/IPPP/Snapshot%20study/Output%20for%20snapshot.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percentStacked"/>
        <c:varyColors val="0"/>
        <c:ser>
          <c:idx val="0"/>
          <c:order val="0"/>
          <c:tx>
            <c:strRef>
              <c:f>Sheet1!$A$5</c:f>
              <c:strCache>
                <c:ptCount val="1"/>
                <c:pt idx="0">
                  <c:v>Registered company</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Sheet1!$H$4:$I$4</c:f>
              <c:strCache>
                <c:ptCount val="2"/>
                <c:pt idx="0">
                  <c:v>Non-Indigenous</c:v>
                </c:pt>
                <c:pt idx="1">
                  <c:v>Indigenous</c:v>
                </c:pt>
              </c:strCache>
            </c:strRef>
          </c:cat>
          <c:val>
            <c:numRef>
              <c:f>Sheet1!$H$5:$I$5</c:f>
              <c:numCache>
                <c:formatCode>0%</c:formatCode>
                <c:ptCount val="2"/>
                <c:pt idx="0">
                  <c:v>0.32761362195014998</c:v>
                </c:pt>
                <c:pt idx="1">
                  <c:v>0.71745228767394997</c:v>
                </c:pt>
              </c:numCache>
            </c:numRef>
          </c:val>
          <c:extLst>
            <c:ext xmlns:c16="http://schemas.microsoft.com/office/drawing/2014/chart" uri="{C3380CC4-5D6E-409C-BE32-E72D297353CC}">
              <c16:uniqueId val="{00000000-77B6-8B4F-94F3-9B1415BD88E7}"/>
            </c:ext>
          </c:extLst>
        </c:ser>
        <c:ser>
          <c:idx val="1"/>
          <c:order val="1"/>
          <c:tx>
            <c:strRef>
              <c:f>Sheet1!$A$6</c:f>
              <c:strCache>
                <c:ptCount val="1"/>
                <c:pt idx="0">
                  <c:v>Sole trader</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Sheet1!$H$4:$I$4</c:f>
              <c:strCache>
                <c:ptCount val="2"/>
                <c:pt idx="0">
                  <c:v>Non-Indigenous</c:v>
                </c:pt>
                <c:pt idx="1">
                  <c:v>Indigenous</c:v>
                </c:pt>
              </c:strCache>
            </c:strRef>
          </c:cat>
          <c:val>
            <c:numRef>
              <c:f>Sheet1!$H$6:$I$6</c:f>
              <c:numCache>
                <c:formatCode>0%</c:formatCode>
                <c:ptCount val="2"/>
                <c:pt idx="0">
                  <c:v>0.32381302118301403</c:v>
                </c:pt>
                <c:pt idx="1">
                  <c:v>9.2873178422451005E-2</c:v>
                </c:pt>
              </c:numCache>
            </c:numRef>
          </c:val>
          <c:extLst>
            <c:ext xmlns:c16="http://schemas.microsoft.com/office/drawing/2014/chart" uri="{C3380CC4-5D6E-409C-BE32-E72D297353CC}">
              <c16:uniqueId val="{00000001-77B6-8B4F-94F3-9B1415BD88E7}"/>
            </c:ext>
          </c:extLst>
        </c:ser>
        <c:ser>
          <c:idx val="2"/>
          <c:order val="2"/>
          <c:tx>
            <c:strRef>
              <c:f>Sheet1!$A$7</c:f>
              <c:strCache>
                <c:ptCount val="1"/>
                <c:pt idx="0">
                  <c:v>Partnership</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Sheet1!$H$4:$I$4</c:f>
              <c:strCache>
                <c:ptCount val="2"/>
                <c:pt idx="0">
                  <c:v>Non-Indigenous</c:v>
                </c:pt>
                <c:pt idx="1">
                  <c:v>Indigenous</c:v>
                </c:pt>
              </c:strCache>
            </c:strRef>
          </c:cat>
          <c:val>
            <c:numRef>
              <c:f>Sheet1!$H$7:$I$7</c:f>
              <c:numCache>
                <c:formatCode>0%</c:formatCode>
                <c:ptCount val="2"/>
                <c:pt idx="0">
                  <c:v>9.0242579579353305E-2</c:v>
                </c:pt>
                <c:pt idx="1">
                  <c:v>2.5813693180680299E-2</c:v>
                </c:pt>
              </c:numCache>
            </c:numRef>
          </c:val>
          <c:extLst>
            <c:ext xmlns:c16="http://schemas.microsoft.com/office/drawing/2014/chart" uri="{C3380CC4-5D6E-409C-BE32-E72D297353CC}">
              <c16:uniqueId val="{00000002-77B6-8B4F-94F3-9B1415BD88E7}"/>
            </c:ext>
          </c:extLst>
        </c:ser>
        <c:ser>
          <c:idx val="3"/>
          <c:order val="3"/>
          <c:tx>
            <c:strRef>
              <c:f>Sheet1!$A$8</c:f>
              <c:strCache>
                <c:ptCount val="1"/>
                <c:pt idx="0">
                  <c:v>Trust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Sheet1!$H$4:$I$4</c:f>
              <c:strCache>
                <c:ptCount val="2"/>
                <c:pt idx="0">
                  <c:v>Non-Indigenous</c:v>
                </c:pt>
                <c:pt idx="1">
                  <c:v>Indigenous</c:v>
                </c:pt>
              </c:strCache>
            </c:strRef>
          </c:cat>
          <c:val>
            <c:numRef>
              <c:f>Sheet1!$H$8:$I$8</c:f>
              <c:numCache>
                <c:formatCode>0%</c:formatCode>
                <c:ptCount val="2"/>
                <c:pt idx="0">
                  <c:v>0.24995021522045099</c:v>
                </c:pt>
                <c:pt idx="1">
                  <c:v>7.99663290381432E-2</c:v>
                </c:pt>
              </c:numCache>
            </c:numRef>
          </c:val>
          <c:extLst>
            <c:ext xmlns:c16="http://schemas.microsoft.com/office/drawing/2014/chart" uri="{C3380CC4-5D6E-409C-BE32-E72D297353CC}">
              <c16:uniqueId val="{00000003-77B6-8B4F-94F3-9B1415BD88E7}"/>
            </c:ext>
          </c:extLst>
        </c:ser>
        <c:ser>
          <c:idx val="4"/>
          <c:order val="4"/>
          <c:tx>
            <c:strRef>
              <c:f>Sheet1!$A$9</c:f>
              <c:strCache>
                <c:ptCount val="1"/>
                <c:pt idx="0">
                  <c:v>Corporation</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Sheet1!$H$4:$I$4</c:f>
              <c:strCache>
                <c:ptCount val="2"/>
                <c:pt idx="0">
                  <c:v>Non-Indigenous</c:v>
                </c:pt>
                <c:pt idx="1">
                  <c:v>Indigenous</c:v>
                </c:pt>
              </c:strCache>
            </c:strRef>
          </c:cat>
          <c:val>
            <c:numRef>
              <c:f>Sheet1!$H$9:$I$9</c:f>
              <c:numCache>
                <c:formatCode>0%</c:formatCode>
                <c:ptCount val="2"/>
                <c:pt idx="0">
                  <c:v>6.5942513756454E-3</c:v>
                </c:pt>
                <c:pt idx="1">
                  <c:v>6.6498316824436202E-2</c:v>
                </c:pt>
              </c:numCache>
            </c:numRef>
          </c:val>
          <c:extLst>
            <c:ext xmlns:c16="http://schemas.microsoft.com/office/drawing/2014/chart" uri="{C3380CC4-5D6E-409C-BE32-E72D297353CC}">
              <c16:uniqueId val="{00000004-77B6-8B4F-94F3-9B1415BD88E7}"/>
            </c:ext>
          </c:extLst>
        </c:ser>
        <c:ser>
          <c:idx val="5"/>
          <c:order val="5"/>
          <c:tx>
            <c:strRef>
              <c:f>Sheet1!$A$10</c:f>
              <c:strCache>
                <c:ptCount val="1"/>
                <c:pt idx="0">
                  <c:v>Government</c:v>
                </c:pt>
              </c:strCache>
            </c:strRef>
          </c:tx>
          <c:spPr>
            <a:solidFill>
              <a:schemeClr val="accent6"/>
            </a:solidFill>
            <a:ln>
              <a:noFill/>
            </a:ln>
            <a:effectLst/>
          </c:spPr>
          <c:invertIfNegative val="0"/>
          <c:dLbls>
            <c:dLbl>
              <c:idx val="0"/>
              <c:delete val="1"/>
              <c:extLst>
                <c:ext xmlns:c15="http://schemas.microsoft.com/office/drawing/2012/chart" uri="{CE6537A1-D6FC-4f65-9D91-7224C49458BB}"/>
                <c:ext xmlns:c16="http://schemas.microsoft.com/office/drawing/2014/chart" uri="{C3380CC4-5D6E-409C-BE32-E72D297353CC}">
                  <c16:uniqueId val="{00000005-77B6-8B4F-94F3-9B1415BD88E7}"/>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Sheet1!$H$4:$I$4</c:f>
              <c:strCache>
                <c:ptCount val="2"/>
                <c:pt idx="0">
                  <c:v>Non-Indigenous</c:v>
                </c:pt>
                <c:pt idx="1">
                  <c:v>Indigenous</c:v>
                </c:pt>
              </c:strCache>
            </c:strRef>
          </c:cat>
          <c:val>
            <c:numRef>
              <c:f>Sheet1!$H$10:$I$10</c:f>
              <c:numCache>
                <c:formatCode>0%</c:formatCode>
                <c:ptCount val="2"/>
                <c:pt idx="0">
                  <c:v>1.7863311804831E-3</c:v>
                </c:pt>
                <c:pt idx="1">
                  <c:v>1.7396183684468301E-2</c:v>
                </c:pt>
              </c:numCache>
            </c:numRef>
          </c:val>
          <c:extLst>
            <c:ext xmlns:c16="http://schemas.microsoft.com/office/drawing/2014/chart" uri="{C3380CC4-5D6E-409C-BE32-E72D297353CC}">
              <c16:uniqueId val="{00000006-77B6-8B4F-94F3-9B1415BD88E7}"/>
            </c:ext>
          </c:extLst>
        </c:ser>
        <c:dLbls>
          <c:dLblPos val="ctr"/>
          <c:showLegendKey val="0"/>
          <c:showVal val="1"/>
          <c:showCatName val="0"/>
          <c:showSerName val="0"/>
          <c:showPercent val="0"/>
          <c:showBubbleSize val="0"/>
        </c:dLbls>
        <c:gapWidth val="150"/>
        <c:overlap val="100"/>
        <c:axId val="445466800"/>
        <c:axId val="445366704"/>
      </c:barChart>
      <c:catAx>
        <c:axId val="4454668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45366704"/>
        <c:crosses val="autoZero"/>
        <c:auto val="1"/>
        <c:lblAlgn val="ctr"/>
        <c:lblOffset val="100"/>
        <c:noMultiLvlLbl val="0"/>
      </c:catAx>
      <c:valAx>
        <c:axId val="44536670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466800"/>
        <c:crosses val="autoZero"/>
        <c:crossBetween val="between"/>
        <c:majorUnit val="0.2"/>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9373832527460803E-2"/>
          <c:y val="3.7716440939482197E-2"/>
          <c:w val="0.89565454431703395"/>
          <c:h val="0.73942636992080102"/>
        </c:manualLayout>
      </c:layout>
      <c:barChart>
        <c:barDir val="col"/>
        <c:grouping val="percentStacked"/>
        <c:varyColors val="0"/>
        <c:ser>
          <c:idx val="0"/>
          <c:order val="0"/>
          <c:tx>
            <c:strRef>
              <c:f>Sheet1!$K$5</c:f>
              <c:strCache>
                <c:ptCount val="1"/>
                <c:pt idx="0">
                  <c:v>No employees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Sheet1!$R$4:$S$4</c:f>
              <c:strCache>
                <c:ptCount val="2"/>
                <c:pt idx="0">
                  <c:v>Non-Indigenous</c:v>
                </c:pt>
                <c:pt idx="1">
                  <c:v>Indigenous</c:v>
                </c:pt>
              </c:strCache>
            </c:strRef>
          </c:cat>
          <c:val>
            <c:numRef>
              <c:f>Sheet1!$R$5:$S$5</c:f>
              <c:numCache>
                <c:formatCode>0%</c:formatCode>
                <c:ptCount val="2"/>
                <c:pt idx="0">
                  <c:v>0.74279606342315696</c:v>
                </c:pt>
                <c:pt idx="1">
                  <c:v>0.49523007869720498</c:v>
                </c:pt>
              </c:numCache>
            </c:numRef>
          </c:val>
          <c:extLst>
            <c:ext xmlns:c16="http://schemas.microsoft.com/office/drawing/2014/chart" uri="{C3380CC4-5D6E-409C-BE32-E72D297353CC}">
              <c16:uniqueId val="{00000000-6D7E-3648-9C17-66F875C5D348}"/>
            </c:ext>
          </c:extLst>
        </c:ser>
        <c:ser>
          <c:idx val="1"/>
          <c:order val="1"/>
          <c:tx>
            <c:strRef>
              <c:f>Sheet1!$K$6</c:f>
              <c:strCache>
                <c:ptCount val="1"/>
                <c:pt idx="0">
                  <c:v>1-4 employees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Sheet1!$R$4:$S$4</c:f>
              <c:strCache>
                <c:ptCount val="2"/>
                <c:pt idx="0">
                  <c:v>Non-Indigenous</c:v>
                </c:pt>
                <c:pt idx="1">
                  <c:v>Indigenous</c:v>
                </c:pt>
              </c:strCache>
            </c:strRef>
          </c:cat>
          <c:val>
            <c:numRef>
              <c:f>Sheet1!$R$6:$S$6</c:f>
              <c:numCache>
                <c:formatCode>0%</c:formatCode>
                <c:ptCount val="2"/>
                <c:pt idx="0">
                  <c:v>0.14277744293212899</c:v>
                </c:pt>
                <c:pt idx="1">
                  <c:v>0.13916946947574599</c:v>
                </c:pt>
              </c:numCache>
            </c:numRef>
          </c:val>
          <c:extLst>
            <c:ext xmlns:c16="http://schemas.microsoft.com/office/drawing/2014/chart" uri="{C3380CC4-5D6E-409C-BE32-E72D297353CC}">
              <c16:uniqueId val="{00000001-6D7E-3648-9C17-66F875C5D348}"/>
            </c:ext>
          </c:extLst>
        </c:ser>
        <c:ser>
          <c:idx val="2"/>
          <c:order val="2"/>
          <c:tx>
            <c:strRef>
              <c:f>Sheet1!$K$7</c:f>
              <c:strCache>
                <c:ptCount val="1"/>
                <c:pt idx="0">
                  <c:v>5-19 employees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Sheet1!$R$4:$S$4</c:f>
              <c:strCache>
                <c:ptCount val="2"/>
                <c:pt idx="0">
                  <c:v>Non-Indigenous</c:v>
                </c:pt>
                <c:pt idx="1">
                  <c:v>Indigenous</c:v>
                </c:pt>
              </c:strCache>
            </c:strRef>
          </c:cat>
          <c:val>
            <c:numRef>
              <c:f>Sheet1!$R$7:$S$7</c:f>
              <c:numCache>
                <c:formatCode>0%</c:formatCode>
                <c:ptCount val="2"/>
                <c:pt idx="0">
                  <c:v>8.10419917106628E-2</c:v>
                </c:pt>
                <c:pt idx="1">
                  <c:v>0.168350175023079</c:v>
                </c:pt>
              </c:numCache>
            </c:numRef>
          </c:val>
          <c:extLst>
            <c:ext xmlns:c16="http://schemas.microsoft.com/office/drawing/2014/chart" uri="{C3380CC4-5D6E-409C-BE32-E72D297353CC}">
              <c16:uniqueId val="{00000002-6D7E-3648-9C17-66F875C5D348}"/>
            </c:ext>
          </c:extLst>
        </c:ser>
        <c:ser>
          <c:idx val="3"/>
          <c:order val="3"/>
          <c:tx>
            <c:strRef>
              <c:f>Sheet1!$K$8</c:f>
              <c:strCache>
                <c:ptCount val="1"/>
                <c:pt idx="0">
                  <c:v>20-199 employees</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Sheet1!$R$4:$S$4</c:f>
              <c:strCache>
                <c:ptCount val="2"/>
                <c:pt idx="0">
                  <c:v>Non-Indigenous</c:v>
                </c:pt>
                <c:pt idx="1">
                  <c:v>Indigenous</c:v>
                </c:pt>
              </c:strCache>
            </c:strRef>
          </c:cat>
          <c:val>
            <c:numRef>
              <c:f>Sheet1!$R$8:$S$8</c:f>
              <c:numCache>
                <c:formatCode>0%</c:formatCode>
                <c:ptCount val="2"/>
                <c:pt idx="0">
                  <c:v>3.1007783487439201E-2</c:v>
                </c:pt>
                <c:pt idx="1">
                  <c:v>0.17732883989810899</c:v>
                </c:pt>
              </c:numCache>
            </c:numRef>
          </c:val>
          <c:extLst>
            <c:ext xmlns:c16="http://schemas.microsoft.com/office/drawing/2014/chart" uri="{C3380CC4-5D6E-409C-BE32-E72D297353CC}">
              <c16:uniqueId val="{00000003-6D7E-3648-9C17-66F875C5D348}"/>
            </c:ext>
          </c:extLst>
        </c:ser>
        <c:ser>
          <c:idx val="4"/>
          <c:order val="4"/>
          <c:tx>
            <c:strRef>
              <c:f>Sheet1!$K$9</c:f>
              <c:strCache>
                <c:ptCount val="1"/>
                <c:pt idx="0">
                  <c:v>200+ employees</c:v>
                </c:pt>
              </c:strCache>
            </c:strRef>
          </c:tx>
          <c:spPr>
            <a:solidFill>
              <a:schemeClr val="accent5"/>
            </a:solidFill>
            <a:ln>
              <a:noFill/>
            </a:ln>
            <a:effectLst/>
          </c:spPr>
          <c:invertIfNegative val="0"/>
          <c:dLbls>
            <c:delete val="1"/>
          </c:dLbls>
          <c:cat>
            <c:strRef>
              <c:f>Sheet1!$R$4:$S$4</c:f>
              <c:strCache>
                <c:ptCount val="2"/>
                <c:pt idx="0">
                  <c:v>Non-Indigenous</c:v>
                </c:pt>
                <c:pt idx="1">
                  <c:v>Indigenous</c:v>
                </c:pt>
              </c:strCache>
            </c:strRef>
          </c:cat>
          <c:val>
            <c:numRef>
              <c:f>Sheet1!$R$9:$S$9</c:f>
              <c:numCache>
                <c:formatCode>0%</c:formatCode>
                <c:ptCount val="2"/>
                <c:pt idx="0">
                  <c:v>2.37669446505606E-3</c:v>
                </c:pt>
                <c:pt idx="1">
                  <c:v>1.9921436905860901E-2</c:v>
                </c:pt>
              </c:numCache>
            </c:numRef>
          </c:val>
          <c:extLst>
            <c:ext xmlns:c16="http://schemas.microsoft.com/office/drawing/2014/chart" uri="{C3380CC4-5D6E-409C-BE32-E72D297353CC}">
              <c16:uniqueId val="{00000004-6D7E-3648-9C17-66F875C5D348}"/>
            </c:ext>
          </c:extLst>
        </c:ser>
        <c:dLbls>
          <c:dLblPos val="ctr"/>
          <c:showLegendKey val="0"/>
          <c:showVal val="1"/>
          <c:showCatName val="0"/>
          <c:showSerName val="0"/>
          <c:showPercent val="0"/>
          <c:showBubbleSize val="0"/>
        </c:dLbls>
        <c:gapWidth val="150"/>
        <c:overlap val="100"/>
        <c:axId val="502059856"/>
        <c:axId val="484696848"/>
      </c:barChart>
      <c:catAx>
        <c:axId val="502059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484696848"/>
        <c:crosses val="autoZero"/>
        <c:auto val="1"/>
        <c:lblAlgn val="ctr"/>
        <c:lblOffset val="100"/>
        <c:noMultiLvlLbl val="0"/>
      </c:catAx>
      <c:valAx>
        <c:axId val="48469684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059856"/>
        <c:crosses val="autoZero"/>
        <c:crossBetween val="between"/>
        <c:majorUnit val="0.2"/>
      </c:valAx>
      <c:spPr>
        <a:noFill/>
        <a:ln>
          <a:noFill/>
        </a:ln>
        <a:effectLst/>
      </c:spPr>
    </c:plotArea>
    <c:legend>
      <c:legendPos val="b"/>
      <c:layout>
        <c:manualLayout>
          <c:xMode val="edge"/>
          <c:yMode val="edge"/>
          <c:x val="0.19619294466738799"/>
          <c:y val="0.859069022166846"/>
          <c:w val="0.65820370996570199"/>
          <c:h val="0.13871879460445599"/>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Sheet1!$D$39</c:f>
              <c:strCache>
                <c:ptCount val="1"/>
                <c:pt idx="0">
                  <c:v> Non-Indigenous </c:v>
                </c:pt>
              </c:strCache>
            </c:strRef>
          </c:tx>
          <c:spPr>
            <a:solidFill>
              <a:schemeClr val="accent1"/>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Sheet1!$A$40:$A$43</c:f>
              <c:strCache>
                <c:ptCount val="4"/>
                <c:pt idx="0">
                  <c:v>Major city</c:v>
                </c:pt>
                <c:pt idx="1">
                  <c:v>Rural</c:v>
                </c:pt>
                <c:pt idx="2">
                  <c:v>Remote</c:v>
                </c:pt>
                <c:pt idx="3">
                  <c:v>All</c:v>
                </c:pt>
              </c:strCache>
            </c:strRef>
          </c:cat>
          <c:val>
            <c:numRef>
              <c:f>Sheet1!$D$40:$D$43</c:f>
              <c:numCache>
                <c:formatCode>_-* #,##0_-;\-* #,##0_-;_-* "-"??_-;_-@_-</c:formatCode>
                <c:ptCount val="4"/>
                <c:pt idx="0">
                  <c:v>0.35550491102077703</c:v>
                </c:pt>
                <c:pt idx="1">
                  <c:v>0.36173916847335102</c:v>
                </c:pt>
                <c:pt idx="2">
                  <c:v>0.48496719015356798</c:v>
                </c:pt>
                <c:pt idx="3">
                  <c:v>0.35919426580849101</c:v>
                </c:pt>
              </c:numCache>
            </c:numRef>
          </c:val>
          <c:extLst>
            <c:ext xmlns:c16="http://schemas.microsoft.com/office/drawing/2014/chart" uri="{C3380CC4-5D6E-409C-BE32-E72D297353CC}">
              <c16:uniqueId val="{00000000-CF24-CF40-A311-532B98F8A812}"/>
            </c:ext>
          </c:extLst>
        </c:ser>
        <c:ser>
          <c:idx val="1"/>
          <c:order val="1"/>
          <c:tx>
            <c:strRef>
              <c:f>Sheet1!$E$39</c:f>
              <c:strCache>
                <c:ptCount val="1"/>
                <c:pt idx="0">
                  <c:v> Indigenous </c:v>
                </c:pt>
              </c:strCache>
            </c:strRef>
          </c:tx>
          <c:spPr>
            <a:solidFill>
              <a:schemeClr val="accent2"/>
            </a:solidFill>
            <a:ln>
              <a:noFill/>
            </a:ln>
            <a:effectLst/>
          </c:spPr>
          <c:invertIfNegative val="0"/>
          <c:dLbls>
            <c:numFmt formatCode="#,##0.0" sourceLinked="0"/>
            <c:spPr>
              <a:noFill/>
              <a:ln>
                <a:noFill/>
              </a:ln>
              <a:effectLst/>
            </c:spPr>
            <c:txPr>
              <a:bodyPr rot="0" spcFirstLastPara="1" vertOverflow="ellipsis" vert="horz" wrap="square" lIns="38100" tIns="19050" rIns="38100" bIns="19050" anchor="ctr" anchorCtr="1">
                <a:spAutoFit/>
              </a:bodyPr>
              <a:lstStyle/>
              <a:p>
                <a:pPr>
                  <a:defRPr sz="10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Sheet1!$A$40:$A$43</c:f>
              <c:strCache>
                <c:ptCount val="4"/>
                <c:pt idx="0">
                  <c:v>Major city</c:v>
                </c:pt>
                <c:pt idx="1">
                  <c:v>Rural</c:v>
                </c:pt>
                <c:pt idx="2">
                  <c:v>Remote</c:v>
                </c:pt>
                <c:pt idx="3">
                  <c:v>All</c:v>
                </c:pt>
              </c:strCache>
            </c:strRef>
          </c:cat>
          <c:val>
            <c:numRef>
              <c:f>Sheet1!$E$40:$E$43</c:f>
              <c:numCache>
                <c:formatCode>_-* #,##0_-;\-* #,##0_-;_-* "-"??_-;_-@_-</c:formatCode>
                <c:ptCount val="4"/>
                <c:pt idx="0">
                  <c:v>1.464514025293586</c:v>
                </c:pt>
                <c:pt idx="1">
                  <c:v>1.3582054742547429</c:v>
                </c:pt>
                <c:pt idx="2">
                  <c:v>2.0605543017163508</c:v>
                </c:pt>
                <c:pt idx="3">
                  <c:v>1.5835672737127371</c:v>
                </c:pt>
              </c:numCache>
            </c:numRef>
          </c:val>
          <c:extLst>
            <c:ext xmlns:c16="http://schemas.microsoft.com/office/drawing/2014/chart" uri="{C3380CC4-5D6E-409C-BE32-E72D297353CC}">
              <c16:uniqueId val="{00000001-CF24-CF40-A311-532B98F8A812}"/>
            </c:ext>
          </c:extLst>
        </c:ser>
        <c:dLbls>
          <c:showLegendKey val="0"/>
          <c:showVal val="0"/>
          <c:showCatName val="0"/>
          <c:showSerName val="0"/>
          <c:showPercent val="0"/>
          <c:showBubbleSize val="0"/>
        </c:dLbls>
        <c:gapWidth val="219"/>
        <c:overlap val="-27"/>
        <c:axId val="445622480"/>
        <c:axId val="445435072"/>
      </c:barChart>
      <c:catAx>
        <c:axId val="4456224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45435072"/>
        <c:crosses val="autoZero"/>
        <c:auto val="1"/>
        <c:lblAlgn val="ctr"/>
        <c:lblOffset val="100"/>
        <c:noMultiLvlLbl val="0"/>
      </c:catAx>
      <c:valAx>
        <c:axId val="4454350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56224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Sheet1!$AA$17</c:f>
              <c:strCache>
                <c:ptCount val="1"/>
                <c:pt idx="0">
                  <c:v>Numbers</c:v>
                </c:pt>
              </c:strCache>
            </c:strRef>
          </c:tx>
          <c:spPr>
            <a:ln w="19050" cap="rnd">
              <a:solidFill>
                <a:schemeClr val="accent1"/>
              </a:solidFill>
              <a:round/>
            </a:ln>
            <a:effectLst/>
          </c:spPr>
          <c:marker>
            <c:symbol val="none"/>
          </c:marker>
          <c:xVal>
            <c:numRef>
              <c:f>Sheet1!$Z$18:$Z$30</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Sheet1!$AA$18:$AA$30</c:f>
              <c:numCache>
                <c:formatCode>General</c:formatCode>
                <c:ptCount val="13"/>
                <c:pt idx="0">
                  <c:v>1</c:v>
                </c:pt>
                <c:pt idx="1">
                  <c:v>0.94674012855831102</c:v>
                </c:pt>
                <c:pt idx="2">
                  <c:v>0.97337006427915496</c:v>
                </c:pt>
                <c:pt idx="3">
                  <c:v>0.99403122130394805</c:v>
                </c:pt>
                <c:pt idx="4">
                  <c:v>1.052800734618917</c:v>
                </c:pt>
                <c:pt idx="5">
                  <c:v>1.1069788797061531</c:v>
                </c:pt>
                <c:pt idx="6">
                  <c:v>1.1597796143250689</c:v>
                </c:pt>
                <c:pt idx="7">
                  <c:v>1.2052341597796139</c:v>
                </c:pt>
                <c:pt idx="8">
                  <c:v>1.2874196510560141</c:v>
                </c:pt>
                <c:pt idx="9">
                  <c:v>1.353994490358126</c:v>
                </c:pt>
                <c:pt idx="10">
                  <c:v>1.4536271808999079</c:v>
                </c:pt>
                <c:pt idx="11">
                  <c:v>1.538567493112948</c:v>
                </c:pt>
                <c:pt idx="12">
                  <c:v>1.661616161616162</c:v>
                </c:pt>
              </c:numCache>
            </c:numRef>
          </c:yVal>
          <c:smooth val="1"/>
          <c:extLst>
            <c:ext xmlns:c16="http://schemas.microsoft.com/office/drawing/2014/chart" uri="{C3380CC4-5D6E-409C-BE32-E72D297353CC}">
              <c16:uniqueId val="{00000000-2D3E-7C48-8AD4-1823DB30D907}"/>
            </c:ext>
          </c:extLst>
        </c:ser>
        <c:ser>
          <c:idx val="1"/>
          <c:order val="1"/>
          <c:tx>
            <c:strRef>
              <c:f>Sheet1!$AB$17</c:f>
              <c:strCache>
                <c:ptCount val="1"/>
                <c:pt idx="0">
                  <c:v>Gross income</c:v>
                </c:pt>
              </c:strCache>
            </c:strRef>
          </c:tx>
          <c:spPr>
            <a:ln w="19050" cap="rnd">
              <a:solidFill>
                <a:schemeClr val="accent2"/>
              </a:solidFill>
              <a:round/>
            </a:ln>
            <a:effectLst/>
          </c:spPr>
          <c:marker>
            <c:symbol val="none"/>
          </c:marker>
          <c:xVal>
            <c:numRef>
              <c:f>Sheet1!$Z$18:$Z$30</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Sheet1!$AB$18:$AB$30</c:f>
              <c:numCache>
                <c:formatCode>General</c:formatCode>
                <c:ptCount val="13"/>
                <c:pt idx="0">
                  <c:v>1</c:v>
                </c:pt>
                <c:pt idx="1">
                  <c:v>1.088438399813652</c:v>
                </c:pt>
                <c:pt idx="2">
                  <c:v>1.131850717329633</c:v>
                </c:pt>
                <c:pt idx="3">
                  <c:v>1.215151720116465</c:v>
                </c:pt>
                <c:pt idx="4">
                  <c:v>1.311989187554748</c:v>
                </c:pt>
                <c:pt idx="5">
                  <c:v>1.455629857022811</c:v>
                </c:pt>
                <c:pt idx="6">
                  <c:v>1.604672831531343</c:v>
                </c:pt>
                <c:pt idx="7">
                  <c:v>1.737423362687528</c:v>
                </c:pt>
                <c:pt idx="8">
                  <c:v>1.6576710608735119</c:v>
                </c:pt>
                <c:pt idx="9">
                  <c:v>1.637804825527589</c:v>
                </c:pt>
                <c:pt idx="10">
                  <c:v>1.7025809133593801</c:v>
                </c:pt>
                <c:pt idx="11">
                  <c:v>1.8233375827767351</c:v>
                </c:pt>
                <c:pt idx="12">
                  <c:v>2.1509087397001179</c:v>
                </c:pt>
              </c:numCache>
            </c:numRef>
          </c:yVal>
          <c:smooth val="1"/>
          <c:extLst>
            <c:ext xmlns:c16="http://schemas.microsoft.com/office/drawing/2014/chart" uri="{C3380CC4-5D6E-409C-BE32-E72D297353CC}">
              <c16:uniqueId val="{00000001-2D3E-7C48-8AD4-1823DB30D907}"/>
            </c:ext>
          </c:extLst>
        </c:ser>
        <c:ser>
          <c:idx val="2"/>
          <c:order val="2"/>
          <c:tx>
            <c:strRef>
              <c:f>Sheet1!$AC$17</c:f>
              <c:strCache>
                <c:ptCount val="1"/>
                <c:pt idx="0">
                  <c:v>Employment</c:v>
                </c:pt>
              </c:strCache>
            </c:strRef>
          </c:tx>
          <c:spPr>
            <a:ln w="19050" cap="rnd">
              <a:solidFill>
                <a:schemeClr val="accent3"/>
              </a:solidFill>
              <a:round/>
            </a:ln>
            <a:effectLst/>
          </c:spPr>
          <c:marker>
            <c:symbol val="none"/>
          </c:marker>
          <c:xVal>
            <c:numRef>
              <c:f>Sheet1!$Z$18:$Z$30</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Sheet1!$AC$18:$AC$30</c:f>
              <c:numCache>
                <c:formatCode>General</c:formatCode>
                <c:ptCount val="13"/>
                <c:pt idx="0">
                  <c:v>1</c:v>
                </c:pt>
                <c:pt idx="1">
                  <c:v>0.99013867488443696</c:v>
                </c:pt>
                <c:pt idx="2">
                  <c:v>1.0656834690732999</c:v>
                </c:pt>
                <c:pt idx="3">
                  <c:v>1.149240589918556</c:v>
                </c:pt>
                <c:pt idx="4">
                  <c:v>1.23464670922298</c:v>
                </c:pt>
                <c:pt idx="5">
                  <c:v>1.332907770195906</c:v>
                </c:pt>
                <c:pt idx="6">
                  <c:v>1.3729694034778781</c:v>
                </c:pt>
                <c:pt idx="7">
                  <c:v>1.5520140876073081</c:v>
                </c:pt>
                <c:pt idx="8">
                  <c:v>1.699625797930882</c:v>
                </c:pt>
                <c:pt idx="9">
                  <c:v>1.7487563284173451</c:v>
                </c:pt>
                <c:pt idx="10">
                  <c:v>1.715034118423949</c:v>
                </c:pt>
                <c:pt idx="11">
                  <c:v>1.8937266123706791</c:v>
                </c:pt>
                <c:pt idx="12">
                  <c:v>2.0001760950913501</c:v>
                </c:pt>
              </c:numCache>
            </c:numRef>
          </c:yVal>
          <c:smooth val="1"/>
          <c:extLst>
            <c:ext xmlns:c16="http://schemas.microsoft.com/office/drawing/2014/chart" uri="{C3380CC4-5D6E-409C-BE32-E72D297353CC}">
              <c16:uniqueId val="{00000002-2D3E-7C48-8AD4-1823DB30D907}"/>
            </c:ext>
          </c:extLst>
        </c:ser>
        <c:dLbls>
          <c:showLegendKey val="0"/>
          <c:showVal val="0"/>
          <c:showCatName val="0"/>
          <c:showSerName val="0"/>
          <c:showPercent val="0"/>
          <c:showBubbleSize val="0"/>
        </c:dLbls>
        <c:axId val="547241056"/>
        <c:axId val="547243376"/>
      </c:scatterChart>
      <c:valAx>
        <c:axId val="547241056"/>
        <c:scaling>
          <c:orientation val="minMax"/>
          <c:max val="2018"/>
          <c:min val="2006"/>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243376"/>
        <c:crosses val="autoZero"/>
        <c:crossBetween val="midCat"/>
      </c:valAx>
      <c:valAx>
        <c:axId val="547243376"/>
        <c:scaling>
          <c:orientation val="minMax"/>
          <c:max val="2.2000000000000002"/>
          <c:min val="0.8"/>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Index, 2006=1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241056"/>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1"/>
          <c:tx>
            <c:v>Indigenous construction gross income</c:v>
          </c:tx>
          <c:spPr>
            <a:ln w="19050" cap="rnd">
              <a:solidFill>
                <a:schemeClr val="accent1"/>
              </a:solidFill>
              <a:round/>
            </a:ln>
            <a:effectLst/>
          </c:spPr>
          <c:marker>
            <c:symbol val="none"/>
          </c:marker>
          <c:cat>
            <c:numRef>
              <c:f>'Mining construction'!$O$18:$O$30</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'Mining construction'!$U$17:$U$29</c:f>
              <c:numCache>
                <c:formatCode>General</c:formatCode>
                <c:ptCount val="13"/>
                <c:pt idx="0">
                  <c:v>0</c:v>
                </c:pt>
                <c:pt idx="1">
                  <c:v>22.44062300884956</c:v>
                </c:pt>
                <c:pt idx="2">
                  <c:v>26.401090265486729</c:v>
                </c:pt>
                <c:pt idx="3">
                  <c:v>45.249755752212387</c:v>
                </c:pt>
                <c:pt idx="4">
                  <c:v>45.530187610619457</c:v>
                </c:pt>
                <c:pt idx="5">
                  <c:v>40.227292035398243</c:v>
                </c:pt>
                <c:pt idx="6">
                  <c:v>62.310541592920352</c:v>
                </c:pt>
                <c:pt idx="7">
                  <c:v>98.521684955752235</c:v>
                </c:pt>
                <c:pt idx="8">
                  <c:v>111.8629522123894</c:v>
                </c:pt>
                <c:pt idx="9">
                  <c:v>138.5444743362832</c:v>
                </c:pt>
                <c:pt idx="10">
                  <c:v>93.84849557522125</c:v>
                </c:pt>
                <c:pt idx="11">
                  <c:v>74.123100884955747</c:v>
                </c:pt>
                <c:pt idx="12">
                  <c:v>73.883164601769906</c:v>
                </c:pt>
              </c:numCache>
            </c:numRef>
          </c:val>
          <c:smooth val="0"/>
          <c:extLst>
            <c:ext xmlns:c16="http://schemas.microsoft.com/office/drawing/2014/chart" uri="{C3380CC4-5D6E-409C-BE32-E72D297353CC}">
              <c16:uniqueId val="{00000000-9541-4952-8E64-53AE395A31CC}"/>
            </c:ext>
          </c:extLst>
        </c:ser>
        <c:dLbls>
          <c:showLegendKey val="0"/>
          <c:showVal val="0"/>
          <c:showCatName val="0"/>
          <c:showSerName val="0"/>
          <c:showPercent val="0"/>
          <c:showBubbleSize val="0"/>
        </c:dLbls>
        <c:marker val="1"/>
        <c:smooth val="0"/>
        <c:axId val="547090560"/>
        <c:axId val="546679904"/>
      </c:lineChart>
      <c:lineChart>
        <c:grouping val="standard"/>
        <c:varyColors val="0"/>
        <c:ser>
          <c:idx val="1"/>
          <c:order val="0"/>
          <c:tx>
            <c:v>Total mining construction</c:v>
          </c:tx>
          <c:spPr>
            <a:ln w="19050" cap="rnd">
              <a:solidFill>
                <a:schemeClr val="accent2"/>
              </a:solidFill>
              <a:round/>
            </a:ln>
            <a:effectLst/>
          </c:spPr>
          <c:marker>
            <c:symbol val="none"/>
          </c:marker>
          <c:cat>
            <c:numRef>
              <c:f>'Mining construction'!$O$18:$O$30</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'Mining construction'!$Z$18:$Z$30</c:f>
              <c:numCache>
                <c:formatCode>General</c:formatCode>
                <c:ptCount val="13"/>
                <c:pt idx="0">
                  <c:v>1.133759019208382</c:v>
                </c:pt>
                <c:pt idx="1">
                  <c:v>1.4111494367160771</c:v>
                </c:pt>
                <c:pt idx="2">
                  <c:v>1.504646156113538</c:v>
                </c:pt>
                <c:pt idx="3">
                  <c:v>1.571170092572659</c:v>
                </c:pt>
                <c:pt idx="4">
                  <c:v>1.7498660720250521</c:v>
                </c:pt>
                <c:pt idx="5">
                  <c:v>1.538386936491936</c:v>
                </c:pt>
                <c:pt idx="6">
                  <c:v>1.795635047808765</c:v>
                </c:pt>
                <c:pt idx="7">
                  <c:v>1.7644971702334631</c:v>
                </c:pt>
                <c:pt idx="8">
                  <c:v>1.619133231350331</c:v>
                </c:pt>
                <c:pt idx="9">
                  <c:v>1.544429664186046</c:v>
                </c:pt>
                <c:pt idx="10">
                  <c:v>1.503802220994475</c:v>
                </c:pt>
                <c:pt idx="11">
                  <c:v>1.42576322131888</c:v>
                </c:pt>
                <c:pt idx="12">
                  <c:v>1.7542812265486729</c:v>
                </c:pt>
              </c:numCache>
            </c:numRef>
          </c:val>
          <c:smooth val="0"/>
          <c:extLst>
            <c:ext xmlns:c16="http://schemas.microsoft.com/office/drawing/2014/chart" uri="{C3380CC4-5D6E-409C-BE32-E72D297353CC}">
              <c16:uniqueId val="{00000001-9541-4952-8E64-53AE395A31CC}"/>
            </c:ext>
          </c:extLst>
        </c:ser>
        <c:dLbls>
          <c:showLegendKey val="0"/>
          <c:showVal val="0"/>
          <c:showCatName val="0"/>
          <c:showSerName val="0"/>
          <c:showPercent val="0"/>
          <c:showBubbleSize val="0"/>
        </c:dLbls>
        <c:marker val="1"/>
        <c:smooth val="0"/>
        <c:axId val="547124512"/>
        <c:axId val="547094912"/>
      </c:lineChart>
      <c:catAx>
        <c:axId val="547090560"/>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6679904"/>
        <c:crosses val="autoZero"/>
        <c:auto val="1"/>
        <c:lblAlgn val="ctr"/>
        <c:lblOffset val="100"/>
        <c:noMultiLvlLbl val="0"/>
      </c:catAx>
      <c:valAx>
        <c:axId val="5466799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Value of mining construction ($2020bill)</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090560"/>
        <c:crossesAt val="0"/>
        <c:crossBetween val="between"/>
      </c:valAx>
      <c:valAx>
        <c:axId val="547094912"/>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Gross</a:t>
                </a:r>
                <a:r>
                  <a:rPr lang="en-AU" baseline="0"/>
                  <a:t> income from Indigenous construction ($2020bill)</a:t>
                </a:r>
                <a:endParaRPr lang="en-A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124512"/>
        <c:crosses val="max"/>
        <c:crossBetween val="between"/>
      </c:valAx>
      <c:catAx>
        <c:axId val="547124512"/>
        <c:scaling>
          <c:orientation val="minMax"/>
        </c:scaling>
        <c:delete val="1"/>
        <c:axPos val="b"/>
        <c:numFmt formatCode="General" sourceLinked="1"/>
        <c:majorTickMark val="out"/>
        <c:minorTickMark val="none"/>
        <c:tickLblPos val="nextTo"/>
        <c:crossAx val="54709491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11775371828521"/>
          <c:y val="8.7962962962963007E-2"/>
          <c:w val="0.83233573928258997"/>
          <c:h val="0.72049769786578999"/>
        </c:manualLayout>
      </c:layout>
      <c:scatterChart>
        <c:scatterStyle val="smoothMarker"/>
        <c:varyColors val="0"/>
        <c:ser>
          <c:idx val="1"/>
          <c:order val="0"/>
          <c:tx>
            <c:strRef>
              <c:f>'Figure 7'!$W$3</c:f>
              <c:strCache>
                <c:ptCount val="1"/>
                <c:pt idx="0">
                  <c:v>Major city</c:v>
                </c:pt>
              </c:strCache>
            </c:strRef>
          </c:tx>
          <c:spPr>
            <a:ln w="19050" cap="rnd">
              <a:solidFill>
                <a:schemeClr val="accent2"/>
              </a:solidFill>
              <a:round/>
            </a:ln>
            <a:effectLst/>
          </c:spPr>
          <c:marker>
            <c:symbol val="none"/>
          </c:marker>
          <c:xVal>
            <c:numRef>
              <c:f>'Figure 7'!$U$4:$U$16</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'Figure 7'!$W$4:$W$16</c:f>
              <c:numCache>
                <c:formatCode>General</c:formatCode>
                <c:ptCount val="13"/>
                <c:pt idx="0">
                  <c:v>0.53</c:v>
                </c:pt>
                <c:pt idx="1">
                  <c:v>0.54</c:v>
                </c:pt>
                <c:pt idx="2">
                  <c:v>0.54</c:v>
                </c:pt>
                <c:pt idx="3">
                  <c:v>0.54</c:v>
                </c:pt>
                <c:pt idx="4">
                  <c:v>0.53</c:v>
                </c:pt>
                <c:pt idx="5">
                  <c:v>0.53</c:v>
                </c:pt>
                <c:pt idx="6">
                  <c:v>0.53</c:v>
                </c:pt>
                <c:pt idx="7">
                  <c:v>0.53</c:v>
                </c:pt>
                <c:pt idx="8">
                  <c:v>0.53</c:v>
                </c:pt>
                <c:pt idx="9">
                  <c:v>0.53</c:v>
                </c:pt>
                <c:pt idx="10">
                  <c:v>0.53</c:v>
                </c:pt>
                <c:pt idx="11">
                  <c:v>0.54</c:v>
                </c:pt>
                <c:pt idx="12">
                  <c:v>0.56000000000000005</c:v>
                </c:pt>
              </c:numCache>
            </c:numRef>
          </c:yVal>
          <c:smooth val="1"/>
          <c:extLst>
            <c:ext xmlns:c16="http://schemas.microsoft.com/office/drawing/2014/chart" uri="{C3380CC4-5D6E-409C-BE32-E72D297353CC}">
              <c16:uniqueId val="{00000000-741D-4969-B021-BD3BEF2BAB4E}"/>
            </c:ext>
          </c:extLst>
        </c:ser>
        <c:ser>
          <c:idx val="2"/>
          <c:order val="1"/>
          <c:tx>
            <c:strRef>
              <c:f>'Figure 7'!$X$3</c:f>
              <c:strCache>
                <c:ptCount val="1"/>
                <c:pt idx="0">
                  <c:v>Regional</c:v>
                </c:pt>
              </c:strCache>
            </c:strRef>
          </c:tx>
          <c:spPr>
            <a:ln w="19050" cap="rnd">
              <a:solidFill>
                <a:schemeClr val="accent3"/>
              </a:solidFill>
              <a:round/>
            </a:ln>
            <a:effectLst/>
          </c:spPr>
          <c:marker>
            <c:symbol val="none"/>
          </c:marker>
          <c:xVal>
            <c:numRef>
              <c:f>'Figure 7'!$U$4:$U$16</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'Figure 7'!$X$4:$X$16</c:f>
              <c:numCache>
                <c:formatCode>General</c:formatCode>
                <c:ptCount val="13"/>
                <c:pt idx="0">
                  <c:v>0.9</c:v>
                </c:pt>
                <c:pt idx="1">
                  <c:v>0.93</c:v>
                </c:pt>
                <c:pt idx="2">
                  <c:v>0.89</c:v>
                </c:pt>
                <c:pt idx="3">
                  <c:v>0.86</c:v>
                </c:pt>
                <c:pt idx="4">
                  <c:v>0.85</c:v>
                </c:pt>
                <c:pt idx="5">
                  <c:v>0.82</c:v>
                </c:pt>
                <c:pt idx="6">
                  <c:v>0.81</c:v>
                </c:pt>
                <c:pt idx="7">
                  <c:v>0.82</c:v>
                </c:pt>
                <c:pt idx="8">
                  <c:v>0.81</c:v>
                </c:pt>
                <c:pt idx="9">
                  <c:v>0.8</c:v>
                </c:pt>
                <c:pt idx="10">
                  <c:v>0.8</c:v>
                </c:pt>
                <c:pt idx="11">
                  <c:v>0.77</c:v>
                </c:pt>
                <c:pt idx="12">
                  <c:v>0.75</c:v>
                </c:pt>
              </c:numCache>
            </c:numRef>
          </c:yVal>
          <c:smooth val="1"/>
          <c:extLst>
            <c:ext xmlns:c16="http://schemas.microsoft.com/office/drawing/2014/chart" uri="{C3380CC4-5D6E-409C-BE32-E72D297353CC}">
              <c16:uniqueId val="{00000001-741D-4969-B021-BD3BEF2BAB4E}"/>
            </c:ext>
          </c:extLst>
        </c:ser>
        <c:ser>
          <c:idx val="3"/>
          <c:order val="2"/>
          <c:tx>
            <c:strRef>
              <c:f>'Figure 7'!$Y$3</c:f>
              <c:strCache>
                <c:ptCount val="1"/>
                <c:pt idx="0">
                  <c:v>Remote</c:v>
                </c:pt>
              </c:strCache>
            </c:strRef>
          </c:tx>
          <c:spPr>
            <a:ln w="19050" cap="rnd">
              <a:solidFill>
                <a:schemeClr val="accent4"/>
              </a:solidFill>
              <a:round/>
            </a:ln>
            <a:effectLst/>
          </c:spPr>
          <c:marker>
            <c:symbol val="none"/>
          </c:marker>
          <c:xVal>
            <c:numRef>
              <c:f>'Figure 7'!$U$4:$U$16</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xVal>
          <c:yVal>
            <c:numRef>
              <c:f>'Figure 7'!$Y$4:$Y$16</c:f>
              <c:numCache>
                <c:formatCode>General</c:formatCode>
                <c:ptCount val="13"/>
                <c:pt idx="0">
                  <c:v>0.71</c:v>
                </c:pt>
                <c:pt idx="1">
                  <c:v>0.71</c:v>
                </c:pt>
                <c:pt idx="2">
                  <c:v>0.67</c:v>
                </c:pt>
                <c:pt idx="3">
                  <c:v>0.66</c:v>
                </c:pt>
                <c:pt idx="4">
                  <c:v>0.66</c:v>
                </c:pt>
                <c:pt idx="5">
                  <c:v>0.66</c:v>
                </c:pt>
                <c:pt idx="6">
                  <c:v>0.65</c:v>
                </c:pt>
                <c:pt idx="7">
                  <c:v>0.64</c:v>
                </c:pt>
                <c:pt idx="8">
                  <c:v>0.62</c:v>
                </c:pt>
                <c:pt idx="9">
                  <c:v>0.61</c:v>
                </c:pt>
                <c:pt idx="10">
                  <c:v>0.59</c:v>
                </c:pt>
                <c:pt idx="11">
                  <c:v>0.56999999999999995</c:v>
                </c:pt>
                <c:pt idx="12">
                  <c:v>0.55000000000000004</c:v>
                </c:pt>
              </c:numCache>
            </c:numRef>
          </c:yVal>
          <c:smooth val="1"/>
          <c:extLst>
            <c:ext xmlns:c16="http://schemas.microsoft.com/office/drawing/2014/chart" uri="{C3380CC4-5D6E-409C-BE32-E72D297353CC}">
              <c16:uniqueId val="{00000002-741D-4969-B021-BD3BEF2BAB4E}"/>
            </c:ext>
          </c:extLst>
        </c:ser>
        <c:dLbls>
          <c:showLegendKey val="0"/>
          <c:showVal val="0"/>
          <c:showCatName val="0"/>
          <c:showSerName val="0"/>
          <c:showPercent val="0"/>
          <c:showBubbleSize val="0"/>
        </c:dLbls>
        <c:axId val="546999968"/>
        <c:axId val="547002016"/>
      </c:scatterChart>
      <c:valAx>
        <c:axId val="546999968"/>
        <c:scaling>
          <c:orientation val="minMax"/>
          <c:max val="2018"/>
          <c:min val="2006"/>
        </c:scaling>
        <c:delete val="0"/>
        <c:axPos val="b"/>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002016"/>
        <c:crosses val="autoZero"/>
        <c:crossBetween val="midCat"/>
      </c:valAx>
      <c:valAx>
        <c:axId val="547002016"/>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Dissimilarity index, 0-1</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6999968"/>
        <c:crosses val="autoZero"/>
        <c:crossBetween val="midCat"/>
        <c:majorUnit val="0.1"/>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0486990756590197E-2"/>
          <c:y val="4.8899016178776303E-2"/>
          <c:w val="0.88104510034071803"/>
          <c:h val="0.62412343424249195"/>
        </c:manualLayout>
      </c:layout>
      <c:barChart>
        <c:barDir val="col"/>
        <c:grouping val="percentStacked"/>
        <c:varyColors val="0"/>
        <c:ser>
          <c:idx val="6"/>
          <c:order val="0"/>
          <c:tx>
            <c:strRef>
              <c:f>Sheet1!$AL$40</c:f>
              <c:strCache>
                <c:ptCount val="1"/>
                <c:pt idx="0">
                  <c:v>Other</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Sheet1!$AM$40:$AO$40</c:f>
              <c:numCache>
                <c:formatCode>0%</c:formatCode>
                <c:ptCount val="3"/>
                <c:pt idx="0">
                  <c:v>0.43265993893146498</c:v>
                </c:pt>
                <c:pt idx="1">
                  <c:v>0.41944358850200297</c:v>
                </c:pt>
                <c:pt idx="2">
                  <c:v>0.41406806802896701</c:v>
                </c:pt>
              </c:numCache>
            </c:numRef>
          </c:val>
          <c:extLst>
            <c:ext xmlns:c16="http://schemas.microsoft.com/office/drawing/2014/chart" uri="{C3380CC4-5D6E-409C-BE32-E72D297353CC}">
              <c16:uniqueId val="{00000000-45B7-4FAF-913A-FCFD629D0035}"/>
            </c:ext>
          </c:extLst>
        </c:ser>
        <c:ser>
          <c:idx val="3"/>
          <c:order val="1"/>
          <c:tx>
            <c:strRef>
              <c:f>Sheet1!$AL$37</c:f>
              <c:strCache>
                <c:ptCount val="1"/>
                <c:pt idx="0">
                  <c:v>Education and Training</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Sheet1!$AM$37:$AO$37</c:f>
              <c:numCache>
                <c:formatCode>0%</c:formatCode>
                <c:ptCount val="3"/>
                <c:pt idx="0">
                  <c:v>4.9663297832012197E-2</c:v>
                </c:pt>
                <c:pt idx="1">
                  <c:v>5.5531100057225898E-2</c:v>
                </c:pt>
                <c:pt idx="2">
                  <c:v>2.7337805092765101E-2</c:v>
                </c:pt>
              </c:numCache>
            </c:numRef>
          </c:val>
          <c:extLst>
            <c:ext xmlns:c16="http://schemas.microsoft.com/office/drawing/2014/chart" uri="{C3380CC4-5D6E-409C-BE32-E72D297353CC}">
              <c16:uniqueId val="{00000001-45B7-4FAF-913A-FCFD629D0035}"/>
            </c:ext>
          </c:extLst>
        </c:ser>
        <c:ser>
          <c:idx val="5"/>
          <c:order val="2"/>
          <c:tx>
            <c:strRef>
              <c:f>Sheet1!$AL$39</c:f>
              <c:strCache>
                <c:ptCount val="1"/>
                <c:pt idx="0">
                  <c:v>Rental, Hiring and Real Estate Services</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Sheet1!$AM$39:$AO$39</c:f>
              <c:numCache>
                <c:formatCode>0%</c:formatCode>
                <c:ptCount val="3"/>
                <c:pt idx="0">
                  <c:v>4.54545468091965E-2</c:v>
                </c:pt>
                <c:pt idx="1">
                  <c:v>2.9955539904036599E-2</c:v>
                </c:pt>
                <c:pt idx="2">
                  <c:v>3.0303403369633799E-2</c:v>
                </c:pt>
              </c:numCache>
            </c:numRef>
          </c:val>
          <c:extLst>
            <c:ext xmlns:c16="http://schemas.microsoft.com/office/drawing/2014/chart" uri="{C3380CC4-5D6E-409C-BE32-E72D297353CC}">
              <c16:uniqueId val="{00000002-45B7-4FAF-913A-FCFD629D0035}"/>
            </c:ext>
          </c:extLst>
        </c:ser>
        <c:ser>
          <c:idx val="2"/>
          <c:order val="3"/>
          <c:tx>
            <c:strRef>
              <c:f>Sheet1!$AL$36</c:f>
              <c:strCache>
                <c:ptCount val="1"/>
                <c:pt idx="0">
                  <c:v>Administrative and Support Services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Sheet1!$AM$36:$AO$36</c:f>
              <c:numCache>
                <c:formatCode>0%</c:formatCode>
                <c:ptCount val="3"/>
                <c:pt idx="0">
                  <c:v>7.2951741516590105E-2</c:v>
                </c:pt>
                <c:pt idx="1">
                  <c:v>7.8267376854338197E-2</c:v>
                </c:pt>
                <c:pt idx="2">
                  <c:v>6.2099212006737098E-2</c:v>
                </c:pt>
              </c:numCache>
            </c:numRef>
          </c:val>
          <c:extLst>
            <c:ext xmlns:c16="http://schemas.microsoft.com/office/drawing/2014/chart" uri="{C3380CC4-5D6E-409C-BE32-E72D297353CC}">
              <c16:uniqueId val="{00000003-45B7-4FAF-913A-FCFD629D0035}"/>
            </c:ext>
          </c:extLst>
        </c:ser>
        <c:ser>
          <c:idx val="4"/>
          <c:order val="4"/>
          <c:tx>
            <c:strRef>
              <c:f>Sheet1!$AL$38</c:f>
              <c:strCache>
                <c:ptCount val="1"/>
                <c:pt idx="0">
                  <c:v>Health Care and Social Assistance</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Sheet1!$AM$38:$AO$38</c:f>
              <c:numCache>
                <c:formatCode>0%</c:formatCode>
                <c:ptCount val="3"/>
                <c:pt idx="0">
                  <c:v>9.6520766615867601E-2</c:v>
                </c:pt>
                <c:pt idx="1">
                  <c:v>0.23561649865739301</c:v>
                </c:pt>
                <c:pt idx="2">
                  <c:v>0.18813417680556099</c:v>
                </c:pt>
              </c:numCache>
            </c:numRef>
          </c:val>
          <c:extLst>
            <c:ext xmlns:c16="http://schemas.microsoft.com/office/drawing/2014/chart" uri="{C3380CC4-5D6E-409C-BE32-E72D297353CC}">
              <c16:uniqueId val="{00000004-45B7-4FAF-913A-FCFD629D0035}"/>
            </c:ext>
          </c:extLst>
        </c:ser>
        <c:ser>
          <c:idx val="1"/>
          <c:order val="5"/>
          <c:tx>
            <c:strRef>
              <c:f>Sheet1!$AL$35</c:f>
              <c:strCache>
                <c:ptCount val="1"/>
                <c:pt idx="0">
                  <c:v>Professional, Scientific and Technical Services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Sheet1!$AM$35:$AO$35</c:f>
              <c:numCache>
                <c:formatCode>0%</c:formatCode>
                <c:ptCount val="3"/>
                <c:pt idx="0">
                  <c:v>0.135802462697029</c:v>
                </c:pt>
                <c:pt idx="1">
                  <c:v>6.1429766254346999E-2</c:v>
                </c:pt>
                <c:pt idx="2">
                  <c:v>7.7062602893544205E-2</c:v>
                </c:pt>
              </c:numCache>
            </c:numRef>
          </c:val>
          <c:extLst>
            <c:ext xmlns:c16="http://schemas.microsoft.com/office/drawing/2014/chart" uri="{C3380CC4-5D6E-409C-BE32-E72D297353CC}">
              <c16:uniqueId val="{00000005-45B7-4FAF-913A-FCFD629D0035}"/>
            </c:ext>
          </c:extLst>
        </c:ser>
        <c:ser>
          <c:idx val="0"/>
          <c:order val="6"/>
          <c:tx>
            <c:strRef>
              <c:f>Sheet1!$AL$34</c:f>
              <c:strCache>
                <c:ptCount val="1"/>
                <c:pt idx="0">
                  <c:v>Construction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Sheet1!$AM$33:$AO$33</c:f>
              <c:strCache>
                <c:ptCount val="3"/>
                <c:pt idx="0">
                  <c:v>Number</c:v>
                </c:pt>
                <c:pt idx="1">
                  <c:v>Employment</c:v>
                </c:pt>
                <c:pt idx="2">
                  <c:v>Gross income</c:v>
                </c:pt>
              </c:strCache>
            </c:strRef>
          </c:cat>
          <c:val>
            <c:numRef>
              <c:f>Sheet1!$AM$34:$AO$34</c:f>
              <c:numCache>
                <c:formatCode>0%</c:formatCode>
                <c:ptCount val="3"/>
                <c:pt idx="0">
                  <c:v>0.16694724559783899</c:v>
                </c:pt>
                <c:pt idx="1">
                  <c:v>0.119756129770656</c:v>
                </c:pt>
                <c:pt idx="2">
                  <c:v>0.20099473180279201</c:v>
                </c:pt>
              </c:numCache>
            </c:numRef>
          </c:val>
          <c:extLst>
            <c:ext xmlns:c16="http://schemas.microsoft.com/office/drawing/2014/chart" uri="{C3380CC4-5D6E-409C-BE32-E72D297353CC}">
              <c16:uniqueId val="{00000006-45B7-4FAF-913A-FCFD629D0035}"/>
            </c:ext>
          </c:extLst>
        </c:ser>
        <c:dLbls>
          <c:dLblPos val="ctr"/>
          <c:showLegendKey val="0"/>
          <c:showVal val="1"/>
          <c:showCatName val="0"/>
          <c:showSerName val="0"/>
          <c:showPercent val="0"/>
          <c:showBubbleSize val="0"/>
        </c:dLbls>
        <c:gapWidth val="150"/>
        <c:overlap val="100"/>
        <c:axId val="547044240"/>
        <c:axId val="546697312"/>
      </c:barChart>
      <c:catAx>
        <c:axId val="547044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6697312"/>
        <c:crosses val="autoZero"/>
        <c:auto val="1"/>
        <c:lblAlgn val="ctr"/>
        <c:lblOffset val="100"/>
        <c:noMultiLvlLbl val="0"/>
      </c:catAx>
      <c:valAx>
        <c:axId val="54669731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044240"/>
        <c:crosses val="autoZero"/>
        <c:crossBetween val="between"/>
      </c:valAx>
      <c:spPr>
        <a:noFill/>
        <a:ln>
          <a:noFill/>
        </a:ln>
        <a:effectLst/>
      </c:spPr>
    </c:plotArea>
    <c:legend>
      <c:legendPos val="b"/>
      <c:layout>
        <c:manualLayout>
          <c:xMode val="edge"/>
          <c:yMode val="edge"/>
          <c:x val="3.9978225487177201E-2"/>
          <c:y val="0.74477161908372003"/>
          <c:w val="0.94099308640889201"/>
          <c:h val="0.214992066669632"/>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5932852143482"/>
          <c:y val="6.5388115733761104E-2"/>
          <c:w val="0.82087248468941398"/>
          <c:h val="0.52553223495895596"/>
        </c:manualLayout>
      </c:layout>
      <c:areaChart>
        <c:grouping val="percentStacked"/>
        <c:varyColors val="0"/>
        <c:ser>
          <c:idx val="6"/>
          <c:order val="0"/>
          <c:tx>
            <c:strRef>
              <c:f>Long_sector_count!$J$3</c:f>
              <c:strCache>
                <c:ptCount val="1"/>
                <c:pt idx="0">
                  <c:v>Other</c:v>
                </c:pt>
              </c:strCache>
            </c:strRef>
          </c:tx>
          <c:spPr>
            <a:ln w="25400">
              <a:noFill/>
            </a:ln>
          </c:spPr>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Long_sector_count!$J$95:$J$107</c:f>
              <c:numCache>
                <c:formatCode>0.000</c:formatCode>
                <c:ptCount val="13"/>
                <c:pt idx="0">
                  <c:v>0.50489511340856597</c:v>
                </c:pt>
                <c:pt idx="1">
                  <c:v>0.51107828691601798</c:v>
                </c:pt>
                <c:pt idx="2">
                  <c:v>0.50429799035191503</c:v>
                </c:pt>
                <c:pt idx="3">
                  <c:v>0.49439251422882102</c:v>
                </c:pt>
                <c:pt idx="4">
                  <c:v>0.49228054657578502</c:v>
                </c:pt>
                <c:pt idx="5">
                  <c:v>0.47840670496225401</c:v>
                </c:pt>
                <c:pt idx="6">
                  <c:v>0.46922462061047598</c:v>
                </c:pt>
                <c:pt idx="7">
                  <c:v>0.46918335184454901</c:v>
                </c:pt>
                <c:pt idx="8">
                  <c:v>0.45552754774689702</c:v>
                </c:pt>
                <c:pt idx="9">
                  <c:v>0.45071868598461201</c:v>
                </c:pt>
                <c:pt idx="10">
                  <c:v>0.44163734838366497</c:v>
                </c:pt>
                <c:pt idx="11">
                  <c:v>0.43658980727195701</c:v>
                </c:pt>
                <c:pt idx="12">
                  <c:v>0.43265993893146498</c:v>
                </c:pt>
              </c:numCache>
            </c:numRef>
          </c:val>
          <c:extLst>
            <c:ext xmlns:c16="http://schemas.microsoft.com/office/drawing/2014/chart" uri="{C3380CC4-5D6E-409C-BE32-E72D297353CC}">
              <c16:uniqueId val="{00000000-9D8F-4693-A3DB-85A29A00521D}"/>
            </c:ext>
          </c:extLst>
        </c:ser>
        <c:ser>
          <c:idx val="3"/>
          <c:order val="1"/>
          <c:tx>
            <c:strRef>
              <c:f>Long_sector_count!$G$3</c:f>
              <c:strCache>
                <c:ptCount val="1"/>
                <c:pt idx="0">
                  <c:v>Education and Training</c:v>
                </c:pt>
              </c:strCache>
            </c:strRef>
          </c:tx>
          <c:spPr>
            <a:ln w="25400">
              <a:noFill/>
            </a:ln>
          </c:spPr>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Long_sector_count!$G$95:$G$107</c:f>
              <c:numCache>
                <c:formatCode>0.000</c:formatCode>
                <c:ptCount val="13"/>
                <c:pt idx="0">
                  <c:v>4.9417249858379399E-2</c:v>
                </c:pt>
                <c:pt idx="1">
                  <c:v>4.9236830323934597E-2</c:v>
                </c:pt>
                <c:pt idx="2">
                  <c:v>4.8233047127723701E-2</c:v>
                </c:pt>
                <c:pt idx="3">
                  <c:v>5.2803739905357402E-2</c:v>
                </c:pt>
                <c:pt idx="4">
                  <c:v>5.4256726056337398E-2</c:v>
                </c:pt>
                <c:pt idx="5">
                  <c:v>5.5345911532640499E-2</c:v>
                </c:pt>
                <c:pt idx="6">
                  <c:v>5.55555559694767E-2</c:v>
                </c:pt>
                <c:pt idx="7">
                  <c:v>6.0092449188232401E-2</c:v>
                </c:pt>
                <c:pt idx="8">
                  <c:v>6.0136839747428901E-2</c:v>
                </c:pt>
                <c:pt idx="9">
                  <c:v>5.8179330080747597E-2</c:v>
                </c:pt>
                <c:pt idx="10">
                  <c:v>5.5324591696262401E-2</c:v>
                </c:pt>
                <c:pt idx="11">
                  <c:v>5.3094659000635203E-2</c:v>
                </c:pt>
                <c:pt idx="12">
                  <c:v>4.9663297832012197E-2</c:v>
                </c:pt>
              </c:numCache>
            </c:numRef>
          </c:val>
          <c:extLst>
            <c:ext xmlns:c16="http://schemas.microsoft.com/office/drawing/2014/chart" uri="{C3380CC4-5D6E-409C-BE32-E72D297353CC}">
              <c16:uniqueId val="{00000001-9D8F-4693-A3DB-85A29A00521D}"/>
            </c:ext>
          </c:extLst>
        </c:ser>
        <c:ser>
          <c:idx val="5"/>
          <c:order val="2"/>
          <c:tx>
            <c:strRef>
              <c:f>Long_sector_count!$I$3</c:f>
              <c:strCache>
                <c:ptCount val="1"/>
                <c:pt idx="0">
                  <c:v>Rental, Hiring and Real Estate Services</c:v>
                </c:pt>
              </c:strCache>
            </c:strRef>
          </c:tx>
          <c:spPr>
            <a:ln w="25400">
              <a:noFill/>
            </a:ln>
          </c:spPr>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Long_sector_count!$I$95:$I$107</c:f>
              <c:numCache>
                <c:formatCode>0.000</c:formatCode>
                <c:ptCount val="13"/>
                <c:pt idx="0">
                  <c:v>5.2680652588605902E-2</c:v>
                </c:pt>
                <c:pt idx="1">
                  <c:v>5.31757771968841E-2</c:v>
                </c:pt>
                <c:pt idx="2">
                  <c:v>5.1098376512527501E-2</c:v>
                </c:pt>
                <c:pt idx="3">
                  <c:v>5.1401868462562499E-2</c:v>
                </c:pt>
                <c:pt idx="4">
                  <c:v>5.1610056310892098E-2</c:v>
                </c:pt>
                <c:pt idx="5">
                  <c:v>4.8218030482530601E-2</c:v>
                </c:pt>
                <c:pt idx="6">
                  <c:v>4.8361312597990001E-2</c:v>
                </c:pt>
                <c:pt idx="7">
                  <c:v>4.8151001334190403E-2</c:v>
                </c:pt>
                <c:pt idx="8">
                  <c:v>4.7893408685922602E-2</c:v>
                </c:pt>
                <c:pt idx="9">
                  <c:v>5.0308007746934898E-2</c:v>
                </c:pt>
                <c:pt idx="10">
                  <c:v>4.7969300299882903E-2</c:v>
                </c:pt>
                <c:pt idx="11">
                  <c:v>4.8240292817354202E-2</c:v>
                </c:pt>
                <c:pt idx="12">
                  <c:v>4.54545468091965E-2</c:v>
                </c:pt>
              </c:numCache>
            </c:numRef>
          </c:val>
          <c:extLst>
            <c:ext xmlns:c16="http://schemas.microsoft.com/office/drawing/2014/chart" uri="{C3380CC4-5D6E-409C-BE32-E72D297353CC}">
              <c16:uniqueId val="{00000002-9D8F-4693-A3DB-85A29A00521D}"/>
            </c:ext>
          </c:extLst>
        </c:ser>
        <c:ser>
          <c:idx val="2"/>
          <c:order val="3"/>
          <c:tx>
            <c:strRef>
              <c:f>Long_sector_count!$F$3</c:f>
              <c:strCache>
                <c:ptCount val="1"/>
                <c:pt idx="0">
                  <c:v>Administrative and Support Services</c:v>
                </c:pt>
              </c:strCache>
            </c:strRef>
          </c:tx>
          <c:spPr>
            <a:ln w="25400">
              <a:noFill/>
            </a:ln>
          </c:spPr>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Long_sector_count!$F$95:$F$107</c:f>
              <c:numCache>
                <c:formatCode>0.000</c:formatCode>
                <c:ptCount val="13"/>
                <c:pt idx="0">
                  <c:v>4.4755246490240097E-2</c:v>
                </c:pt>
                <c:pt idx="1">
                  <c:v>4.7267355024814599E-2</c:v>
                </c:pt>
                <c:pt idx="2">
                  <c:v>4.7277938574552501E-2</c:v>
                </c:pt>
                <c:pt idx="3">
                  <c:v>4.71962615847588E-2</c:v>
                </c:pt>
                <c:pt idx="4">
                  <c:v>5.1610056310892098E-2</c:v>
                </c:pt>
                <c:pt idx="5">
                  <c:v>5.6603774428367601E-2</c:v>
                </c:pt>
                <c:pt idx="6">
                  <c:v>6.0751397162675899E-2</c:v>
                </c:pt>
                <c:pt idx="7">
                  <c:v>5.8166410773992497E-2</c:v>
                </c:pt>
                <c:pt idx="8">
                  <c:v>5.9776738286018399E-2</c:v>
                </c:pt>
                <c:pt idx="9">
                  <c:v>6.5366186201572404E-2</c:v>
                </c:pt>
                <c:pt idx="10">
                  <c:v>6.4918451011180905E-2</c:v>
                </c:pt>
                <c:pt idx="11">
                  <c:v>6.6444173455238301E-2</c:v>
                </c:pt>
                <c:pt idx="12">
                  <c:v>7.2951741516590105E-2</c:v>
                </c:pt>
              </c:numCache>
            </c:numRef>
          </c:val>
          <c:extLst>
            <c:ext xmlns:c16="http://schemas.microsoft.com/office/drawing/2014/chart" uri="{C3380CC4-5D6E-409C-BE32-E72D297353CC}">
              <c16:uniqueId val="{00000003-9D8F-4693-A3DB-85A29A00521D}"/>
            </c:ext>
          </c:extLst>
        </c:ser>
        <c:ser>
          <c:idx val="4"/>
          <c:order val="4"/>
          <c:tx>
            <c:strRef>
              <c:f>Long_sector_count!$H$3</c:f>
              <c:strCache>
                <c:ptCount val="1"/>
                <c:pt idx="0">
                  <c:v>Health Care and Social Assistance</c:v>
                </c:pt>
              </c:strCache>
            </c:strRef>
          </c:tx>
          <c:spPr>
            <a:ln w="25400">
              <a:noFill/>
            </a:ln>
          </c:spPr>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Long_sector_count!$H$95:$H$107</c:f>
              <c:numCache>
                <c:formatCode>0.000</c:formatCode>
                <c:ptCount val="13"/>
                <c:pt idx="0">
                  <c:v>0.153379946947098</c:v>
                </c:pt>
                <c:pt idx="1">
                  <c:v>0.15805022418499001</c:v>
                </c:pt>
                <c:pt idx="2">
                  <c:v>0.15234002470970201</c:v>
                </c:pt>
                <c:pt idx="3">
                  <c:v>0.14859813451767001</c:v>
                </c:pt>
                <c:pt idx="4">
                  <c:v>0.14115571975707999</c:v>
                </c:pt>
                <c:pt idx="5">
                  <c:v>0.135849058628082</c:v>
                </c:pt>
                <c:pt idx="6">
                  <c:v>0.131494805216789</c:v>
                </c:pt>
                <c:pt idx="7">
                  <c:v>0.12711864709854101</c:v>
                </c:pt>
                <c:pt idx="8">
                  <c:v>0.118473172187805</c:v>
                </c:pt>
                <c:pt idx="9">
                  <c:v>0.114305272698402</c:v>
                </c:pt>
                <c:pt idx="10">
                  <c:v>0.10681164264678999</c:v>
                </c:pt>
                <c:pt idx="11">
                  <c:v>0.101334951817989</c:v>
                </c:pt>
                <c:pt idx="12">
                  <c:v>9.6520766615867601E-2</c:v>
                </c:pt>
              </c:numCache>
            </c:numRef>
          </c:val>
          <c:extLst>
            <c:ext xmlns:c16="http://schemas.microsoft.com/office/drawing/2014/chart" uri="{C3380CC4-5D6E-409C-BE32-E72D297353CC}">
              <c16:uniqueId val="{00000004-9D8F-4693-A3DB-85A29A00521D}"/>
            </c:ext>
          </c:extLst>
        </c:ser>
        <c:ser>
          <c:idx val="1"/>
          <c:order val="5"/>
          <c:tx>
            <c:strRef>
              <c:f>Long_sector_count!$E$3</c:f>
              <c:strCache>
                <c:ptCount val="1"/>
                <c:pt idx="0">
                  <c:v>Professional, Scientific and Technical Services</c:v>
                </c:pt>
              </c:strCache>
            </c:strRef>
          </c:tx>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Long_sector_count!$E$95:$E$107</c:f>
              <c:numCache>
                <c:formatCode>0.000</c:formatCode>
                <c:ptCount val="13"/>
                <c:pt idx="0">
                  <c:v>8.43822807073593E-2</c:v>
                </c:pt>
                <c:pt idx="1">
                  <c:v>6.8931557238102001E-2</c:v>
                </c:pt>
                <c:pt idx="2">
                  <c:v>7.3065899312496199E-2</c:v>
                </c:pt>
                <c:pt idx="3">
                  <c:v>7.6635517179966001E-2</c:v>
                </c:pt>
                <c:pt idx="4">
                  <c:v>7.89589732885361E-2</c:v>
                </c:pt>
                <c:pt idx="5">
                  <c:v>8.5534587502479595E-2</c:v>
                </c:pt>
                <c:pt idx="6">
                  <c:v>8.7929658591747298E-2</c:v>
                </c:pt>
                <c:pt idx="7">
                  <c:v>8.8212631642818395E-2</c:v>
                </c:pt>
                <c:pt idx="8">
                  <c:v>0.104069136083126</c:v>
                </c:pt>
                <c:pt idx="9">
                  <c:v>0.111909650266171</c:v>
                </c:pt>
                <c:pt idx="10">
                  <c:v>0.125999361276627</c:v>
                </c:pt>
                <c:pt idx="11">
                  <c:v>0.131978154182434</c:v>
                </c:pt>
                <c:pt idx="12">
                  <c:v>0.135802462697029</c:v>
                </c:pt>
              </c:numCache>
            </c:numRef>
          </c:val>
          <c:extLst>
            <c:ext xmlns:c16="http://schemas.microsoft.com/office/drawing/2014/chart" uri="{C3380CC4-5D6E-409C-BE32-E72D297353CC}">
              <c16:uniqueId val="{00000005-9D8F-4693-A3DB-85A29A00521D}"/>
            </c:ext>
          </c:extLst>
        </c:ser>
        <c:ser>
          <c:idx val="0"/>
          <c:order val="6"/>
          <c:tx>
            <c:strRef>
              <c:f>Long_sector_count!$D$3</c:f>
              <c:strCache>
                <c:ptCount val="1"/>
                <c:pt idx="0">
                  <c:v>Construction</c:v>
                </c:pt>
              </c:strCache>
            </c:strRef>
          </c:tx>
          <c:cat>
            <c:numRef>
              <c:f>Long_sector_count!$C$17:$C$29</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Long_sector_count!$D$95:$D$107</c:f>
              <c:numCache>
                <c:formatCode>0.000</c:formatCode>
                <c:ptCount val="13"/>
                <c:pt idx="0">
                  <c:v>0.110489509999752</c:v>
                </c:pt>
                <c:pt idx="1">
                  <c:v>0.112259969115257</c:v>
                </c:pt>
                <c:pt idx="2">
                  <c:v>0.123686723411083</c:v>
                </c:pt>
                <c:pt idx="3">
                  <c:v>0.12897196412086501</c:v>
                </c:pt>
                <c:pt idx="4">
                  <c:v>0.13012792170047799</c:v>
                </c:pt>
                <c:pt idx="5">
                  <c:v>0.14004193246364599</c:v>
                </c:pt>
                <c:pt idx="6">
                  <c:v>0.146682649850845</c:v>
                </c:pt>
                <c:pt idx="7">
                  <c:v>0.149075508117676</c:v>
                </c:pt>
                <c:pt idx="8">
                  <c:v>0.15412315726280201</c:v>
                </c:pt>
                <c:pt idx="9">
                  <c:v>0.149212867021561</c:v>
                </c:pt>
                <c:pt idx="10">
                  <c:v>0.15733930468559301</c:v>
                </c:pt>
                <c:pt idx="11">
                  <c:v>0.16231796145439201</c:v>
                </c:pt>
                <c:pt idx="12">
                  <c:v>0.16694724559783899</c:v>
                </c:pt>
              </c:numCache>
            </c:numRef>
          </c:val>
          <c:extLst>
            <c:ext xmlns:c16="http://schemas.microsoft.com/office/drawing/2014/chart" uri="{C3380CC4-5D6E-409C-BE32-E72D297353CC}">
              <c16:uniqueId val="{00000006-9D8F-4693-A3DB-85A29A00521D}"/>
            </c:ext>
          </c:extLst>
        </c:ser>
        <c:dLbls>
          <c:showLegendKey val="0"/>
          <c:showVal val="0"/>
          <c:showCatName val="0"/>
          <c:showSerName val="0"/>
          <c:showPercent val="0"/>
          <c:showBubbleSize val="0"/>
        </c:dLbls>
        <c:axId val="547066880"/>
        <c:axId val="547221072"/>
      </c:areaChart>
      <c:catAx>
        <c:axId val="547066880"/>
        <c:scaling>
          <c:orientation val="minMax"/>
        </c:scaling>
        <c:delete val="0"/>
        <c:axPos val="b"/>
        <c:numFmt formatCode="General" sourceLinked="1"/>
        <c:majorTickMark val="out"/>
        <c:minorTickMark val="none"/>
        <c:tickLblPos val="nextTo"/>
        <c:crossAx val="547221072"/>
        <c:crosses val="autoZero"/>
        <c:auto val="1"/>
        <c:lblAlgn val="ctr"/>
        <c:lblOffset val="100"/>
        <c:noMultiLvlLbl val="0"/>
      </c:catAx>
      <c:valAx>
        <c:axId val="547221072"/>
        <c:scaling>
          <c:orientation val="minMax"/>
        </c:scaling>
        <c:delete val="0"/>
        <c:axPos val="l"/>
        <c:majorGridlines/>
        <c:numFmt formatCode="0%" sourceLinked="1"/>
        <c:majorTickMark val="out"/>
        <c:minorTickMark val="none"/>
        <c:tickLblPos val="nextTo"/>
        <c:crossAx val="547066880"/>
        <c:crosses val="autoZero"/>
        <c:crossBetween val="midCat"/>
      </c:valAx>
    </c:plotArea>
    <c:legend>
      <c:legendPos val="r"/>
      <c:layout>
        <c:manualLayout>
          <c:xMode val="edge"/>
          <c:yMode val="edge"/>
          <c:x val="0"/>
          <c:y val="0.679951309692992"/>
          <c:w val="1"/>
          <c:h val="0.28510372662806699"/>
        </c:manualLayout>
      </c:layout>
      <c:overlay val="0"/>
    </c:legend>
    <c:plotVisOnly val="1"/>
    <c:dispBlanksAs val="zero"/>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Sheet1!$AS$2</c:f>
              <c:strCache>
                <c:ptCount val="1"/>
                <c:pt idx="0">
                  <c:v>Non-Indigenous</c:v>
                </c:pt>
              </c:strCache>
            </c:strRef>
          </c:tx>
          <c:spPr>
            <a:solidFill>
              <a:schemeClr val="accent1"/>
            </a:solidFill>
            <a:ln>
              <a:noFill/>
            </a:ln>
            <a:effectLst/>
          </c:spPr>
          <c:invertIfNegative val="0"/>
          <c:cat>
            <c:strRef>
              <c:f>Sheet1!$AR$3:$AR$6</c:f>
              <c:strCache>
                <c:ptCount val="4"/>
                <c:pt idx="0">
                  <c:v>Major city</c:v>
                </c:pt>
                <c:pt idx="1">
                  <c:v>Regional</c:v>
                </c:pt>
                <c:pt idx="2">
                  <c:v>Remote</c:v>
                </c:pt>
                <c:pt idx="3">
                  <c:v>All</c:v>
                </c:pt>
              </c:strCache>
            </c:strRef>
          </c:cat>
          <c:val>
            <c:numRef>
              <c:f>Sheet1!$AS$3:$AS$6</c:f>
              <c:numCache>
                <c:formatCode>_-* #,##0_-;\-* #,##0_-;_-* "-"??_-;_-@_-</c:formatCode>
                <c:ptCount val="4"/>
                <c:pt idx="0">
                  <c:v>56409.97182700994</c:v>
                </c:pt>
                <c:pt idx="1">
                  <c:v>48634.548667570009</c:v>
                </c:pt>
                <c:pt idx="2">
                  <c:v>47365.508440605219</c:v>
                </c:pt>
                <c:pt idx="3">
                  <c:v>54164.963866305327</c:v>
                </c:pt>
              </c:numCache>
            </c:numRef>
          </c:val>
          <c:extLst>
            <c:ext xmlns:c16="http://schemas.microsoft.com/office/drawing/2014/chart" uri="{C3380CC4-5D6E-409C-BE32-E72D297353CC}">
              <c16:uniqueId val="{00000000-92D5-409C-A90A-9E157B56827C}"/>
            </c:ext>
          </c:extLst>
        </c:ser>
        <c:ser>
          <c:idx val="1"/>
          <c:order val="1"/>
          <c:tx>
            <c:strRef>
              <c:f>Sheet1!$AT$2</c:f>
              <c:strCache>
                <c:ptCount val="1"/>
                <c:pt idx="0">
                  <c:v>Indigenous</c:v>
                </c:pt>
              </c:strCache>
            </c:strRef>
          </c:tx>
          <c:spPr>
            <a:solidFill>
              <a:schemeClr val="accent2"/>
            </a:solidFill>
            <a:ln>
              <a:noFill/>
            </a:ln>
            <a:effectLst/>
          </c:spPr>
          <c:invertIfNegative val="0"/>
          <c:cat>
            <c:strRef>
              <c:f>Sheet1!$AR$3:$AR$6</c:f>
              <c:strCache>
                <c:ptCount val="4"/>
                <c:pt idx="0">
                  <c:v>Major city</c:v>
                </c:pt>
                <c:pt idx="1">
                  <c:v>Regional</c:v>
                </c:pt>
                <c:pt idx="2">
                  <c:v>Remote</c:v>
                </c:pt>
                <c:pt idx="3">
                  <c:v>All</c:v>
                </c:pt>
              </c:strCache>
            </c:strRef>
          </c:cat>
          <c:val>
            <c:numRef>
              <c:f>Sheet1!$AT$3:$AT$6</c:f>
              <c:numCache>
                <c:formatCode>_-* #,##0_-;\-* #,##0_-;_-* "-"??_-;_-@_-</c:formatCode>
                <c:ptCount val="4"/>
                <c:pt idx="0">
                  <c:v>58178.785427958443</c:v>
                </c:pt>
                <c:pt idx="1">
                  <c:v>53330.054426377603</c:v>
                </c:pt>
                <c:pt idx="2">
                  <c:v>54969.28235094851</c:v>
                </c:pt>
                <c:pt idx="3">
                  <c:v>55650.030007904243</c:v>
                </c:pt>
              </c:numCache>
            </c:numRef>
          </c:val>
          <c:extLst>
            <c:ext xmlns:c16="http://schemas.microsoft.com/office/drawing/2014/chart" uri="{C3380CC4-5D6E-409C-BE32-E72D297353CC}">
              <c16:uniqueId val="{00000001-92D5-409C-A90A-9E157B56827C}"/>
            </c:ext>
          </c:extLst>
        </c:ser>
        <c:dLbls>
          <c:showLegendKey val="0"/>
          <c:showVal val="0"/>
          <c:showCatName val="0"/>
          <c:showSerName val="0"/>
          <c:showPercent val="0"/>
          <c:showBubbleSize val="0"/>
        </c:dLbls>
        <c:gapWidth val="219"/>
        <c:overlap val="-27"/>
        <c:axId val="547134816"/>
        <c:axId val="547078944"/>
      </c:barChart>
      <c:catAx>
        <c:axId val="5471348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547078944"/>
        <c:crosses val="autoZero"/>
        <c:auto val="1"/>
        <c:lblAlgn val="ctr"/>
        <c:lblOffset val="100"/>
        <c:noMultiLvlLbl val="0"/>
      </c:catAx>
      <c:valAx>
        <c:axId val="5470789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$2020 per full-time equivalent</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_-* #,##0_-;\-* #,##0_-;_-*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471348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CB2066BDF7EEC4D92C264F591238105" ma:contentTypeVersion="13" ma:contentTypeDescription="Create a new document." ma:contentTypeScope="" ma:versionID="46eaf8681e1a496549a3c5a9a09531dc">
  <xsd:schema xmlns:xsd="http://www.w3.org/2001/XMLSchema" xmlns:xs="http://www.w3.org/2001/XMLSchema" xmlns:p="http://schemas.microsoft.com/office/2006/metadata/properties" xmlns:ns3="4aba0b64-19bb-4ef6-880e-3c2807a0eef4" xmlns:ns4="d900aeff-b745-4bef-bcd9-b3f0a477c409" targetNamespace="http://schemas.microsoft.com/office/2006/metadata/properties" ma:root="true" ma:fieldsID="d58bb2820e8891dd74fbc17ba5aeeee2" ns3:_="" ns4:_="">
    <xsd:import namespace="4aba0b64-19bb-4ef6-880e-3c2807a0eef4"/>
    <xsd:import namespace="d900aeff-b745-4bef-bcd9-b3f0a477c40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ba0b64-19bb-4ef6-880e-3c2807a0eef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900aeff-b745-4bef-bcd9-b3f0a477c40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160BAC5-ACDC-4DA6-BE6E-8A3131191040}">
  <ds:schemaRefs>
    <ds:schemaRef ds:uri="http://schemas.microsoft.com/sharepoint/v3/contenttype/forms"/>
  </ds:schemaRefs>
</ds:datastoreItem>
</file>

<file path=customXml/itemProps2.xml><?xml version="1.0" encoding="utf-8"?>
<ds:datastoreItem xmlns:ds="http://schemas.openxmlformats.org/officeDocument/2006/customXml" ds:itemID="{D0A04D52-B9E8-49F5-975A-59DA0B95B9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aba0b64-19bb-4ef6-880e-3c2807a0eef4"/>
    <ds:schemaRef ds:uri="d900aeff-b745-4bef-bcd9-b3f0a477c4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2BAD89-65CD-1E4B-B552-27A72F6B87F0}">
  <ds:schemaRefs>
    <ds:schemaRef ds:uri="http://schemas.openxmlformats.org/officeDocument/2006/bibliography"/>
  </ds:schemaRefs>
</ds:datastoreItem>
</file>

<file path=customXml/itemProps4.xml><?xml version="1.0" encoding="utf-8"?>
<ds:datastoreItem xmlns:ds="http://schemas.openxmlformats.org/officeDocument/2006/customXml" ds:itemID="{31CA6757-55A0-420B-91BF-73306158EC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24</Pages>
  <Words>9160</Words>
  <Characters>52213</Characters>
  <Application>Microsoft Office Word</Application>
  <DocSecurity>0</DocSecurity>
  <Lines>435</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Evans</dc:creator>
  <cp:keywords/>
  <dc:description/>
  <cp:lastModifiedBy>Sarah Kurland</cp:lastModifiedBy>
  <cp:revision>18</cp:revision>
  <dcterms:created xsi:type="dcterms:W3CDTF">2021-04-11T23:17:00Z</dcterms:created>
  <dcterms:modified xsi:type="dcterms:W3CDTF">2021-04-12T04:05:00Z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0x0101001CB2066BDF7EEC4D92C264F591238105</vt:lpwstr>
  </property>
</Properties>
</file>