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xml:space="preserve">. If you remember </w:t>
      </w:r>
      <w:proofErr w:type="gramStart"/>
      <w:r>
        <w:t>an</w:t>
      </w:r>
      <w:proofErr w:type="gramEnd"/>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lastRenderedPageBreak/>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xml:space="preserve">, __) </w:t>
      </w:r>
      <w:r w:rsidR="00B6407C">
        <w:lastRenderedPageBreak/>
        <w:t>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3390181" cy="37560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876" cy="3767866"/>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6565"/>
                    </a:xfrm>
                    <a:prstGeom prst="rect">
                      <a:avLst/>
                    </a:prstGeom>
                  </pic:spPr>
                </pic:pic>
              </a:graphicData>
            </a:graphic>
          </wp:inline>
        </w:drawing>
      </w:r>
    </w:p>
    <w:p w:rsidR="00261DB0" w:rsidRDefault="004C59EB" w:rsidP="004C59EB">
      <w:r>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w:t>
      </w:r>
      <w:r w:rsidR="0001710A">
        <w:lastRenderedPageBreak/>
        <w:t xml:space="preserve">environment on the other hand gives us lots of fun tools for editing our code. I will give a brief overview of some of the tools I have found particularly useful. </w:t>
      </w:r>
    </w:p>
    <w:p w:rsidR="00F37AD7" w:rsidRDefault="00F37AD7" w:rsidP="00F37AD7">
      <w:r>
        <w:br w:type="page"/>
      </w:r>
    </w:p>
    <w:p w:rsidR="00F37AD7" w:rsidRDefault="00F37AD7" w:rsidP="00B85ED9"/>
    <w:p w:rsidR="00F37AD7" w:rsidRDefault="00F37AD7" w:rsidP="00F37AD7">
      <w:r>
        <w:br w:type="page"/>
      </w:r>
    </w:p>
    <w:p w:rsidR="00B85ED9" w:rsidRPr="00B85ED9" w:rsidRDefault="00B85ED9" w:rsidP="00B85ED9"/>
    <w:p w:rsidR="00B85ED9" w:rsidRPr="004C59EB" w:rsidRDefault="00B85ED9" w:rsidP="004C59EB"/>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F65DB6" w:rsidP="006A7EA6">
      <w:r>
        <w:rPr>
          <w:noProof/>
        </w:rPr>
        <w:drawing>
          <wp:inline distT="0" distB="0" distL="0" distR="0" wp14:anchorId="50E484BB" wp14:editId="20259647">
            <wp:extent cx="4829175"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695700"/>
                    </a:xfrm>
                    <a:prstGeom prst="rect">
                      <a:avLst/>
                    </a:prstGeom>
                  </pic:spPr>
                </pic:pic>
              </a:graphicData>
            </a:graphic>
          </wp:inline>
        </w:drawing>
      </w:r>
    </w:p>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lastRenderedPageBreak/>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 </w:t>
      </w:r>
      <w:r w:rsidR="007E464B">
        <w:t>Or if we want to be even more abstract, imagine our main script is a man in room doing some maths on paper. In the room next to him is another man which represents our function, and between them is a single window which they can both look through. If the script man needs 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bookmarkStart w:id="0" w:name="_GoBack"/>
      <w:bookmarkEnd w:id="0"/>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3571875"/>
                    </a:xfrm>
                    <a:prstGeom prst="rect">
                      <a:avLst/>
                    </a:prstGeom>
                  </pic:spPr>
                </pic:pic>
              </a:graphicData>
            </a:graphic>
          </wp:inline>
        </w:drawing>
      </w:r>
    </w:p>
    <w:p w:rsidR="008F1EF5" w:rsidRPr="006A7EA6" w:rsidRDefault="008F1EF5" w:rsidP="006A7EA6"/>
    <w:p w:rsidR="00261DB0" w:rsidRDefault="00261DB0" w:rsidP="00261DB0">
      <w:pPr>
        <w:pStyle w:val="Heading2"/>
        <w:pBdr>
          <w:top w:val="single" w:sz="4" w:space="1" w:color="auto"/>
        </w:pBdr>
      </w:pPr>
      <w:r>
        <w:t>Variables</w:t>
      </w:r>
    </w:p>
    <w:p w:rsidR="00261DB0" w:rsidRDefault="00261DB0" w:rsidP="00261DB0">
      <w:r>
        <w:t>Datatype (or type for short)</w:t>
      </w:r>
    </w:p>
    <w:p w:rsidR="00261DB0" w:rsidRDefault="00261DB0"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261DB0" w:rsidRDefault="00261DB0" w:rsidP="00261DB0"/>
    <w:p w:rsidR="00261DB0" w:rsidRDefault="00261DB0" w:rsidP="00261DB0">
      <w:pPr>
        <w:pStyle w:val="Heading3"/>
      </w:pPr>
      <w:r>
        <w:t>Explanation</w:t>
      </w:r>
    </w:p>
    <w:p w:rsidR="00261DB0" w:rsidRDefault="00261DB0" w:rsidP="00261DB0">
      <w:r>
        <w:t xml:space="preserve">When you create a function, you move some code inside a container that allows you to run that code anywhere and as many times as you want.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lastRenderedPageBreak/>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Default="00261DB0" w:rsidP="00261DB0">
      <w:r>
        <w:t xml:space="preserve">Note: </w:t>
      </w:r>
      <w:proofErr w:type="spellStart"/>
      <w:r>
        <w:t>matlab</w:t>
      </w:r>
      <w:proofErr w:type="spellEnd"/>
      <w: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lastRenderedPageBreak/>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sectPr w:rsidR="007C28C3" w:rsidRPr="007C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261DB0"/>
    <w:rsid w:val="00297B20"/>
    <w:rsid w:val="004C59EB"/>
    <w:rsid w:val="00546D89"/>
    <w:rsid w:val="006A7EA6"/>
    <w:rsid w:val="007C28C3"/>
    <w:rsid w:val="007E464B"/>
    <w:rsid w:val="008F1EF5"/>
    <w:rsid w:val="00B6407C"/>
    <w:rsid w:val="00B85ED9"/>
    <w:rsid w:val="00BF5B11"/>
    <w:rsid w:val="00F37AD7"/>
    <w:rsid w:val="00F65DB6"/>
    <w:rsid w:val="00F9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BF5A"/>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239AED7A</Template>
  <TotalTime>136</TotalTime>
  <Pages>13</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3</cp:revision>
  <dcterms:created xsi:type="dcterms:W3CDTF">2019-12-06T16:28:00Z</dcterms:created>
  <dcterms:modified xsi:type="dcterms:W3CDTF">2019-12-06T18:44:00Z</dcterms:modified>
</cp:coreProperties>
</file>