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1717"/>
          <w:sz w:val="20"/>
          <w:szCs w:val="20"/>
        </w:rPr>
        <w:t xml:space="preserve">BB ENGINEERING</w:t>
      </w:r>
    </w:p>
    <w:p>
      <w:pPr>
        <w:spacing w:after="60"/>
      </w:pPr>
      <w:r>
        <w:rPr>
          <w:b/>
          <w:bCs/>
          <w:color w:val="111111"/>
          <w:sz w:val="40"/>
          <w:szCs w:val="40"/>
        </w:rPr>
        <w:t xml:space="preserve">SEO Keyword Strategy</w:t>
      </w:r>
    </w:p>
    <w:p>
      <w:pPr>
        <w:spacing w:after="300"/>
      </w:pPr>
      <w:r>
        <w:rPr>
          <w:i/>
          <w:iCs/>
          <w:color w:val="666666"/>
          <w:sz w:val="20"/>
          <w:szCs w:val="20"/>
        </w:rPr>
        <w:t xml:space="preserve">The Enabler 2.0 — prepared July 22, 2026</w:t>
      </w:r>
    </w:p>
    <w:p>
      <w:pPr>
        <w:pStyle w:val="Heading1"/>
        <w:pBdr>
          <w:bottom w:val="single" w:color="B01717" w:sz="8" w:space="4"/>
        </w:pBdr>
        <w:spacing w:after="160" w:before="360"/>
      </w:pPr>
      <w:r>
        <w:rPr>
          <w:b/>
          <w:bCs/>
          <w:color w:val="111111"/>
          <w:sz w:val="30"/>
          <w:szCs w:val="30"/>
        </w:rPr>
        <w:t xml:space="preserve">Positioning Thesis</w:t>
      </w:r>
    </w:p>
    <w:p>
      <w:pPr>
        <w:spacing w:after="160" w:line="276"/>
      </w:pPr>
      <w:r>
        <w:rPr>
          <w:color w:val="111111"/>
          <w:sz w:val="21"/>
          <w:szCs w:val="21"/>
        </w:rPr>
        <w:t xml:space="preserve">None of the adaptive-mobility vehicles on the market today — including the four reviewed below — are built and marketed as work vehicles. They sell independence, adventure, and recreation. The Enabler is a workhorse: a purpose-built, all-electric, all-steel utility vehicle that lets a wheelchair user load themselves in without help, drive without transferring, and do real work — mowing, spraying, towing, hauling — once they get there. The keyword strategy below is built around that gap: own the search territory where “wheelchair accessible” meets “get back to work,” not “wheelchair accessible” meets “off-road adventure.”</w:t>
      </w:r>
    </w:p>
    <w:p>
      <w:pPr>
        <w:spacing w:after="160" w:line="276"/>
      </w:pPr>
      <w:r>
        <w:rPr>
          <w:color w:val="111111"/>
          <w:sz w:val="21"/>
          <w:szCs w:val="21"/>
        </w:rPr>
        <w:t xml:space="preserve">This builds on and updates the existing Content &amp; Keyword Plan and Competitive Market Analysis in the project Notion — it folds in the three selling points David has been most emphatic about since (catch-and-release implement system, no-transfer self-loading lift, and multifunctionality for institutional buyers) and reviews the four adaptive-mobility-vehicle competitors specifically flagged for this pass: Modular-EV, Exotek/Exoquad, Mobility Quad, and Outrider Coyote.</w:t>
      </w:r>
    </w:p>
    <w:p>
      <w:pPr>
        <w:pStyle w:val="Heading1"/>
        <w:pBdr>
          <w:bottom w:val="single" w:color="B01717" w:sz="8" w:space="4"/>
        </w:pBdr>
        <w:spacing w:after="160" w:before="360"/>
      </w:pPr>
      <w:r>
        <w:rPr>
          <w:b/>
          <w:bCs/>
          <w:color w:val="111111"/>
          <w:sz w:val="30"/>
          <w:szCs w:val="30"/>
        </w:rPr>
        <w:t xml:space="preserve">What Makes the Enabler Different</w:t>
      </w:r>
    </w:p>
    <w:p>
      <w:pPr>
        <w:spacing w:after="160" w:line="276"/>
      </w:pPr>
      <w:r>
        <w:rPr>
          <w:color w:val="111111"/>
          <w:sz w:val="21"/>
          <w:szCs w:val="21"/>
        </w:rPr>
        <w:t xml:space="preserve">Three product facts do almost all the work of differentiating the Enabler in search — each opens its own keyword territory that no competitor below currently owns.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9"/>
        <w:gridCol w:w="3849"/>
        <w:gridCol w:w="4032"/>
      </w:tblGrid>
      <w:tr>
        <w:trPr>
          <w:tblHeader/>
        </w:trPr>
        <w:tc>
          <w:tcPr>
            <w:tcW w:type="dxa" w:w="2199"/>
            <w:shd w:fill="11111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Selling Point</w:t>
            </w:r>
          </w:p>
        </w:tc>
        <w:tc>
          <w:tcPr>
            <w:tcW w:type="dxa" w:w="3849"/>
            <w:shd w:fill="11111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Actually Is</w:t>
            </w:r>
          </w:p>
        </w:tc>
        <w:tc>
          <w:tcPr>
            <w:tcW w:type="dxa" w:w="4032"/>
            <w:shd w:fill="11111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Keyword Opportunity It Opens</w:t>
            </w:r>
          </w:p>
        </w:tc>
      </w:tr>
      <w:tr>
        <w:tc>
          <w:tcPr>
            <w:tcW w:type="dxa" w:w="21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Catch-and-release hitch system</w:t>
            </w:r>
          </w:p>
        </w:tc>
        <w:tc>
          <w:tcPr>
            <w:tcW w:type="dxa" w:w="38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 proprietary quick-connect hitch (pin + camera-assisted alignment) for attaching implements — mowers, sprayers, snowblades, trailers — without leaving the seat. David calls this the single biggest differentiator vs. a standard UTV.</w:t>
            </w:r>
          </w:p>
        </w:tc>
        <w:tc>
          <w:tcPr>
            <w:tcW w:type="dxa" w:w="403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“Catch-and-release” itself has zero search volume today — it's a brand term, not a category term. Pair it with the generic terms buyers actually search (quick-attach hitch, quick-connect implement system, hands-free implement hitch) so the page ranks on intent, then let “Catch-and-Release” become a proprietary, ownable brand term over time.</w:t>
            </w:r>
          </w:p>
        </w:tc>
      </w:tr>
      <w:tr>
        <w:tc>
          <w:tcPr>
            <w:tcW w:type="dxa" w:w="2199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Self-loading rear lift / no-transfer driving</w:t>
            </w:r>
          </w:p>
        </w:tc>
        <w:tc>
          <w:tcPr>
            <w:tcW w:type="dxa" w:w="3849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Driver loads into the vehicle independently; drives from the wheelchair with no transfer to a separate seat.</w:t>
            </w:r>
          </w:p>
        </w:tc>
        <w:tc>
          <w:tcPr>
            <w:tcW w:type="dxa" w:w="403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“No-transfer” and “drive from your wheelchair” are established search terms — but almost all existing content (BraunAbility, VMI, MobilityWorks) is about converted cars and vans. The off-road/work-vehicle version of this query is nearly unclaimed.</w:t>
            </w:r>
          </w:p>
        </w:tc>
      </w:tr>
      <w:tr>
        <w:tc>
          <w:tcPr>
            <w:tcW w:type="dxa" w:w="219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Multifunctional / adapts to any driver, even after purchase</w:t>
            </w:r>
          </w:p>
        </w:tc>
        <w:tc>
          <w:tcPr>
            <w:tcW w:type="dxa" w:w="384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Removing the rear lift (four bolts, two wires) converts the vehicle to general use — it isn't tied to one driver and isn't a sunk cost if a driver's needs change.</w:t>
            </w:r>
          </w:p>
        </w:tc>
        <w:tc>
          <w:tcPr>
            <w:tcW w:type="dxa" w:w="403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This is the argument that gets an institutional purchase approved. No competitor reviewed markets a reusability angle at all — it's wide open, low-volume but high-conversion bottom-funnel territory.</w:t>
            </w:r>
          </w:p>
        </w:tc>
      </w:tr>
      <w:tr>
        <w:tc>
          <w:tcPr>
            <w:tcW w:type="dxa" w:w="2199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Work vehicle, not a recreational one</w:t>
            </w:r>
          </w:p>
        </w:tc>
        <w:tc>
          <w:tcPr>
            <w:tcW w:type="dxa" w:w="3849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Positioned explicitly as a “workhorse” for ranch, ag, and property work — not an adventure toy. Confirmed in the July 18 review: David contrasted the Enabler's brighter, work-focused look directly against Coyote's dark “fun vehicle” aesthetic.</w:t>
            </w:r>
          </w:p>
        </w:tc>
        <w:tc>
          <w:tcPr>
            <w:tcW w:type="dxa" w:w="403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Every competitor below leads with adventure/independence/thrill language. “Get back to work,” “return to work,” and “vocational” / “workforce participation” framing is completely uncontested in this category.</w:t>
            </w:r>
          </w:p>
        </w:tc>
      </w:tr>
    </w:tbl>
    <w:p>
      <w:pPr>
        <w:pStyle w:val="Heading1"/>
        <w:pBdr>
          <w:bottom w:val="single" w:color="B01717" w:sz="8" w:space="4"/>
        </w:pBdr>
        <w:spacing w:after="160" w:before="360"/>
      </w:pPr>
      <w:r>
        <w:rPr>
          <w:b/>
          <w:bCs/>
          <w:color w:val="111111"/>
          <w:sz w:val="30"/>
          <w:szCs w:val="30"/>
        </w:rPr>
        <w:t xml:space="preserve">Competitive Landscape</w:t>
      </w:r>
    </w:p>
    <w:p>
      <w:pPr>
        <w:spacing w:after="160" w:line="276"/>
      </w:pPr>
      <w:r>
        <w:rPr>
          <w:color w:val="111111"/>
          <w:sz w:val="21"/>
          <w:szCs w:val="21"/>
        </w:rPr>
        <w:t xml:space="preserve">The four sites reviewed for this pass, plus how each currently shows up in organic search positioning: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1"/>
        <w:gridCol w:w="2932"/>
        <w:gridCol w:w="2566"/>
        <w:gridCol w:w="2841"/>
      </w:tblGrid>
      <w:tr>
        <w:trPr>
          <w:tblHeader/>
        </w:trPr>
        <w:tc>
          <w:tcPr>
            <w:tcW w:type="dxa" w:w="1741"/>
            <w:shd w:fill="11111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Competitor</w:t>
            </w:r>
          </w:p>
        </w:tc>
        <w:tc>
          <w:tcPr>
            <w:tcW w:type="dxa" w:w="2932"/>
            <w:shd w:fill="11111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They Position Themselves</w:t>
            </w:r>
          </w:p>
        </w:tc>
        <w:tc>
          <w:tcPr>
            <w:tcW w:type="dxa" w:w="2566"/>
            <w:shd w:fill="11111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Search Terms They Effectively Own</w:t>
            </w:r>
          </w:p>
        </w:tc>
        <w:tc>
          <w:tcPr>
            <w:tcW w:type="dxa" w:w="2841"/>
            <w:shd w:fill="11111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 the Enabler Wins</w:t>
            </w:r>
          </w:p>
        </w:tc>
      </w:tr>
      <w:tr>
        <w:tc>
          <w:tcPr>
            <w:tcW w:type="dxa" w:w="17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Modular-EV / ENVO (UPT platform)</w:t>
            </w:r>
          </w:p>
        </w:tc>
        <w:tc>
          <w:tcPr>
            <w:tcW w:type="dxa" w:w="293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 configurable EV chassis marketed across a dozen use cases — adaptive mobility is one of eighteen. Generic, breadth-first: “accessible utility vehicle,” “caregiver transport,” “off-road mobility scooter.” Not purpose-built for any one buyer.</w:t>
            </w:r>
          </w:p>
        </w:tc>
        <w:tc>
          <w:tcPr>
            <w:tcW w:type="dxa" w:w="25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“adaptive mobility vehicle,” “accessible utility vehicle,” “wheelchair-friendly people mover”</w:t>
            </w:r>
          </w:p>
        </w:tc>
        <w:tc>
          <w:tcPr>
            <w:tcW w:type="dxa" w:w="28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The Enabler is purpose-built around one driver profile, not a generic platform retrofitted eighteen ways. “Built around a wheelchair user from day one” vs. “can be configured for accessibility” is a real, provable distinction.</w:t>
            </w:r>
          </w:p>
        </w:tc>
      </w:tr>
      <w:tr>
        <w:tc>
          <w:tcPr>
            <w:tcW w:type="dxa" w:w="1741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Exotek (Exoquad V2 / Exogravity)</w:t>
            </w:r>
          </w:p>
        </w:tc>
        <w:tc>
          <w:tcPr>
            <w:tcW w:type="dxa" w:w="293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Adventure and thrill-seeking, explicitly: “journey toward freedom,” downhill mountain biking, “reclaim independence.” Single-seat, recreation-first, ships from Norway.</w:t>
            </w:r>
          </w:p>
        </w:tc>
        <w:tc>
          <w:tcPr>
            <w:tcW w:type="dxa" w:w="25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“off-road wheelchair vehicle,” “adaptive all-terrain vehicle,” “wheelchair user off-road adventure”</w:t>
            </w:r>
          </w:p>
        </w:tc>
        <w:tc>
          <w:tcPr>
            <w:tcW w:type="dxa" w:w="2841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Exoquad answers “how do I have fun off-road.” The Enabler answers “how do I get back to work.” Different buyer, different keyword set entirely — minimal direct overlap once content leans into the work angle.</w:t>
            </w:r>
          </w:p>
        </w:tc>
      </w:tr>
      <w:tr>
        <w:tc>
          <w:tcPr>
            <w:tcW w:type="dxa" w:w="17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Mobility Quad</w:t>
            </w:r>
          </w:p>
        </w:tc>
        <w:tc>
          <w:tcPr>
            <w:tcW w:type="dxa" w:w="293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Custom-built 4x4 UTVs for wheelchair transport and cargo, ADA-compliance messaging, veteran-owned. The closest of the four to a utility framing — cargo capacity, joystick controls, business ADA compliance.</w:t>
            </w:r>
          </w:p>
        </w:tc>
        <w:tc>
          <w:tcPr>
            <w:tcW w:type="dxa" w:w="256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“ADA compliant vehicle,” “handicap UTV,” “wheelchair golf cart,” “handicap ATV”</w:t>
            </w:r>
          </w:p>
        </w:tc>
        <w:tc>
          <w:tcPr>
            <w:tcW w:type="dxa" w:w="28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Mobility Quad is the nearest real competitor on positioning, but has no engineered, purpose-built implement system — the catch-and-release system and multifunctionality/institutional-resale story are unmatched.</w:t>
            </w:r>
          </w:p>
        </w:tc>
      </w:tr>
      <w:tr>
        <w:tc>
          <w:tcPr>
            <w:tcW w:type="dxa" w:w="1741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Outrider Coyote</w:t>
            </w:r>
          </w:p>
        </w:tc>
        <w:tc>
          <w:tcPr>
            <w:tcW w:type="dxa" w:w="293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“Go Anywhere. Together.” Recreation and adventure — hunting/fishing lifestyle framing, dark aggressive aesthetic, single-seat semi-recumbent. David has directly flagged Coyote's founder publicly apologizing for 1.5-year wait times as a cautionary tale, not a benchmark to match on delivery promises.</w:t>
            </w:r>
          </w:p>
        </w:tc>
        <w:tc>
          <w:tcPr>
            <w:tcW w:type="dxa" w:w="25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“all-terrain wheelchair,” “off-road wheelchair,” “adaptive quad” (per the existing Competitive Market Analysis, Coyote and Rehab Mart currently own most of this head term)</w:t>
            </w:r>
          </w:p>
        </w:tc>
        <w:tc>
          <w:tcPr>
            <w:tcW w:type="dxa" w:w="2841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Coyote is a single-seat recreational quad; the Enabler is a multi-passenger utility platform that tows and carries real farm/ranch implements. “Workhorse” vs. “adventure quad” is the clean line — don't compete on Coyote's adventure terms at all.</w:t>
            </w:r>
          </w:p>
        </w:tc>
      </w:tr>
    </w:tbl>
    <w:p>
      <w:pPr>
        <w:spacing w:after="160" w:line="276"/>
      </w:pPr>
      <w:r>
        <w:rPr>
          <w:color w:val="111111"/>
          <w:sz w:val="21"/>
          <w:szCs w:val="21"/>
        </w:rPr>
        <w:t xml:space="preserve">Net read: none of the four builds or markets a true multi-passenger utility vehicle with an engineered implement system for vocational/work use. The whitespace isn't a feature gap — it's a positioning gap. Every competitor is discoverable through recreation and independence search terms; almost nobody is discoverable through work and vocational search terms.</w:t>
      </w:r>
    </w:p>
    <w:p>
      <w:pPr>
        <w:spacing w:after="160" w:line="276"/>
      </w:pPr>
      <w:r>
        <w:rPr>
          <w:color w:val="111111"/>
          <w:sz w:val="21"/>
          <w:szCs w:val="21"/>
        </w:rPr>
        <w:t xml:space="preserve">This lines up with what the existing Competitive Market Analysis (Yamaha, Demco, Kunz, Rehab Mart) already found from the other direction: a rancher searching for a utility vehicle lands on Yamaha, a caregiver searching for accessibility lands on Rehab Mart, and both hit a ceiling before discovering a vehicle-level, work-capable, wheelchair-built solution exists. The four vehicle-brand competitors above confirm the same gap from the recreation side of the funnel.</w:t>
      </w:r>
    </w:p>
    <w:p>
      <w:pPr>
        <w:pStyle w:val="Heading1"/>
        <w:pBdr>
          <w:bottom w:val="single" w:color="B01717" w:sz="8" w:space="4"/>
        </w:pBdr>
        <w:spacing w:after="160" w:before="360"/>
      </w:pPr>
      <w:r>
        <w:rPr>
          <w:b/>
          <w:bCs/>
          <w:color w:val="111111"/>
          <w:sz w:val="30"/>
          <w:szCs w:val="30"/>
        </w:rPr>
        <w:t xml:space="preserve">Keyword Clusters by Funnel Stage</w:t>
      </w:r>
    </w:p>
    <w:p>
      <w:pPr>
        <w:spacing w:after="160" w:line="276"/>
      </w:pPr>
      <w:r>
        <w:rPr>
          <w:color w:val="111111"/>
          <w:sz w:val="21"/>
          <w:szCs w:val="21"/>
        </w:rPr>
        <w:t xml:space="preserve">Organized to mirror the site's actual page structure (Home, Vehicle &amp; Specs, Multifunctionality subpage, Implements, About, FAQ) so each cluster has a clear home once content is written.</w:t>
      </w:r>
    </w:p>
    <w:p>
      <w:pPr>
        <w:pStyle w:val="Heading2"/>
        <w:spacing w:after="120" w:before="280"/>
      </w:pPr>
      <w:r>
        <w:rPr>
          <w:b/>
          <w:bCs/>
          <w:color w:val="B01717"/>
          <w:sz w:val="24"/>
          <w:szCs w:val="24"/>
        </w:rPr>
        <w:t xml:space="preserve">1. Category &amp; Work-Angle Awareness (top of funnel)</w:t>
      </w:r>
    </w:p>
    <w:p>
      <w:pPr>
        <w:spacing w:after="40" w:before="60"/>
      </w:pPr>
      <w:r>
        <w:rPr>
          <w:b/>
          <w:bCs/>
          <w:i/>
          <w:iCs/>
          <w:color w:val="666666"/>
          <w:sz w:val="19"/>
          <w:szCs w:val="19"/>
        </w:rPr>
        <w:t xml:space="preserve">Intent: someone searching broadly for accessible outdoor/work mobility, doesn't yet know a vehicle like this exists.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38"/>
        <w:gridCol w:w="5242"/>
      </w:tblGrid>
      <w:tr>
        <w:trPr>
          <w:tblHeader/>
        </w:trPr>
        <w:tc>
          <w:tcPr>
            <w:tcW w:type="dxa" w:w="4838"/>
            <w:shd w:fill="11111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Keyword Examples</w:t>
            </w:r>
          </w:p>
        </w:tc>
        <w:tc>
          <w:tcPr>
            <w:tcW w:type="dxa" w:w="5242"/>
            <w:shd w:fill="11111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8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adaptive UTV, wheelchair accessible UTV, off-road vehicle for wheelchair users, all-terrain wheelchair vehicle</w:t>
            </w:r>
          </w:p>
        </w:tc>
        <w:tc>
          <w:tcPr>
            <w:tcW w:type="dxa" w:w="524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High-competition head terms (Rehab Mart, Coyote currently rank). Don't try to win these outright — use them in supporting copy while the differentiated long-tail below carries the actual ranking weight.</w:t>
            </w:r>
          </w:p>
        </w:tc>
      </w:tr>
      <w:tr>
        <w:tc>
          <w:tcPr>
            <w:tcW w:type="dxa" w:w="4838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wheelchair accessible work vehicle, adaptive equipment for ranch work, UTV for disabled farmer, assistive technology for farming disability, wheelchair accessible farm vehicle</w:t>
            </w:r>
          </w:p>
        </w:tc>
        <w:tc>
          <w:tcPr>
            <w:tcW w:type="dxa" w:w="524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This is the open lane. Existing AgrAbility / Ohio State / Virginia Tech extension-office content ranks here today with almost no commercial competition — genuinely winnable, and matches the “workhorse” positioning exactly.</w:t>
            </w:r>
          </w:p>
        </w:tc>
      </w:tr>
      <w:tr>
        <w:tc>
          <w:tcPr>
            <w:tcW w:type="dxa" w:w="48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return to work after spinal cord injury, vocational rehabilitation vehicle, workforce participation disability equipment</w:t>
            </w:r>
          </w:p>
        </w:tc>
        <w:tc>
          <w:tcPr>
            <w:tcW w:type="dxa" w:w="524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Lower volume, but directly matches David's mission language (“participate fully in the world”) without drifting into the workplace-only framing he asked to avoid. Good fit for a blog/use-case pillar once Phase 2 content starts.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B01717"/>
          <w:sz w:val="24"/>
          <w:szCs w:val="24"/>
        </w:rPr>
        <w:t xml:space="preserve">2. No-Transfer / Self-Loading Lift (consideration)</w:t>
      </w:r>
    </w:p>
    <w:p>
      <w:pPr>
        <w:spacing w:after="40" w:before="60"/>
      </w:pPr>
      <w:r>
        <w:rPr>
          <w:b/>
          <w:bCs/>
          <w:i/>
          <w:iCs/>
          <w:color w:val="666666"/>
          <w:sz w:val="19"/>
          <w:szCs w:val="19"/>
        </w:rPr>
        <w:t xml:space="preserve">Intent: someone comparing how wheelchair-accessible vehicles actually work mechanically.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38"/>
        <w:gridCol w:w="5242"/>
      </w:tblGrid>
      <w:tr>
        <w:trPr>
          <w:tblHeader/>
        </w:trPr>
        <w:tc>
          <w:tcPr>
            <w:tcW w:type="dxa" w:w="4838"/>
            <w:shd w:fill="11111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Keyword Examples</w:t>
            </w:r>
          </w:p>
        </w:tc>
        <w:tc>
          <w:tcPr>
            <w:tcW w:type="dxa" w:w="5242"/>
            <w:shd w:fill="11111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8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drive from your wheelchair, no-transfer wheelchair vehicle, self-loading wheelchair lift, wheelchair accessible vehicle no transfer needed</w:t>
            </w:r>
          </w:p>
        </w:tc>
        <w:tc>
          <w:tcPr>
            <w:tcW w:type="dxa" w:w="524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High-intent, but existing results are dominated by van/car conversion companies (BraunAbility, VMI, MobilityWorks). The off-road/utility-vehicle angle on this exact query is essentially unclaimed — strong opportunity for the Vehicle &amp; Specs page and the lift-in-action hero video.</w:t>
            </w:r>
          </w:p>
        </w:tc>
      </w:tr>
      <w:tr>
        <w:tc>
          <w:tcPr>
            <w:tcW w:type="dxa" w:w="4838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wheelchair lift UTV, rear-loading wheelchair vehicle, independent wheelchair loading vehicle</w:t>
            </w:r>
          </w:p>
        </w:tc>
        <w:tc>
          <w:tcPr>
            <w:tcW w:type="dxa" w:w="524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Lower volume, very high relevance — good candidates for image alt text and video captions given the hero's lift-in-motion footage.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B01717"/>
          <w:sz w:val="24"/>
          <w:szCs w:val="24"/>
        </w:rPr>
        <w:t xml:space="preserve">3. Multifunctionality &amp; Institutional Resale Value (decision, institutional)</w:t>
      </w:r>
    </w:p>
    <w:p>
      <w:pPr>
        <w:spacing w:after="40" w:before="60"/>
      </w:pPr>
      <w:r>
        <w:rPr>
          <w:b/>
          <w:bCs/>
          <w:i/>
          <w:iCs/>
          <w:color w:val="666666"/>
          <w:sz w:val="19"/>
          <w:szCs w:val="19"/>
        </w:rPr>
        <w:t xml:space="preserve">Intent: procurement/rehab-services buyer justifying a $32,500–$40,000 capital purchase.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38"/>
        <w:gridCol w:w="5242"/>
      </w:tblGrid>
      <w:tr>
        <w:trPr>
          <w:tblHeader/>
        </w:trPr>
        <w:tc>
          <w:tcPr>
            <w:tcW w:type="dxa" w:w="4838"/>
            <w:shd w:fill="11111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Keyword Examples</w:t>
            </w:r>
          </w:p>
        </w:tc>
        <w:tc>
          <w:tcPr>
            <w:tcW w:type="dxa" w:w="5242"/>
            <w:shd w:fill="11111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8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adaptive vehicle for multiple drivers, ADA compliant vehicle institutional purchase, wheelchair vehicle resale value, capital equipment purchase disability accessible</w:t>
            </w:r>
          </w:p>
        </w:tc>
        <w:tc>
          <w:tcPr>
            <w:tcW w:type="dxa" w:w="524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 competitor markets this angle at all — it's the least competitive, highest-value cluster on this list. Belongs entirely on the dedicated Multifunctionality &amp; Reusability subpage; use only David's approved language (“multifunctional,” “adaptable to multiple drivers”) — never loss/death-referencing phrasing.</w:t>
            </w:r>
          </w:p>
        </w:tc>
      </w:tr>
      <w:tr>
        <w:tc>
          <w:tcPr>
            <w:tcW w:type="dxa" w:w="4838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wheelchair accessible vehicle for hospitals, ADA compliant utility vehicle for municipalities, wheelchair UTV government procurement, VA funded mobility vehicle</w:t>
            </w:r>
          </w:p>
        </w:tc>
        <w:tc>
          <w:tcPr>
            <w:tcW w:type="dxa" w:w="524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Institutional/VA angle — ties directly to the Forest Service, DNR, and hospital/municipality interest already in motion. Good target for a future Resources/institutional-buyer page once the Georgia distributor relationship clarifies geographic scope.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B01717"/>
          <w:sz w:val="24"/>
          <w:szCs w:val="24"/>
        </w:rPr>
        <w:t xml:space="preserve">4. Catch-and-Release Implement System (consideration → decision)</w:t>
      </w:r>
    </w:p>
    <w:p>
      <w:pPr>
        <w:spacing w:after="40" w:before="60"/>
      </w:pPr>
      <w:r>
        <w:rPr>
          <w:b/>
          <w:bCs/>
          <w:i/>
          <w:iCs/>
          <w:color w:val="666666"/>
          <w:sz w:val="19"/>
          <w:szCs w:val="19"/>
        </w:rPr>
        <w:t xml:space="preserve">Intent: buyer evaluating whether the vehicle can actually do farm/ranch/property work, not just drive.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38"/>
        <w:gridCol w:w="5242"/>
      </w:tblGrid>
      <w:tr>
        <w:trPr>
          <w:tblHeader/>
        </w:trPr>
        <w:tc>
          <w:tcPr>
            <w:tcW w:type="dxa" w:w="4838"/>
            <w:shd w:fill="11111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Keyword Examples</w:t>
            </w:r>
          </w:p>
        </w:tc>
        <w:tc>
          <w:tcPr>
            <w:tcW w:type="dxa" w:w="5242"/>
            <w:shd w:fill="11111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8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quick-attach implement hitch UTV, quick-connect hitch wheelchair vehicle, hands-free implement attachment, tow-behind implements adaptive vehicle</w:t>
            </w:r>
          </w:p>
        </w:tc>
        <w:tc>
          <w:tcPr>
            <w:tcW w:type="dxa" w:w="524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Generic terms that carry real search volume — use these in page titles, meta descriptions, and body copy so the page is findable before a visitor knows the “catch-and-release” name.</w:t>
            </w:r>
          </w:p>
        </w:tc>
      </w:tr>
      <w:tr>
        <w:tc>
          <w:tcPr>
            <w:tcW w:type="dxa" w:w="4838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catch-and-release hitch, catch and release implement system (BB Engineering)</w:t>
            </w:r>
          </w:p>
        </w:tc>
        <w:tc>
          <w:tcPr>
            <w:tcW w:type="dxa" w:w="524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Branded/proprietary — essentially zero volume today. Treat as a brand-building investment: use it consistently and prominently (large header, close-up video, per David's July 18 direction) so it becomes a searched, ownable term as awareness grows — the same way “On-Command 4WD” became searchable for Yamaha.</w:t>
            </w:r>
          </w:p>
        </w:tc>
      </w:tr>
      <w:tr>
        <w:tc>
          <w:tcPr>
            <w:tcW w:type="dxa" w:w="48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Demco sprayer UTV, Ramy mower wheelchair accessible UTV, UTV snowblade for adaptive vehicle</w:t>
            </w:r>
          </w:p>
        </w:tc>
        <w:tc>
          <w:tcPr>
            <w:tcW w:type="dxa" w:w="524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Long-tail, low-volume, high-intent product terms — feed directly into the Implements page once Demco (tank) and Ramy (5 products) content is live.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B01717"/>
          <w:sz w:val="24"/>
          <w:szCs w:val="24"/>
        </w:rPr>
        <w:t xml:space="preserve">5. Comparison Content (consideration — phase 3, per existing plan)</w:t>
      </w:r>
    </w:p>
    <w:p>
      <w:pPr>
        <w:spacing w:after="40" w:before="60"/>
      </w:pPr>
      <w:r>
        <w:rPr>
          <w:b/>
          <w:bCs/>
          <w:i/>
          <w:iCs/>
          <w:color w:val="666666"/>
          <w:sz w:val="19"/>
          <w:szCs w:val="19"/>
        </w:rPr>
        <w:t xml:space="preserve">Intent: buyer actively cross-shopping named alternatives.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38"/>
        <w:gridCol w:w="5242"/>
      </w:tblGrid>
      <w:tr>
        <w:trPr>
          <w:tblHeader/>
        </w:trPr>
        <w:tc>
          <w:tcPr>
            <w:tcW w:type="dxa" w:w="4838"/>
            <w:shd w:fill="11111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Keyword Examples</w:t>
            </w:r>
          </w:p>
        </w:tc>
        <w:tc>
          <w:tcPr>
            <w:tcW w:type="dxa" w:w="5242"/>
            <w:shd w:fill="11111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8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Enabler vs. Outrider Coyote, Enabler vs. Exoquad, Enabler vs. Mobility Quad, Enabler vs. Modular-EV, wheelchair UTV comparison, best off-road vehicle for wheelchair users 2026</w:t>
            </w:r>
          </w:p>
        </w:tc>
        <w:tc>
          <w:tcPr>
            <w:tcW w:type="dxa" w:w="524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Reserve these as future comparison-page slugs now even though drafting is Phase 3 (higher fact-checking/pricing-accuracy overhead, per the Marketing &amp; BD Plan). Frame every comparison around work capability and implement compatibility — not off-road capability alone, since that's the ground competitors already own.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B01717"/>
          <w:sz w:val="24"/>
          <w:szCs w:val="24"/>
        </w:rPr>
        <w:t xml:space="preserve">6. Veteran &amp; Institutional Outreach (awareness — supports BD, not just SEO)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38"/>
        <w:gridCol w:w="5242"/>
      </w:tblGrid>
      <w:tr>
        <w:trPr>
          <w:tblHeader/>
        </w:trPr>
        <w:tc>
          <w:tcPr>
            <w:tcW w:type="dxa" w:w="4838"/>
            <w:shd w:fill="11111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Keyword Examples</w:t>
            </w:r>
          </w:p>
        </w:tc>
        <w:tc>
          <w:tcPr>
            <w:tcW w:type="dxa" w:w="5242"/>
            <w:shd w:fill="11111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8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wheelchair accessible vehicle for veterans, VA adaptive vehicle grant, DAV adaptive equipment, disabled veteran off-road vehicle, adaptive vehicle for paralyzed veterans</w:t>
            </w:r>
          </w:p>
        </w:tc>
        <w:tc>
          <w:tcPr>
            <w:tcW w:type="dxa" w:w="524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Ties directly to the DAV/PVA Facebook-group outreach and VA funding-precedent work already underway. Low search volume relative to paid/organizational outreach, but worth owning for anyone who does search.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B01717"/>
          <w:sz w:val="24"/>
          <w:szCs w:val="24"/>
        </w:rPr>
        <w:t xml:space="preserve">7. Financing &amp; Funding (decision — phase 3, per existing plan)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38"/>
        <w:gridCol w:w="5242"/>
      </w:tblGrid>
      <w:tr>
        <w:trPr>
          <w:tblHeader/>
        </w:trPr>
        <w:tc>
          <w:tcPr>
            <w:tcW w:type="dxa" w:w="4838"/>
            <w:shd w:fill="11111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Keyword Examples</w:t>
            </w:r>
          </w:p>
        </w:tc>
        <w:tc>
          <w:tcPr>
            <w:tcW w:type="dxa" w:w="5242"/>
            <w:shd w:fill="11111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8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VA grant adaptive vehicle, does insurance cover adaptive vehicle, financing an off-road wheelchair vehicle, adaptive equipment grants disability</w:t>
            </w:r>
          </w:p>
        </w:tc>
        <w:tc>
          <w:tcPr>
            <w:tcW w:type="dxa" w:w="524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Highest fact-checking overhead of any cluster (per the Marketing &amp; BD Plan) — don't publish until the financing/insurance answer is confirmed accurate. Insurance currently does not cover the vehicle; say so plainly once this content is written rather than staying silent.</w:t>
            </w:r>
          </w:p>
        </w:tc>
      </w:tr>
    </w:tbl>
    <w:p>
      <w:pPr>
        <w:pStyle w:val="Heading1"/>
        <w:pBdr>
          <w:bottom w:val="single" w:color="B01717" w:sz="8" w:space="4"/>
        </w:pBdr>
        <w:spacing w:after="160" w:before="360"/>
      </w:pPr>
      <w:r>
        <w:rPr>
          <w:b/>
          <w:bCs/>
          <w:color w:val="111111"/>
          <w:sz w:val="30"/>
          <w:szCs w:val="30"/>
        </w:rPr>
        <w:t xml:space="preserve">Branded vs. Generic Terms — A Note on “Catch-and-Release”</w:t>
      </w:r>
    </w:p>
    <w:p>
      <w:pPr>
        <w:spacing w:after="160" w:line="276"/>
      </w:pPr>
      <w:r>
        <w:rPr>
          <w:color w:val="111111"/>
          <w:sz w:val="21"/>
          <w:szCs w:val="21"/>
        </w:rPr>
        <w:t xml:space="preserve">“Catch-and-release”, “workhorse,” and “the Enabler” are brand assets, not search terms — nobody is typing them into Google yet. That's fine, and it's not a reason to avoid using them prominently on the site (David is right that “catch-and-release” deserves a large dedicated section). The SEO job is to make sure every page that uses a branded term also contains the generic term a real buyer would search first — e.g., a “Catch-and-Release” H2 sitting inside a page whose title tag and opening paragraph say “quick-attach implement hitch system.” That combination lets the page rank on intent today while building brand recognition for the proprietary term over time.</w:t>
      </w:r>
    </w:p>
    <w:p>
      <w:pPr>
        <w:pStyle w:val="Heading1"/>
        <w:pBdr>
          <w:bottom w:val="single" w:color="B01717" w:sz="8" w:space="4"/>
        </w:pBdr>
        <w:spacing w:after="160" w:before="360"/>
      </w:pPr>
      <w:r>
        <w:rPr>
          <w:b/>
          <w:bCs/>
          <w:color w:val="111111"/>
          <w:sz w:val="30"/>
          <w:szCs w:val="30"/>
        </w:rPr>
        <w:t xml:space="preserve">Page-by-Page Keyword Mapping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8"/>
        <w:gridCol w:w="3516"/>
        <w:gridCol w:w="4376"/>
      </w:tblGrid>
      <w:tr>
        <w:trPr>
          <w:tblHeader/>
        </w:trPr>
        <w:tc>
          <w:tcPr>
            <w:tcW w:type="dxa" w:w="2188"/>
            <w:shd w:fill="11111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Site Page</w:t>
            </w:r>
          </w:p>
        </w:tc>
        <w:tc>
          <w:tcPr>
            <w:tcW w:type="dxa" w:w="3516"/>
            <w:shd w:fill="11111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Primary Keyword Focus</w:t>
            </w:r>
          </w:p>
        </w:tc>
        <w:tc>
          <w:tcPr>
            <w:tcW w:type="dxa" w:w="4376"/>
            <w:shd w:fill="11111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8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Home</w:t>
            </w:r>
          </w:p>
        </w:tc>
        <w:tc>
          <w:tcPr>
            <w:tcW w:type="dxa" w:w="35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wheelchair accessible work vehicle; drive from your wheelchair, no transfer</w:t>
            </w:r>
          </w:p>
        </w:tc>
        <w:tc>
          <w:tcPr>
            <w:tcW w:type="dxa" w:w="437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Hero copy is intentionally sparse (per David's direction) — alt text on the hero lift-in-motion video/image is where this keyword focus actually lives.</w:t>
            </w:r>
          </w:p>
        </w:tc>
      </w:tr>
      <w:tr>
        <w:tc>
          <w:tcPr>
            <w:tcW w:type="dxa" w:w="2188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Vehicle &amp; Specs</w:t>
            </w:r>
          </w:p>
        </w:tc>
        <w:tc>
          <w:tcPr>
            <w:tcW w:type="dxa" w:w="351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self-loading wheelchair lift; no-transfer wheelchair vehicle; catch-and-release / quick-attach implement hitch</w:t>
            </w:r>
          </w:p>
        </w:tc>
        <w:tc>
          <w:tcPr>
            <w:tcW w:type="dxa" w:w="437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Highest-intent page for both audiences — needs a real meta description (flagged missing in the SEO Audit) built around these terms.</w:t>
            </w:r>
          </w:p>
        </w:tc>
      </w:tr>
      <w:tr>
        <w:tc>
          <w:tcPr>
            <w:tcW w:type="dxa" w:w="218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Multifunctionality &amp; Reusability (subpage)</w:t>
            </w:r>
          </w:p>
        </w:tc>
        <w:tc>
          <w:tcPr>
            <w:tcW w:type="dxa" w:w="35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adaptive vehicle for multiple drivers; ADA compliant vehicle institutional purchase</w:t>
            </w:r>
          </w:p>
        </w:tc>
        <w:tc>
          <w:tcPr>
            <w:tcW w:type="dxa" w:w="437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Exact-match opportunity — no competitor has an equivalent page. Use only David's approved language.</w:t>
            </w:r>
          </w:p>
        </w:tc>
      </w:tr>
      <w:tr>
        <w:tc>
          <w:tcPr>
            <w:tcW w:type="dxa" w:w="2188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Implements (Demco / Ramy)</w:t>
            </w:r>
          </w:p>
        </w:tc>
        <w:tc>
          <w:tcPr>
            <w:tcW w:type="dxa" w:w="351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quick-attach implement hitch UTV; UTV sprayer/mower/snowblade for wheelchair accessible vehicle</w:t>
            </w:r>
          </w:p>
        </w:tc>
        <w:tc>
          <w:tcPr>
            <w:tcW w:type="dxa" w:w="437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Product-specific long-tail; expands naturally as more implements/partners are added.</w:t>
            </w:r>
          </w:p>
        </w:tc>
      </w:tr>
      <w:tr>
        <w:tc>
          <w:tcPr>
            <w:tcW w:type="dxa" w:w="218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About</w:t>
            </w:r>
          </w:p>
        </w:tc>
        <w:tc>
          <w:tcPr>
            <w:tcW w:type="dxa" w:w="35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wheelchair accessible work vehicle company; adaptive vehicle manufacturer New Mexico</w:t>
            </w:r>
          </w:p>
        </w:tc>
        <w:tc>
          <w:tcPr>
            <w:tcW w:type="dxa" w:w="437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Mission-heavy language stays here per brand voice rules — light keyword targeting only, this page's job is trust, not ranking.</w:t>
            </w:r>
          </w:p>
        </w:tc>
      </w:tr>
      <w:tr>
        <w:tc>
          <w:tcPr>
            <w:tcW w:type="dxa" w:w="2188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FAQ</w:t>
            </w:r>
          </w:p>
        </w:tc>
        <w:tc>
          <w:tcPr>
            <w:tcW w:type="dxa" w:w="351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wheelchair vehicle financing, ADA compliance questions, weight/size limits, is insurance coverage available</w:t>
            </w:r>
          </w:p>
        </w:tc>
        <w:tc>
          <w:tcPr>
            <w:tcW w:type="dxa" w:w="437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FAQ schema already planned; draft from real build-process questions per the existing FAQ requirements.</w:t>
            </w:r>
          </w:p>
        </w:tc>
      </w:tr>
    </w:tbl>
    <w:p>
      <w:pPr>
        <w:pStyle w:val="Heading1"/>
        <w:pBdr>
          <w:bottom w:val="single" w:color="B01717" w:sz="8" w:space="4"/>
        </w:pBdr>
        <w:spacing w:after="160" w:before="360"/>
      </w:pPr>
      <w:r>
        <w:rPr>
          <w:b/>
          <w:bCs/>
          <w:color w:val="111111"/>
          <w:sz w:val="30"/>
          <w:szCs w:val="30"/>
        </w:rPr>
        <w:t xml:space="preserve">Recommended Phasing</w:t>
      </w:r>
    </w:p>
    <w:p>
      <w:pPr>
        <w:spacing w:after="160" w:line="276"/>
      </w:pPr>
      <w:r>
        <w:rPr>
          <w:color w:val="111111"/>
          <w:sz w:val="21"/>
          <w:szCs w:val="21"/>
        </w:rPr>
        <w:t xml:space="preserve">Matches the phasing already agreed in the Marketing &amp; Business Development Plan — this doesn't add a new timeline, it slots keyword priorities into the phases that already exist.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111111"/>
          <w:sz w:val="21"/>
          <w:szCs w:val="21"/>
        </w:rPr>
        <w:t xml:space="preserve">Phase 1 (site launch, end of July 2026): technical SEO fixes carried over from the audit — one H1 per page, real meta descriptions, alt text — written using the Cluster 1–3 keywords above, especially on Vehicle &amp; Specs and the Multifunctionality subpage.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111111"/>
          <w:sz w:val="21"/>
          <w:szCs w:val="21"/>
        </w:rPr>
        <w:t xml:space="preserve">Phase 2 (content &amp; motion): use-case/lifestyle and FAQ content against Cluster 1 (work-angle awareness) and Cluster 4 (catch-and-release/implements) — lowest fact-checking overhead, matches the existing plan's own sequencing.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111111"/>
          <w:sz w:val="21"/>
          <w:szCs w:val="21"/>
        </w:rPr>
        <w:t xml:space="preserve">Phase 3 (comparison &amp; financing): Cluster 5 (competitor comparisons) and Cluster 7 (financing/funding) — held until pricing, specs, and the insurance/financing answer are locked, per the existing plan's fact-checking-overhead logic.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color w:val="111111"/>
          <w:sz w:val="21"/>
          <w:szCs w:val="21"/>
        </w:rPr>
        <w:t xml:space="preserve">Ongoing, not gated on a phase: Cluster 6 (veteran/institutional) can be woven into outreach copy and social content immediately — it supports the DAV/PVA/VA relationship-building already underway, independent of the website build timeline.</w:t>
      </w:r>
    </w:p>
    <w:p>
      <w:pPr>
        <w:pStyle w:val="Heading1"/>
        <w:pBdr>
          <w:bottom w:val="single" w:color="B01717" w:sz="8" w:space="4"/>
        </w:pBdr>
        <w:spacing w:after="160" w:before="360"/>
      </w:pPr>
      <w:r>
        <w:rPr>
          <w:b/>
          <w:bCs/>
          <w:color w:val="111111"/>
          <w:sz w:val="30"/>
          <w:szCs w:val="30"/>
        </w:rPr>
        <w:t xml:space="preserve">Sources</w:t>
      </w:r>
    </w:p>
    <w:p>
      <w:pPr>
        <w:spacing w:after="160" w:line="276"/>
      </w:pPr>
      <w:r>
        <w:rPr>
          <w:color w:val="666666"/>
          <w:sz w:val="18"/>
          <w:szCs w:val="18"/>
        </w:rPr>
        <w:t xml:space="preserve">BB Engineering Notion workspace: Content &amp; Keyword Plan, SEO Audit, Competitive Market Analysis, Product Deep Dive, Marketing &amp; BD Plan, Website Requirements PRD, and client meeting notes (June 30 – July 18, 2026).</w:t>
      </w:r>
    </w:p>
    <w:p>
      <w:pPr>
        <w:spacing w:after="160" w:line="276"/>
      </w:pPr>
      <w:r>
        <w:rPr>
          <w:color w:val="666666"/>
          <w:sz w:val="18"/>
          <w:szCs w:val="18"/>
        </w:rPr>
        <w:t xml:space="preserve">Competitor sites reviewed directly: modular-ev.com, exotek.no, mobilityquad.com, coyote.outriderusa.com.</w:t>
      </w:r>
    </w:p>
    <w:p>
      <w:pPr>
        <w:spacing w:after="160" w:line="276"/>
      </w:pPr>
      <w:r>
        <w:rPr>
          <w:color w:val="666666"/>
          <w:sz w:val="18"/>
          <w:szCs w:val="18"/>
        </w:rPr>
        <w:t xml:space="preserve">Supporting search research: Virginia Tech Extension, Farm Bureau Financial Services, AgrAbility, Ohio State Extension, and wheelchair-accessible-vehicle industry sites (BraunAbility, MobilityWorks, Freedom Motors) to validate real buyer search language.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2026-07-22T07:42:32.728Z</dcterms:created>
  <dcterms:modified xsi:type="dcterms:W3CDTF">2026-07-22T07:42:32.728Z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