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stitute"/>
        <w:ind w:hanging="0" w:start="0" w:end="0"/>
        <w:jc w:val="center"/>
        <w:rPr/>
      </w:pPr>
      <w:r>
        <w:rPr>
          <w:rFonts w:eastAsia="Times New Roman;serif" w:cs="Times New Roman;serif"/>
          <w:b/>
          <w:bCs/>
          <w:color w:val="000000"/>
          <w:sz w:val="28"/>
          <w:szCs w:val="28"/>
        </w:rPr>
        <w:t>МОСКОВСКИЙ АВИАЦИОННЫЙ ИНСТИТУТ</w:t>
      </w:r>
    </w:p>
    <w:p>
      <w:pPr>
        <w:pStyle w:val="BodyTextinstitute"/>
        <w:jc w:val="center"/>
        <w:rPr/>
      </w:pPr>
      <w:r>
        <w:rPr>
          <w:rFonts w:eastAsia="Times New Roman;serif" w:cs="Times New Roman;serif"/>
          <w:b/>
          <w:bCs/>
          <w:color w:val="000000"/>
          <w:sz w:val="28"/>
          <w:szCs w:val="28"/>
        </w:rPr>
        <w:t>(НАЦИОНАЛЬНЫЙ ИССЛЕДОВАТЕЛЬСКИЙ УНИВЕРСИТЕТ)</w:t>
      </w:r>
    </w:p>
    <w:p>
      <w:pPr>
        <w:pStyle w:val="BodyTextinstitute"/>
        <w:spacing w:lineRule="auto" w:line="348" w:before="0" w:after="160"/>
        <w:rPr/>
      </w:pPr>
      <w:r>
        <w:rPr/>
      </w:r>
    </w:p>
    <w:p>
      <w:pPr>
        <w:pStyle w:val="BodyText"/>
        <w:spacing w:before="240" w:after="160"/>
        <w:ind w:hanging="0" w:start="0" w:end="0"/>
        <w:jc w:val="center"/>
        <w:rPr/>
      </w:pPr>
      <w:r>
        <w:rPr>
          <w:rFonts w:eastAsia="Times New Roman;serif" w:cs="Times New Roman;serif"/>
          <w:color w:val="000000"/>
          <w:sz w:val="28"/>
          <w:szCs w:val="28"/>
        </w:rPr>
        <w:t>Институт №8 «Компьютерные науки и прикладная математика»</w:t>
      </w:r>
    </w:p>
    <w:p>
      <w:pPr>
        <w:pStyle w:val="BodyText"/>
        <w:spacing w:before="240" w:after="160"/>
        <w:ind w:hanging="0" w:start="0" w:end="0"/>
        <w:jc w:val="center"/>
        <w:rPr/>
      </w:pPr>
      <w:r>
        <w:rPr>
          <w:rFonts w:eastAsia="Times New Roman;serif" w:cs="Times New Roman;serif"/>
          <w:color w:val="000000"/>
          <w:sz w:val="28"/>
          <w:szCs w:val="28"/>
        </w:rPr>
        <w:t>Кафедра 806 «Вычислительная математика и программирование»</w:t>
      </w:r>
    </w:p>
    <w:p>
      <w:pPr>
        <w:pStyle w:val="BodyText"/>
        <w:spacing w:lineRule="auto" w:line="348" w:before="240" w:after="160"/>
        <w:rPr/>
      </w:pPr>
      <w:r>
        <w:rPr/>
      </w:r>
    </w:p>
    <w:p>
      <w:pPr>
        <w:pStyle w:val="BodyText"/>
        <w:spacing w:lineRule="auto" w:line="348" w:before="240" w:after="160"/>
        <w:rPr/>
      </w:pPr>
      <w:r>
        <w:rPr/>
      </w:r>
    </w:p>
    <w:p>
      <w:pPr>
        <w:pStyle w:val="BodyTextwork-title"/>
        <w:ind w:hanging="0" w:start="0" w:end="0"/>
        <w:jc w:val="center"/>
        <w:rPr/>
      </w:pPr>
      <w:r>
        <w:rPr>
          <w:rFonts w:eastAsia="Times New Roman;serif" w:cs="Times New Roman;serif"/>
          <w:b/>
          <w:bCs/>
          <w:color w:val="000000"/>
          <w:sz w:val="36"/>
          <w:szCs w:val="36"/>
        </w:rPr>
        <w:tab/>
        <w:t>Лабораторная работа №1</w:t>
      </w:r>
    </w:p>
    <w:p>
      <w:pPr>
        <w:pStyle w:val="BodyTextsubtitle"/>
        <w:jc w:val="center"/>
        <w:rPr/>
      </w:pPr>
      <w:r>
        <w:rPr>
          <w:rFonts w:eastAsia="Times New Roman;serif" w:cs="Times New Roman;serif"/>
          <w:b/>
          <w:bCs/>
          <w:color w:val="000000"/>
          <w:sz w:val="32"/>
          <w:szCs w:val="32"/>
        </w:rPr>
        <w:t>по курсу «Компьютерная графика»</w:t>
      </w:r>
    </w:p>
    <w:p>
      <w:pPr>
        <w:pStyle w:val="BodyTextsubtitle"/>
        <w:jc w:val="center"/>
        <w:rPr/>
      </w:pPr>
      <w:r>
        <w:rPr>
          <w:rFonts w:eastAsia="Times New Roman;serif" w:cs="Times New Roman;serif"/>
          <w:b/>
          <w:bCs/>
          <w:color w:val="000000"/>
          <w:sz w:val="32"/>
          <w:szCs w:val="32"/>
        </w:rPr>
        <w:t>«Основы 3D-графики»</w:t>
      </w:r>
    </w:p>
    <w:p>
      <w:pPr>
        <w:pStyle w:val="BodyTextsubtitle"/>
        <w:spacing w:lineRule="auto" w:line="348" w:before="0" w:after="160"/>
        <w:rPr/>
      </w:pPr>
      <w:r>
        <w:rPr/>
      </w:r>
    </w:p>
    <w:p>
      <w:pPr>
        <w:pStyle w:val="BodyText"/>
        <w:spacing w:lineRule="auto" w:line="384" w:before="1417" w:after="160"/>
        <w:ind w:hanging="0" w:start="5102" w:end="0"/>
        <w:jc w:val="end"/>
        <w:rPr/>
      </w:pPr>
      <w:r>
        <w:rPr>
          <w:rFonts w:eastAsia="Times New Roman;serif" w:cs="Times New Roman;serif"/>
          <w:color w:val="000000"/>
          <w:sz w:val="28"/>
          <w:szCs w:val="28"/>
        </w:rPr>
        <w:t>Выполнил: В. П. Головин</w:t>
      </w:r>
      <w:r>
        <w:rPr/>
        <w:br/>
      </w:r>
      <w:r>
        <w:rPr>
          <w:rFonts w:eastAsia="Times New Roman;serif" w:cs="Times New Roman;serif"/>
          <w:color w:val="000000"/>
          <w:sz w:val="28"/>
          <w:szCs w:val="28"/>
        </w:rPr>
        <w:t>Группа: М8О-312Б-24</w:t>
      </w:r>
      <w:r>
        <w:rPr/>
        <w:br/>
      </w:r>
      <w:r>
        <w:rPr>
          <w:rFonts w:eastAsia="Times New Roman;serif" w:cs="Times New Roman;serif"/>
          <w:color w:val="000000"/>
          <w:sz w:val="28"/>
          <w:szCs w:val="28"/>
        </w:rPr>
        <w:t xml:space="preserve">Преподаватель: В. Д. Бахарев </w:t>
      </w:r>
    </w:p>
    <w:p>
      <w:pPr>
        <w:pStyle w:val="BodyText"/>
        <w:spacing w:before="1587" w:after="160"/>
        <w:ind w:hanging="0" w:start="0" w:end="0"/>
        <w:jc w:val="center"/>
        <w:rPr>
          <w:rFonts w:ascii="Times New Roman;serif" w:hAnsi="Times New Roman;serif" w:eastAsia="Times New Roman;serif" w:cs="Times New Roman;serif"/>
          <w:color w:val="000000"/>
          <w:sz w:val="28"/>
          <w:szCs w:val="28"/>
        </w:rPr>
      </w:pPr>
      <w:r>
        <w:rPr/>
      </w:r>
    </w:p>
    <w:p>
      <w:pPr>
        <w:pStyle w:val="BodyText"/>
        <w:spacing w:before="1587" w:after="160"/>
        <w:ind w:hanging="0" w:start="0" w:end="0"/>
        <w:jc w:val="center"/>
        <w:rPr/>
      </w:pPr>
      <w:r>
        <w:rPr>
          <w:rFonts w:eastAsia="Times New Roman;serif" w:cs="Times New Roman;serif"/>
          <w:color w:val="000000"/>
          <w:sz w:val="28"/>
          <w:szCs w:val="28"/>
        </w:rPr>
        <w:t>Москва, 2026</w:t>
      </w:r>
      <w:r>
        <w:br w:type="page"/>
      </w:r>
    </w:p>
    <w:p>
      <w:pPr>
        <w:pStyle w:val="Heading2"/>
        <w:spacing w:before="0" w:after="240"/>
        <w:ind w:hanging="0" w:start="0" w:end="0"/>
        <w:jc w:val="center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32"/>
          <w:szCs w:val="32"/>
        </w:rPr>
        <w:t>Условие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Цель работы — изучить базовые принципы построения трёхмерной сцены средствами Vulkan: описание полигональной модели, передачу вершин и индексов в память GPU, настройку графического конвейера, применение матриц преобразования и вывод изображения в реальном времени.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Вариант 4: построить усечённый правильный тетраэдр, состоящий из четырёх треугольных и четырёх шестиугольных граней. Дополнительно реализовать переключение перспективной и ортографической проекций, управление преобразованиями через ImGui, анимацию по сложной траектории, выбор общего цвета, процедурную окраску вершин и отрисовку нескольких объектов с отдельными наборами дескрипторов.</w:t>
      </w:r>
    </w:p>
    <w:p>
      <w:pPr>
        <w:pStyle w:val="Heading2"/>
        <w:numPr>
          <w:ilvl w:val="0"/>
          <w:numId w:val="0"/>
        </w:numPr>
        <w:spacing w:before="360" w:after="240"/>
        <w:ind w:hanging="0" w:start="360" w:end="360"/>
        <w:jc w:val="center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32"/>
          <w:szCs w:val="32"/>
        </w:rPr>
        <w:t>Метод решения</w:t>
      </w:r>
    </w:p>
    <w:p>
      <w:pPr>
        <w:pStyle w:val="Heading3"/>
        <w:numPr>
          <w:ilvl w:val="0"/>
          <w:numId w:val="0"/>
        </w:numPr>
        <w:spacing w:before="240" w:after="120"/>
        <w:ind w:hanging="0" w:start="240" w:end="240"/>
        <w:jc w:val="start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28"/>
          <w:szCs w:val="28"/>
        </w:rPr>
        <w:t>Построение геометрии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В качестве основы использованы четыре вершины правильного тетраэдра с координатами, пропорциональными (1, 1, 1), (1, −1, −1), (−1, 1, −1) и (−1, −1, 1). После нормализации каждое ребро делится на три равные части. Для направленного ребра вычисляется новая точка:</w:t>
      </w:r>
    </w:p>
    <w:p>
      <w:pPr>
        <w:pStyle w:val="BodyTextformula"/>
        <w:spacing w:before="160" w:after="160"/>
        <w:ind w:firstLine="709" w:start="160" w:end="160"/>
        <w:jc w:val="center"/>
        <w:rPr/>
      </w:pPr>
      <w:r>
        <w:rPr>
          <w:rFonts w:eastAsia="Times New Roman;serif" w:cs="Times New Roman;serif"/>
          <w:i/>
          <w:iCs/>
          <w:color w:val="000000"/>
          <w:sz w:val="28"/>
          <w:szCs w:val="28"/>
        </w:rPr>
        <w:t>P = A + (B − A) / 3.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В результате образуются 12 геометрических вершин. Около прежних вершин формируются четыре треугольные грани, а исходные грани превращаются в четыре правильных шестиугольника. Каждая выпуклая грань разбивается на треугольники веером. Итоговая сетка содержит 20 треугольников и 60 индексов.</w:t>
      </w:r>
    </w:p>
    <w:p>
      <w:pPr>
        <w:pStyle w:val="Heading3"/>
        <w:numPr>
          <w:ilvl w:val="0"/>
          <w:numId w:val="0"/>
        </w:numPr>
        <w:spacing w:before="240" w:after="120"/>
        <w:ind w:hanging="0" w:start="240" w:end="240"/>
        <w:jc w:val="start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28"/>
          <w:szCs w:val="28"/>
        </w:rPr>
        <w:t>Графический конвейер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 xml:space="preserve">Координаты вершин и индексы передаются в vertex buffer и index buffer, созданные с помощью Vulkan Memory Allocator. Входная стадия конвейера читает трёхкомпонентную позицию вершины. Используется топология </w:t>
      </w:r>
      <w:r>
        <w:rPr>
          <w:rFonts w:eastAsia="Times New Roman;serif" w:cs="Times New Roman;serif"/>
          <w:i/>
          <w:iCs/>
          <w:color w:val="000000"/>
          <w:sz w:val="28"/>
          <w:szCs w:val="28"/>
        </w:rPr>
        <w:t>triangle list</w:t>
      </w:r>
      <w:r>
        <w:rPr>
          <w:rFonts w:eastAsia="Times New Roman;serif" w:cs="Times New Roman;serif"/>
          <w:color w:val="000000"/>
          <w:sz w:val="28"/>
          <w:szCs w:val="28"/>
        </w:rPr>
        <w:t xml:space="preserve">, динамические viewport и scissor, а также буфер глубины с операцией сравнения </w:t>
      </w:r>
      <w:r>
        <w:rPr>
          <w:rFonts w:eastAsia="Times New Roman;serif" w:cs="Times New Roman;serif"/>
          <w:i/>
          <w:iCs/>
          <w:color w:val="000000"/>
          <w:sz w:val="28"/>
          <w:szCs w:val="28"/>
        </w:rPr>
        <w:t>less</w:t>
      </w:r>
      <w:r>
        <w:rPr>
          <w:rFonts w:eastAsia="Times New Roman;serif" w:cs="Times New Roman;serif"/>
          <w:color w:val="000000"/>
          <w:sz w:val="28"/>
          <w:szCs w:val="28"/>
        </w:rPr>
        <w:t>.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Вершинный шейдер преобразует локальную позицию матрицей MVP. Процедурный цвет рассчитывается из локальных координат XYZ, преобразованных в диапазон RGB [0; 1], после чего интерполируется растеризатором. Фрагментный шейдер умножает полученный цвет на общий оттенок, выбранный пользователем.</w:t>
      </w:r>
    </w:p>
    <w:p>
      <w:pPr>
        <w:pStyle w:val="Heading3"/>
        <w:numPr>
          <w:ilvl w:val="0"/>
          <w:numId w:val="0"/>
        </w:numPr>
        <w:spacing w:before="240" w:after="120"/>
        <w:ind w:hanging="0" w:start="240" w:end="240"/>
        <w:jc w:val="start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28"/>
          <w:szCs w:val="28"/>
        </w:rPr>
        <w:t>Преобразования и проекции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Для размещения объекта используется композиция матриц масштаба, вращения и переноса. Итоговое преобразование вершины имеет вид:</w:t>
      </w:r>
    </w:p>
    <w:p>
      <w:pPr>
        <w:pStyle w:val="BodyTextformula"/>
        <w:spacing w:before="160" w:after="160"/>
        <w:ind w:firstLine="709" w:start="160" w:end="160"/>
        <w:jc w:val="center"/>
        <w:rPr/>
      </w:pPr>
      <w:r>
        <w:rPr>
          <w:rFonts w:eastAsia="Times New Roman;serif" w:cs="Times New Roman;serif"/>
          <w:i/>
          <w:iCs/>
          <w:color w:val="000000"/>
          <w:sz w:val="28"/>
          <w:szCs w:val="28"/>
        </w:rPr>
        <w:t>MVP = Projection · View · Model.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Параметры положения, вращения и масштаба изменяются через ImGui. Перспективная проекция учитывает угол обзора и отношение сторон окна; ортографическая проекция сохраняет параллельность линий и не уменьшает объекты с расстоянием. Переключение меняет только матрицу Projection.</w:t>
      </w:r>
    </w:p>
    <w:p>
      <w:pPr>
        <w:pStyle w:val="Heading3"/>
        <w:numPr>
          <w:ilvl w:val="0"/>
          <w:numId w:val="0"/>
        </w:numPr>
        <w:spacing w:before="240" w:after="120"/>
        <w:ind w:hanging="0" w:start="240" w:end="240"/>
        <w:jc w:val="start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28"/>
          <w:szCs w:val="28"/>
        </w:rPr>
        <w:t>Анимация и несколько объектов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Движение выполняется по трёхмерной траектории Лиссажу. Для каждой координаты используется синус с отдельными амплитудой и частотой. Вращение задаётся скоростью вокруг каждой оси. Анимационное время увеличивается с учётом времени между кадрами, поэтому движение не зависит от частоты кадров. Интерфейс позволяет поставить анимацию на паузу, перезапустить её и изменить параметры траектории.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 xml:space="preserve">Одна сетка используется для трёх экземпляров объекта. Для каждого экземпляра создан собственный uniform buffer, содержащий матрицу MVP и цвет, а также отдельный </w:t>
      </w:r>
      <w:r>
        <w:rPr>
          <w:rStyle w:val="SourceText"/>
          <w:rFonts w:eastAsia="Noto Sans Mono CJK SC" w:cs="Liberation Mono" w:ascii="Liberation Mono" w:hAnsi="Liberation Mono"/>
          <w:color w:val="000000"/>
          <w:sz w:val="28"/>
          <w:szCs w:val="28"/>
        </w:rPr>
        <w:t>VkDescriptorSet</w:t>
      </w:r>
      <w:r>
        <w:rPr>
          <w:rFonts w:eastAsia="Times New Roman;serif" w:cs="Times New Roman;serif"/>
          <w:color w:val="000000"/>
          <w:sz w:val="28"/>
          <w:szCs w:val="28"/>
        </w:rPr>
        <w:t xml:space="preserve">. Перед каждым вызовом </w:t>
      </w:r>
      <w:r>
        <w:rPr>
          <w:rStyle w:val="SourceText"/>
          <w:rFonts w:eastAsia="Noto Sans Mono CJK SC" w:cs="Liberation Mono" w:ascii="Liberation Mono" w:hAnsi="Liberation Mono"/>
          <w:color w:val="000000"/>
          <w:sz w:val="28"/>
          <w:szCs w:val="28"/>
        </w:rPr>
        <w:t>vkCmdDrawIndexed</w:t>
      </w:r>
      <w:r>
        <w:rPr>
          <w:rFonts w:eastAsia="Times New Roman;serif" w:cs="Times New Roman;serif"/>
          <w:color w:val="000000"/>
          <w:sz w:val="28"/>
          <w:szCs w:val="28"/>
        </w:rPr>
        <w:t xml:space="preserve"> привязывается набор дескрипторов соответствующего объекта. Все объекты используют общий pipeline и общие vertex/index buffers.</w:t>
      </w:r>
    </w:p>
    <w:p>
      <w:pPr>
        <w:pStyle w:val="Heading2"/>
        <w:numPr>
          <w:ilvl w:val="0"/>
          <w:numId w:val="0"/>
        </w:numPr>
        <w:spacing w:before="360" w:after="240"/>
        <w:ind w:hanging="0" w:start="360" w:end="360"/>
        <w:jc w:val="center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32"/>
          <w:szCs w:val="32"/>
        </w:rPr>
        <w:t>Результаты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Разработанное приложение отображает три экземпляра усечённого тетраэдра, корректно выполняет проверку глубины, процедурную интерполяцию цветов и анимацию. Все параметры доступны в окне ImGui.</w:t>
      </w:r>
    </w:p>
    <w:p>
      <w:pPr>
        <w:pStyle w:val="BodyText"/>
        <w:keepLines/>
        <w:spacing w:before="240" w:after="240"/>
        <w:ind w:hanging="0" w:start="240" w:end="240"/>
        <w:jc w:val="center"/>
        <w:rPr/>
      </w:pPr>
      <w:r>
        <w:rPr/>
        <w:drawing>
          <wp:inline distT="0" distB="0" distL="0" distR="0">
            <wp:extent cx="5834380" cy="3433445"/>
            <wp:effectExtent l="0" t="0" r="0" b="0"/>
            <wp:docPr id="1" name="Перспективная проекция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рспективная проекция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;serif" w:cs="Times New Roman;serif"/>
          <w:color w:val="000000"/>
          <w:sz w:val="28"/>
          <w:szCs w:val="28"/>
        </w:rPr>
        <w:t xml:space="preserve"> </w:t>
      </w:r>
    </w:p>
    <w:p>
      <w:pPr>
        <w:pStyle w:val="BodyTextcaption"/>
        <w:keepLines/>
        <w:spacing w:before="240" w:after="240"/>
        <w:ind w:firstLine="709" w:start="240" w:end="240"/>
        <w:jc w:val="center"/>
        <w:rPr/>
      </w:pPr>
      <w:r>
        <w:rPr>
          <w:rFonts w:eastAsia="Times New Roman;serif" w:cs="Times New Roman;serif"/>
          <w:color w:val="000000"/>
          <w:sz w:val="24"/>
          <w:szCs w:val="24"/>
        </w:rPr>
        <w:t>Рисунок 1 — Отображение трёх объектов в перспективной проекции</w:t>
      </w:r>
    </w:p>
    <w:p>
      <w:pPr>
        <w:pStyle w:val="BodyText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На рисунке 1 видны три объекта с различными фазами движения и индивидуальными оттенками. Панель управления позволяет изменить общие преобразования, скорость анимации, амплитуды и частоты траектории.</w:t>
      </w:r>
    </w:p>
    <w:p>
      <w:pPr>
        <w:pStyle w:val="BodyText"/>
        <w:keepLines/>
        <w:spacing w:before="240" w:after="240"/>
        <w:ind w:hanging="0" w:start="240" w:end="240"/>
        <w:jc w:val="center"/>
        <w:rPr/>
      </w:pPr>
      <w:r>
        <w:rPr/>
        <w:drawing>
          <wp:inline distT="0" distB="0" distL="0" distR="0">
            <wp:extent cx="5834380" cy="3433445"/>
            <wp:effectExtent l="0" t="0" r="0" b="0"/>
            <wp:docPr id="2" name="Ортографическая проекция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Ортографическая проекция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;serif" w:cs="Times New Roman;serif"/>
          <w:color w:val="000000"/>
          <w:sz w:val="28"/>
          <w:szCs w:val="28"/>
        </w:rPr>
        <w:t xml:space="preserve"> </w:t>
      </w:r>
    </w:p>
    <w:p>
      <w:pPr>
        <w:pStyle w:val="BodyTextcaption"/>
        <w:keepLines/>
        <w:spacing w:before="240" w:after="240"/>
        <w:ind w:firstLine="709" w:start="240" w:end="240"/>
        <w:jc w:val="center"/>
        <w:rPr/>
      </w:pPr>
      <w:r>
        <w:rPr>
          <w:rFonts w:eastAsia="Times New Roman;serif" w:cs="Times New Roman;serif"/>
          <w:color w:val="000000"/>
          <w:sz w:val="24"/>
          <w:szCs w:val="24"/>
        </w:rPr>
        <w:t>Рисунок 2 — Работа приложения в ортографической проекции</w:t>
      </w:r>
    </w:p>
    <w:p>
      <w:pPr>
        <w:pStyle w:val="BodyText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На рисунке 2 выбран ортографический режим. Переключение проекции выполняется без пересоздания сетки и графического pipeline. Проект успешно собирается в конфигурациях Debug и Release; при проверке Vulkan validation layers ошибок не обнаружено.</w:t>
      </w:r>
    </w:p>
    <w:p>
      <w:pPr>
        <w:pStyle w:val="Heading2"/>
        <w:numPr>
          <w:ilvl w:val="0"/>
          <w:numId w:val="0"/>
        </w:numPr>
        <w:spacing w:before="360" w:after="240"/>
        <w:ind w:hanging="0" w:start="360" w:end="360"/>
        <w:jc w:val="center"/>
        <w:rPr/>
      </w:pPr>
      <w:r>
        <w:rPr>
          <w:rFonts w:eastAsia="Noto Serif CJK SC" w:cs="Noto Sans Devanagari" w:ascii="Liberation Serif" w:hAnsi="Liberation Serif"/>
          <w:b/>
          <w:bCs/>
          <w:color w:val="000000"/>
          <w:sz w:val="32"/>
          <w:szCs w:val="32"/>
        </w:rPr>
        <w:t>Выводы</w:t>
      </w:r>
    </w:p>
    <w:p>
      <w:pPr>
        <w:pStyle w:val="BodyText"/>
        <w:spacing w:before="0" w:after="160"/>
        <w:ind w:firstLine="709"/>
        <w:jc w:val="both"/>
        <w:rPr/>
      </w:pPr>
      <w:r>
        <w:rPr>
          <w:rFonts w:eastAsia="Times New Roman;serif" w:cs="Times New Roman;serif"/>
          <w:color w:val="000000"/>
          <w:sz w:val="28"/>
          <w:szCs w:val="28"/>
        </w:rPr>
        <w:t>В ходе работы были изучены основные этапы растрового графического конвейера Vulkan. Была процедурно построена и триангулирована трёхмерная модель, созданы вершинный и индексный буферы, настроены шейдеры и проверка глубины. Также была реализована передача индивидуальных параметров нескольких объектов с помощью uniform buffers и отдельных наборов дескрипторов.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altName w:val="serif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48" w:before="0" w:after="0"/>
      <w:jc w:val="start"/>
    </w:pPr>
    <w:rPr>
      <w:rFonts w:ascii="Times New Roman;serif" w:hAnsi="Times New Roman;serif" w:eastAsia="Times New Roman;serif" w:cs="Times New Roman;serif"/>
      <w:color w:val="000000"/>
      <w:kern w:val="0"/>
      <w:sz w:val="28"/>
      <w:szCs w:val="2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360"/>
      <w:jc w:val="center"/>
    </w:pPr>
    <w:rPr>
      <w:rFonts w:ascii="Noto Sans" w:hAnsi="Noto Sans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240"/>
      <w:ind w:start="360" w:end="360"/>
      <w:jc w:val="center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240" w:after="120"/>
      <w:ind w:start="240" w:end="24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160"/>
      <w:ind w:firstLine="709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BodyTextinstitute">
    <w:name w:val="Body Text.institute"/>
    <w:basedOn w:val="BodyText"/>
    <w:qFormat/>
    <w:pPr/>
    <w:rPr>
      <w:b/>
      <w:bCs/>
    </w:rPr>
  </w:style>
  <w:style w:type="paragraph" w:styleId="BodyTextwork-title">
    <w:name w:val="Body Text.work-title"/>
    <w:basedOn w:val="BodyText"/>
    <w:qFormat/>
    <w:pPr/>
    <w:rPr>
      <w:b/>
      <w:bCs/>
      <w:sz w:val="36"/>
      <w:szCs w:val="36"/>
    </w:rPr>
  </w:style>
  <w:style w:type="paragraph" w:styleId="BodyTextsubtitle">
    <w:name w:val="Body Text.subtitle"/>
    <w:basedOn w:val="BodyText"/>
    <w:qFormat/>
    <w:pPr/>
    <w:rPr>
      <w:sz w:val="32"/>
      <w:szCs w:val="32"/>
    </w:rPr>
  </w:style>
  <w:style w:type="paragraph" w:styleId="BodyTextformula">
    <w:name w:val="Body Text.formula"/>
    <w:basedOn w:val="BodyText"/>
    <w:qFormat/>
    <w:pPr>
      <w:spacing w:before="160" w:after="160"/>
      <w:ind w:start="160" w:end="160"/>
      <w:jc w:val="center"/>
    </w:pPr>
    <w:rPr>
      <w:i/>
      <w:iCs/>
    </w:rPr>
  </w:style>
  <w:style w:type="paragraph" w:styleId="BodyTextcaption">
    <w:name w:val="Body Text.caption"/>
    <w:basedOn w:val="BodyText"/>
    <w:qFormat/>
    <w:pPr>
      <w:spacing w:before="80" w:after="160"/>
      <w:jc w:val="center"/>
    </w:pPr>
    <w:rPr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571</Words>
  <Characters>4021</Characters>
  <CharactersWithSpaces>4565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2026-10-08T18:22:58Z</dcterms:modified>
  <cp:revision>4</cp:revision>
  <dc:subject/>
  <dc:title>Отчёт по лабораторной работе №1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