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 w15">
  <ns0:body>
    <ns0:p>
      <ns0:pPr>
        <ns0:pStyle ns0:val="BodyTextinstitute"/>
        <ns0:ind ns0:hanging="0" ns0:start="0" ns0:end="0"/>
        <ns0:jc ns0:val="center"/>
        <ns0:rPr/>
      </ns0:pPr>
      <ns0:r>
        <ns0:rPr>
          <ns0:rFonts ns0:eastAsia="Times New Roman;serif" ns0:cs="Times New Roman;serif"/>
          <ns0:b/>
          <ns0:bCs/>
          <ns0:color ns0:val="000000"/>
          <ns0:sz ns0:val="28"/>
          <ns0:szCs ns0:val="28"/>
        </ns0:rPr>
        <ns0:t>МОСКОВСКИЙ АВИАЦИОННЫЙ ИНСТИТУТ</ns0:t>
      </ns0:r>
    </ns0:p>
    <ns0:p>
      <ns0:pPr>
        <ns0:pStyle ns0:val="BodyTextinstitute"/>
        <ns0:jc ns0:val="center"/>
        <ns0:rPr/>
      </ns0:pPr>
      <ns0:r>
        <ns0:rPr>
          <ns0:rFonts ns0:eastAsia="Times New Roman;serif" ns0:cs="Times New Roman;serif"/>
          <ns0:b/>
          <ns0:bCs/>
          <ns0:color ns0:val="000000"/>
          <ns0:sz ns0:val="28"/>
          <ns0:szCs ns0:val="28"/>
        </ns0:rPr>
        <ns0:t>(НАЦИОНАЛЬНЫЙ ИССЛЕДОВАТЕЛЬСКИЙ УНИВЕРСИТЕТ)</ns0:t>
      </ns0:r>
    </ns0:p>
    <ns0:p>
      <ns0:pPr>
        <ns0:pStyle ns0:val="BodyTextinstitute"/>
        <ns0:spacing ns0:lineRule="auto" ns0:line="348" ns0:before="0" ns0:after="160"/>
        <ns0:rPr/>
      </ns0:pPr>
      <ns0:r>
        <ns0:rPr/>
      </ns0:r>
    </ns0:p>
    <ns0:p>
      <ns0:pPr>
        <ns0:pStyle ns0:val="BodyText"/>
        <ns0:spacing ns0:before="240" ns0:after="160"/>
        <ns0:ind ns0:hanging="0" ns0:start="0" ns0:end="0"/>
        <ns0:jc ns0:val="center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>Институт №8 «Компьютерные науки и прикладная математика»</ns0:t>
      </ns0:r>
    </ns0:p>
    <ns0:p>
      <ns0:pPr>
        <ns0:pStyle ns0:val="BodyText"/>
        <ns0:spacing ns0:before="240" ns0:after="160"/>
        <ns0:ind ns0:hanging="0" ns0:start="0" ns0:end="0"/>
        <ns0:jc ns0:val="center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>Кафедра 806 «Вычислительная математика и программирование»</ns0:t>
      </ns0:r>
    </ns0:p>
    <ns0:p>
      <ns0:pPr>
        <ns0:pStyle ns0:val="BodyText"/>
        <ns0:spacing ns0:lineRule="auto" ns0:line="348" ns0:before="240" ns0:after="160"/>
        <ns0:rPr/>
      </ns0:pPr>
      <ns0:r>
        <ns0:rPr/>
      </ns0:r>
    </ns0:p>
    <ns0:p>
      <ns0:pPr>
        <ns0:pStyle ns0:val="BodyText"/>
        <ns0:spacing ns0:lineRule="auto" ns0:line="348" ns0:before="240" ns0:after="160"/>
        <ns0:rPr/>
      </ns0:pPr>
      <ns0:r>
        <ns0:rPr/>
      </ns0:r>
    </ns0:p>
    <ns0:p>
      <ns0:pPr>
        <ns0:pStyle ns0:val="BodyTextwork-title"/>
        <ns0:ind ns0:hanging="0" ns0:start="0" ns0:end="0"/>
        <ns0:jc ns0:val="center"/>
        <ns0:rPr/>
      </ns0:pPr>
      <ns0:r>
        <ns0:rPr>
          <ns0:rFonts ns0:eastAsia="Times New Roman;serif" ns0:cs="Times New Roman;serif"/>
          <ns0:b/>
          <ns0:bCs/>
          <ns0:color ns0:val="000000"/>
          <ns0:sz ns0:val="36"/>
          <ns0:szCs ns0:val="36"/>
        </ns0:rPr>
        <ns0:tab/>
        <ns0:t xml:space="preserve">Лабораторная работа №2</ns0:t>
      </ns0:r>
    </ns0:p>
    <ns0:p>
      <ns0:pPr>
        <ns0:pStyle ns0:val="BodyTextsubtitle"/>
        <ns0:jc ns0:val="center"/>
        <ns0:rPr/>
      </ns0:pPr>
      <ns0:r>
        <ns0:rPr>
          <ns0:rFonts ns0:eastAsia="Times New Roman;serif" ns0:cs="Times New Roman;serif"/>
          <ns0:b/>
          <ns0:bCs/>
          <ns0:color ns0:val="000000"/>
          <ns0:sz ns0:val="32"/>
          <ns0:szCs ns0:val="32"/>
        </ns0:rPr>
        <ns0:t>по курсу «Компьютерная графика»</ns0:t>
      </ns0:r>
    </ns0:p>
    <ns0:p>
      <ns0:pPr>
        <ns0:pStyle ns0:val="BodyTextsubtitle"/>
        <ns0:jc ns0:val="center"/>
        <ns0:rPr/>
      </ns0:pPr>
      <ns0:r>
        <ns0:rPr>
          <ns0:rFonts ns0:eastAsia="Times New Roman;serif" ns0:cs="Times New Roman;serif"/>
          <ns0:b/>
          <ns0:bCs/>
          <ns0:color ns0:val="000000"/>
          <ns0:sz ns0:val="32"/>
          <ns0:szCs ns0:val="32"/>
        </ns0:rPr>
        <ns0:t xml:space="preserve">«Камера и освещение»</ns0:t>
      </ns0:r>
    </ns0:p>
    <ns0:p>
      <ns0:pPr>
        <ns0:pStyle ns0:val="BodyTextsubtitle"/>
        <ns0:spacing ns0:lineRule="auto" ns0:line="348" ns0:before="0" ns0:after="160"/>
        <ns0:rPr/>
      </ns0:pPr>
      <ns0:r>
        <ns0:rPr/>
      </ns0:r>
    </ns0:p>
    <ns0:p>
      <ns0:pPr>
        <ns0:pStyle ns0:val="BodyText"/>
        <ns0:spacing ns0:lineRule="auto" ns0:line="384" ns0:before="1417" ns0:after="160"/>
        <ns0:ind ns0:hanging="0" ns0:start="5102" ns0:end="0"/>
        <ns0:jc ns0:val="end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>Выполнил: В. П. Головин</ns0:t>
      </ns0:r>
      <ns0:r>
        <ns0:rPr/>
        <ns0:br/>
      </ns0:r>
      <ns0:r>
        <ns0:rPr>
          <ns0:rFonts ns0:eastAsia="Times New Roman;serif" ns0:cs="Times New Roman;serif"/>
          <ns0:color ns0:val="000000"/>
          <ns0:sz ns0:val="28"/>
          <ns0:szCs ns0:val="28"/>
        </ns0:rPr>
        <ns0:t>Группа: М8О-312Б-24</ns0:t>
      </ns0:r>
      <ns0:r>
        <ns0:rPr/>
        <ns0:br/>
      </ns0: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Преподаватель: В. Д. Бахарев </ns0:t>
      </ns0:r>
    </ns0:p>
    <ns0:p>
      <ns0:pPr>
        <ns0:pStyle ns0:val="BodyText"/>
        <ns0:spacing ns0:before="1587" ns0:after="160"/>
        <ns0:ind ns0:hanging="0" ns0:start="0" ns0:end="0"/>
        <ns0:jc ns0:val="center"/>
        <ns0:rPr>
          <ns0:rFonts ns0:ascii="Times New Roman;serif" ns0:hAnsi="Times New Roman;serif" ns0:eastAsia="Times New Roman;serif" ns0:cs="Times New Roman;serif"/>
          <ns0:color ns0:val="000000"/>
          <ns0:sz ns0:val="28"/>
          <ns0:szCs ns0:val="28"/>
        </ns0:rPr>
      </ns0:pPr>
      <ns0:r>
        <ns0:rPr/>
      </ns0:r>
    </ns0:p>
    <ns0:p>
      <ns0:pPr>
        <ns0:pStyle ns0:val="BodyText"/>
        <ns0:spacing ns0:before="1587" ns0:after="160"/>
        <ns0:ind ns0:hanging="0" ns0:start="0" ns0:end="0"/>
        <ns0:jc ns0:val="center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>Москва, 2026</ns0:t>
      </ns0:r>
      <ns0:r>
        <ns0:br ns0:type="page"/>
      </ns0:r>
    </ns0:p>
    <ns0:p>
      <ns0:pPr>
        <ns0:pStyle ns0:val="Heading2"/>
        <ns0:spacing ns0:before="0" ns0:after="240"/>
        <ns0:ind ns0:hanging="0" ns0:start="0" ns0:end="0"/>
        <ns0:jc ns0:val="center"/>
        <ns0:rPr/>
      </ns0:pPr>
      <ns0:r>
        <ns0:rPr>
          <ns0:rFonts ns0:eastAsia="Noto Serif CJK SC" ns0:cs="Noto Sans Devanagari" ns0:ascii="Liberation Serif" ns0:hAnsi="Liberation Serif"/>
          <ns0:b/>
          <ns0:bCs/>
          <ns0:color ns0:val="000000"/>
          <ns0:sz ns0:val="32"/>
          <ns0:szCs ns0:val="32"/>
        </ns0:rPr>
        <ns0:t xml:space="preserve">Условие</ns0:t>
      </ns0:r>
    </ns0:p>
    <ns0:p>
      <ns0:pPr>
        <ns0:pStyle ns0:val="BodyText"/>
        <ns0:spacing ns0:before="0" ns0:after="160"/>
        <ns0:ind ns0:firstLine="709"/>
        <ns0:jc ns0:val="both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Цель работы — реализовать управляемую камеру и динамическое освещение трёхмерной сцены по модели Блинна—Фонга средствами Vulkan. Параметры камеры, источников света и материалов должны изменяться в реальном времени через пользовательский интерфейс ImGui.</ns0:t>
      </ns0:r>
    </ns0:p>
    <ns0:p>
      <ns0:pPr>
        <ns0:pStyle ns0:val="BodyText"/>
        <ns0:spacing ns0:before="0" ns0:after="160"/>
        <ns0:ind ns0:firstLine="709"/>
        <ns0:jc ns0:val="both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Вариант 4: использовать усечённый правильный тетраэдр из первой лабораторной работы. Необходимо процедурно сформировать нормали, реализовать направленный, точечные и прожекторные источники света, затухание по закону обратных квадратов и мягкие края прожектора. Данные сцены и моделей требуется разделить на наборы дескрипторов, а массивы точечных источников и прожекторов хранить в storage buffers.</ns0:t>
      </ns0:r>
    </ns0:p>
    <ns0:p>
      <ns0:pPr>
        <ns0:pStyle ns0:val="Heading2"/>
        <ns0:numPr>
          <ns0:ilvl ns0:val="0"/>
          <ns0:numId ns0:val="0"/>
        </ns0:numPr>
        <ns0:spacing ns0:before="360" ns0:after="240"/>
        <ns0:ind ns0:hanging="0" ns0:start="360" ns0:end="360"/>
        <ns0:jc ns0:val="center"/>
        <ns0:rPr/>
      </ns0:pPr>
      <ns0:r>
        <ns0:rPr>
          <ns0:rFonts ns0:eastAsia="Noto Serif CJK SC" ns0:cs="Noto Sans Devanagari" ns0:ascii="Liberation Serif" ns0:hAnsi="Liberation Serif"/>
          <ns0:b/>
          <ns0:bCs/>
          <ns0:color ns0:val="000000"/>
          <ns0:sz ns0:val="32"/>
          <ns0:szCs ns0:val="32"/>
        </ns0:rPr>
        <ns0:t xml:space="preserve">Метод решения</ns0:t>
      </ns0:r>
    </ns0:p>
    <ns0:p>
      <ns0:pPr>
        <ns0:pStyle ns0:val="Heading3"/>
        <ns0:numPr>
          <ns0:ilvl ns0:val="0"/>
          <ns0:numId ns0:val="0"/>
        </ns0:numPr>
        <ns0:spacing ns0:before="240" ns0:after="120"/>
        <ns0:ind ns0:hanging="0" ns0:start="240" ns0:end="240"/>
        <ns0:jc ns0:val="start"/>
        <ns0:rPr/>
      </ns0:pPr>
      <ns0:r>
        <ns0:rPr>
          <ns0:rFonts ns0:eastAsia="Noto Serif CJK SC" ns0:cs="Noto Sans Devanagari" ns0:ascii="Liberation Serif" ns0:hAnsi="Liberation Serif"/>
          <ns0:b/>
          <ns0:bCs/>
          <ns0:color ns0:val="000000"/>
          <ns0:sz ns0:val="28"/>
          <ns0:szCs ns0:val="28"/>
        </ns0:rPr>
        <ns0:t xml:space="preserve">Камера, преобразования и проекции</ns0:t>
      </ns0:r>
    </ns0:p>
    <ns0:p>
      <ns0:pPr>
        <ns0:pStyle ns0:val="BodyText"/>
        <ns0:spacing ns0:before="0" ns0:after="160"/>
        <ns0:ind ns0:firstLine="709"/>
        <ns0:jc ns0:val="both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Камера задаётся положением, углами yaw и pitch и углом обзора. По углам вычисляется нормализованный вектор направления, после чего строится матрица вида lookAt. Положение, поворот и угол обзора камеры изменяются в ImGui без пересоздания графического конвейера.</ns0:t>
      </ns0:r>
    </ns0:p>
    <ns0:p>
      <ns0:pPr>
        <ns0:pStyle ns0:val="BodyTextformula"/>
        <ns0:spacing ns0:before="160" ns0:after="160"/>
        <ns0:ind ns0:firstLine="709" ns0:start="160" ns0:end="160"/>
        <ns0:jc ns0:val="center"/>
        <ns0:rPr/>
      </ns0:pPr>
      <ns0:r>
        <ns0:rPr>
          <ns0:rFonts ns0:eastAsia="Times New Roman;serif" ns0:cs="Times New Roman;serif"/>
          <ns0:i/>
          <ns0:iCs/>
          <ns0:color ns0:val="000000"/>
          <ns0:sz ns0:val="28"/>
          <ns0:szCs ns0:val="28"/>
        </ns0:rPr>
        <ns0:t xml:space="preserve">ViewProjection = Projection · View.</ns0:t>
      </ns0:r>
    </ns0:p>
    <ns0:p>
      <ns0:pPr>
        <ns0:pStyle ns0:val="BodyText"/>
        <ns0:spacing ns0:before="0" ns0:after="160"/>
        <ns0:ind ns0:firstLine="709"/>
        <ns0:jc ns0:val="both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Сохранены возможности первой лабораторной работы: перспективная и ортографическая проекции, общие и индивидуальные преобразования трёх объектов, процедурная окраска и анимация по траектории Лиссажу. Матрица модели составляется из переноса, вращения и масштаба.</ns0:t>
      </ns0:r>
    </ns0:p>
    <ns0:p>
      <ns0:pPr>
        <ns0:pStyle ns0:val="Heading3"/>
        <ns0:numPr>
          <ns0:ilvl ns0:val="0"/>
          <ns0:numId ns0:val="0"/>
        </ns0:numPr>
        <ns0:spacing ns0:before="240" ns0:after="120"/>
        <ns0:ind ns0:hanging="0" ns0:start="240" ns0:end="240"/>
        <ns0:jc ns0:val="start"/>
        <ns0:rPr/>
      </ns0:pPr>
      <ns0:r>
        <ns0:rPr>
          <ns0:rFonts ns0:eastAsia="Noto Serif CJK SC" ns0:cs="Noto Sans Devanagari" ns0:ascii="Liberation Serif" ns0:hAnsi="Liberation Serif"/>
          <ns0:b/>
          <ns0:bCs/>
          <ns0:color ns0:val="000000"/>
          <ns0:sz ns0:val="28"/>
          <ns0:szCs ns0:val="28"/>
        </ns0:rPr>
        <ns0:t xml:space="preserve">Нормали, материалы и модель Блинна—Фонга</ns0:t>
      </ns0:r>
    </ns0:p>
    <ns0:p>
      <ns0:pPr>
        <ns0:pStyle ns0:val="BodyText"/>
        <ns0:spacing ns0:before="0" ns0:after="160"/>
        <ns0:ind ns0:firstLine="709"/>
        <ns0:jc ns0:val="both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Для каждой плоской грани нормаль генерируется процедурно как нормализованное векторное произведение двух её рёбер. Вершинный буфер содержит позицию и нормаль. В мировой системе нормаль преобразуется обратно транспонированной матрицей, что обеспечивает корректный результат при неравномерном масштабировании.</ns0:t>
      </ns0:r>
      <ns0:r>
        <ns0:rPr>
          <ns0:rFonts ns0:eastAsia="Times New Roman;serif" ns0:cs="Times New Roman;serif"/>
          <ns0:i/>
          <ns0:iCs/>
          <ns0:color ns0:val="000000"/>
          <ns0:sz ns0:val="28"/>
          <ns0:szCs ns0:val="28"/>
        </ns0:rPr>
        <ns0:t/>
      </ns0: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/>
      </ns0:r>
      <ns0:r>
        <ns0:rPr>
          <ns0:rFonts ns0:eastAsia="Times New Roman;serif" ns0:cs="Times New Roman;serif"/>
          <ns0:i/>
          <ns0:iCs/>
          <ns0:color ns0:val="000000"/>
          <ns0:sz ns0:val="28"/>
          <ns0:szCs ns0:val="28"/>
        </ns0:rPr>
        <ns0:t/>
      </ns0:r>
      <ns0:r>
        <ns0:rPr>
          <ns0:rFonts ns0:eastAsia="Times New Roman;serif" ns0:cs="Times New Roman;serif"/>
          <ns0:color ns0:val="000000"/>
          <ns0:sz ns0:val="28"/>
          <ns0:szCs ns0:val="28"/>
        </ns0:rPr>
        <ns0:t/>
      </ns0:r>
    </ns0:p>
    <ns0:p>
      <ns0:pPr>
        <ns0:pStyle ns0:val="BodyText"/>
        <ns0:spacing ns0:before="0" ns0:after="160"/>
        <ns0:ind ns0:firstLine="709"/>
        <ns0:jc ns0:val="both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Материал каждой модели содержит альбедо, цвет зеркального блика и коэффициент shininess. Во фрагментном шейдере рассчитываются ambient, diffuse и specular составляющие. Для блика используется halfway-вектор между направлением к источнику и направлением к камере. После суммирования применяется тональная компрессия и гамма-коррекция.</ns0:t>
      </ns0:r>
    </ns0:p>
    <ns0:p>
      <ns0:pPr>
        <ns0:pStyle ns0:val="Heading3"/>
        <ns0:numPr>
          <ns0:ilvl ns0:val="0"/>
          <ns0:numId ns0:val="0"/>
        </ns0:numPr>
        <ns0:spacing ns0:before="240" ns0:after="120"/>
        <ns0:ind ns0:hanging="0" ns0:start="240" ns0:end="240"/>
        <ns0:jc ns0:val="start"/>
        <ns0:rPr/>
      </ns0:pPr>
      <ns0:r>
        <ns0:rPr>
          <ns0:rFonts ns0:eastAsia="Noto Serif CJK SC" ns0:cs="Noto Sans Devanagari" ns0:ascii="Liberation Serif" ns0:hAnsi="Liberation Serif"/>
          <ns0:b/>
          <ns0:bCs/>
          <ns0:color ns0:val="000000"/>
          <ns0:sz ns0:val="28"/>
          <ns0:szCs ns0:val="28"/>
        </ns0:rPr>
        <ns0:t xml:space="preserve">Источники света и затухание</ns0:t>
      </ns0:r>
    </ns0:p>
    <ns0:p>
      <ns0:pPr>
        <ns0:pStyle ns0:val="BodyText"/>
        <ns0:spacing ns0:before="0" ns0:after="160"/>
        <ns0:ind ns0:firstLine="709"/>
        <ns0:jc ns0:val="both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Направленный источник задаётся направлением, цветом и интенсивностью. Для точечного источника дополнительно хранится позиция. Прожектор содержит позицию, направление, цвет, интенсивность, внутренний и внешний углы освещаемого конуса.</ns0:t>
      </ns0:r>
    </ns0:p>
    <ns0:p>
      <ns0:pPr>
        <ns0:pStyle ns0:val="BodyTextformula"/>
        <ns0:spacing ns0:before="160" ns0:after="160"/>
        <ns0:ind ns0:firstLine="709" ns0:start="160" ns0:end="160"/>
        <ns0:jc ns0:val="center"/>
        <ns0:rPr/>
      </ns0:pPr>
      <ns0:r>
        <ns0:rPr>
          <ns0:rFonts ns0:eastAsia="Times New Roman;serif" ns0:cs="Times New Roman;serif"/>
          <ns0:i/>
          <ns0:iCs/>
          <ns0:color ns0:val="000000"/>
          <ns0:sz ns0:val="28"/>
          <ns0:szCs ns0:val="28"/>
        </ns0:rPr>
        <ns0:t xml:space="preserve">Iresult = Ilight / max(r², 0,01).</ns0:t>
      </ns0:r>
    </ns0:p>
    <ns0:p>
      <ns0:pPr>
        <ns0:pStyle ns0:val="BodyText"/>
        <ns0:spacing ns0:before="0" ns0:after="160"/>
        <ns0:ind ns0:firstLine="709"/>
        <ns0:jc ns0:val="both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Для точечных источников и прожекторов используется затухание по закону обратных квадратов. Мягкая граница прожектора вычисляется функцией smoothstep между косинусами внешнего и внутреннего углов. Количество источников передаётся в uniform buffer сцены, а сами динамические массивы размещаются в storage buffers.</ns0:t>
      </ns0:r>
    </ns0:p>
    <ns0:p>
      <ns0:pPr>
        <ns0:pStyle ns0:val="Heading3"/>
        <ns0:numPr>
          <ns0:ilvl ns0:val="0"/>
          <ns0:numId ns0:val="0"/>
        </ns0:numPr>
        <ns0:spacing ns0:before="240" ns0:after="120"/>
        <ns0:ind ns0:hanging="0" ns0:start="240" ns0:end="240"/>
        <ns0:jc ns0:val="start"/>
        <ns0:rPr/>
      </ns0:pPr>
      <ns0:r>
        <ns0:rPr>
          <ns0:rFonts ns0:eastAsia="Noto Serif CJK SC" ns0:cs="Noto Sans Devanagari" ns0:ascii="Liberation Serif" ns0:hAnsi="Liberation Serif"/>
          <ns0:b/>
          <ns0:bCs/>
          <ns0:color ns0:val="000000"/>
          <ns0:sz ns0:val="28"/>
          <ns0:szCs ns0:val="28"/>
        </ns0:rPr>
        <ns0:t xml:space="preserve">Наборы дескрипторов, интерфейс и визуализация</ns0:t>
      </ns0:r>
    </ns0:p>
    <ns0:p>
      <ns0:pPr>
        <ns0:pStyle ns0:val="BodyText"/>
        <ns0:spacing ns0:before="0" ns0:after="160"/>
        <ns0:ind ns0:firstLine="709"/>
        <ns0:jc ns0:val="both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Внешние данные разделены на два набора. Set 0 содержит uniform buffer с матрицей view-projection, положением камеры, общим освещением и числом источников, а также два storage buffer. Set 1 создаётся отдельно для каждой модели и содержит model matrix, normal matrix и параметры материала.</ns0:t>
      </ns0:r>
    </ns0:p>
    <ns0:p>
      <ns0:pPr>
        <ns0:pStyle ns0:val="BodyText"/>
        <ns0:spacing ns0:before="0" ns0:after="160"/>
        <ns0:ind ns0:firstLine="709"/>
        <ns0:jc ns0:val="both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Интерфейс позволяет добавлять и удалять точечные источники и прожекторы, изменять все их параметры и материалы моделей. При изменении числа источников storage buffers пересоздаются и заново привязываются к set 0. Источники визуализируются неосвещаемыми кубами, а направление и внешний угол прожектора — белым линейным конусом.</ns0:t>
      </ns0:r>
      <ns0:r>
        <ns0:rPr>
          <ns0:rStyle ns0:val="SourceText"/>
          <ns0:rFonts ns0:eastAsia="Noto Sans Mono CJK SC" ns0:cs="Liberation Mono" ns0:ascii="Liberation Mono" ns0:hAnsi="Liberation Mono"/>
          <ns0:color ns0:val="000000"/>
          <ns0:sz ns0:val="28"/>
          <ns0:szCs ns0:val="28"/>
        </ns0:rPr>
        <ns0:t/>
      </ns0: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/>
      </ns0:r>
      <ns0:r>
        <ns0:rPr>
          <ns0:rStyle ns0:val="SourceText"/>
          <ns0:rFonts ns0:eastAsia="Noto Sans Mono CJK SC" ns0:cs="Liberation Mono" ns0:ascii="Liberation Mono" ns0:hAnsi="Liberation Mono"/>
          <ns0:color ns0:val="000000"/>
          <ns0:sz ns0:val="28"/>
          <ns0:szCs ns0:val="28"/>
        </ns0:rPr>
        <ns0:t/>
      </ns0: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/>
      </ns0:r>
    </ns0:p>
    <ns0:p>
      <ns0:pPr>
        <ns0:pStyle ns0:val="Heading2"/>
        <ns0:numPr>
          <ns0:ilvl ns0:val="0"/>
          <ns0:numId ns0:val="0"/>
        </ns0:numPr>
        <ns0:spacing ns0:before="360" ns0:after="240"/>
        <ns0:ind ns0:hanging="0" ns0:start="360" ns0:end="360"/>
        <ns0:jc ns0:val="center"/>
        <ns0:rPr/>
      </ns0:pPr>
      <ns0:r>
        <ns0:rPr>
          <ns0:rFonts ns0:eastAsia="Noto Serif CJK SC" ns0:cs="Noto Sans Devanagari" ns0:ascii="Liberation Serif" ns0:hAnsi="Liberation Serif"/>
          <ns0:b/>
          <ns0:bCs/>
          <ns0:color ns0:val="000000"/>
          <ns0:sz ns0:val="32"/>
          <ns0:szCs ns0:val="32"/>
        </ns0:rPr>
        <ns0:t xml:space="preserve">Результаты</ns0:t>
      </ns0:r>
    </ns0:p>
    <ns0:p>
      <ns0:pPr>
        <ns0:pStyle ns0:val="BodyText"/>
        <ns0:spacing ns0:before="0" ns0:after="160"/>
        <ns0:ind ns0:firstLine="709"/>
        <ns0:jc ns0:val="both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Разработанное приложение отображает три анимированных экземпляра усечённого тетраэдра и рассчитывает их освещение в реальном времени. Все параметры камеры, материалов и источников доступны в ImGui.</ns0:t>
      </ns0:r>
    </ns0:p>
    <ns0:p>
      <ns0:pPr>
        <ns0:pStyle ns0:val="BodyText"/>
        <ns0:keepLines/>
        <ns0:spacing ns0:before="240" ns0:after="240"/>
        <ns0:ind ns0:hanging="0" ns0:start="240" ns0:end="240"/>
        <ns0:jc ns0:val="center"/>
        <ns0:rPr/>
      </ns0:pPr>
      <ns0:r>
        <ns0:rPr/>
        <ns0:drawing>
          <ns2:inline distT="0" distB="0" distL="0" distR="0">
            <ns2:extent cx="5834380" cy="3433445"/>
            <ns2:effectExtent l="0" t="0" r="0" b="0"/>
            <ns2:docPr id="1" name="Перспективная проекция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Перспективная проекция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834380" cy="34334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ns0:drawing>
      </ns0: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 </ns0:t>
      </ns0:r>
    </ns0:p>
    <ns0:p>
      <ns0:pPr>
        <ns0:pStyle ns0:val="BodyTextcaption"/>
        <ns0:keepLines/>
        <ns0:spacing ns0:before="240" ns0:after="240"/>
        <ns0:ind ns0:firstLine="709" ns0:start="240" ns0:end="240"/>
        <ns0:jc ns0:val="center"/>
        <ns0:rPr/>
      </ns0:pPr>
      <ns0:r>
        <ns0:rPr>
          <ns0:rFonts ns0:eastAsia="Times New Roman;serif" ns0:cs="Times New Roman;serif"/>
          <ns0:color ns0:val="000000"/>
          <ns0:sz ns0:val="24"/>
          <ns0:szCs ns0:val="24"/>
        </ns0:rPr>
        <ns0:t xml:space="preserve">Рисунок 1 — Работа камеры, освещения и визуализаторов источников</ns0:t>
      </ns0:r>
    </ns0:p>
    <ns0:p>
      <ns0:pPr>
        <ns0:pStyle ns0:val="BodyText"/>
        <ns0:ind ns0:firstLine="709"/>
        <ns0:jc ns0:val="both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На рисунке 1 показана сцена в перспективной проекции. Цветные кубы обозначают точечные источники и прожектор, а белый каркас конуса показывает направление и внешний угол прожектора. В панели управления доступны камера, материалы, источники и функции первой лабораторной.</ns0:t>
      </ns0:r>
    </ns0:p>
    <ns0:p>
      <ns0:pPr>
        <ns0:pStyle ns0:val="BodyText"/>
        <ns0:keepLines/>
        <ns0:spacing ns0:before="240" ns0:after="240"/>
        <ns0:ind ns0:hanging="0" ns0:start="240" ns0:end="240"/>
        <ns0:jc ns0:val="center"/>
        <ns0:rPr/>
      </ns0:pPr>
      <ns0:r>
        <ns0:rPr/>
        <ns0:drawing>
          <ns2:inline distT="0" distB="0" distL="0" distR="0">
            <ns2:extent cx="5834380" cy="3433445"/>
            <ns2:effectExtent l="0" t="0" r="0" b="0"/>
            <ns2:docPr id="2" name="Ортографическая проекция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Ортографическая проекция" descr="" title=""/>
                    <ns4:cNvPicPr>
                      <ns3:picLocks noChangeAspect="1" noChangeArrowheads="1"/>
                    </ns4:cNvPicPr>
                  </ns4:nvPicPr>
                  <ns4:blipFill>
                    <ns3:blip ns5:embed="rId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834380" cy="34334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ns0:drawing>
      </ns0: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 </ns0:t>
      </ns0:r>
    </ns0:p>
    <ns0:p>
      <ns0:pPr>
        <ns0:pStyle ns0:val="BodyTextcaption"/>
        <ns0:keepLines/>
        <ns0:spacing ns0:before="240" ns0:after="240"/>
        <ns0:ind ns0:firstLine="709" ns0:start="240" ns0:end="240"/>
        <ns0:jc ns0:val="center"/>
        <ns0:rPr/>
      </ns0:pPr>
      <ns0:r>
        <ns0:rPr>
          <ns0:rFonts ns0:eastAsia="Times New Roman;serif" ns0:cs="Times New Roman;serif"/>
          <ns0:color ns0:val="000000"/>
          <ns0:sz ns0:val="24"/>
          <ns0:szCs ns0:val="24"/>
        </ns0:rPr>
        <ns0:t xml:space="preserve">Рисунок 2 — Разделение данных сцены и модели по наборам дескрипторов</ns0:t>
      </ns0:r>
    </ns0:p>
    <ns0:p>
      <ns0:pPr>
        <ns0:pStyle ns0:val="BodyText"/>
        <ns0:ind ns0:firstLine="709"/>
        <ns0:jc ns0:val="both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На рисунке 2 показана схема передачи данных в шейдеры. Общие параметры сцены и динамические массивы источников находятся в set 0, а матрицы и материал каждого объекта — в отдельном set 1. Проект успешно собирается в конфигурации Debug; GLSL-шейдеры компилируются в SPIR-V.</ns0:t>
      </ns0:r>
    </ns0:p>
    <ns0:p>
      <ns0:pPr>
        <ns0:pStyle ns0:val="Heading2"/>
        <ns0:numPr>
          <ns0:ilvl ns0:val="0"/>
          <ns0:numId ns0:val="0"/>
        </ns0:numPr>
        <ns0:spacing ns0:before="360" ns0:after="240"/>
        <ns0:ind ns0:hanging="0" ns0:start="360" ns0:end="360"/>
        <ns0:jc ns0:val="center"/>
        <ns0:rPr/>
      </ns0:pPr>
      <ns0:r>
        <ns0:rPr>
          <ns0:rFonts ns0:eastAsia="Noto Serif CJK SC" ns0:cs="Noto Sans Devanagari" ns0:ascii="Liberation Serif" ns0:hAnsi="Liberation Serif"/>
          <ns0:b/>
          <ns0:bCs/>
          <ns0:color ns0:val="000000"/>
          <ns0:sz ns0:val="32"/>
          <ns0:szCs ns0:val="32"/>
        </ns0:rPr>
        <ns0:t xml:space="preserve">Выводы</ns0:t>
      </ns0:r>
    </ns0:p>
    <ns0:p>
      <ns0:pPr>
        <ns0:pStyle ns0:val="BodyText"/>
        <ns0:spacing ns0:before="0" ns0:after="160"/>
        <ns0:ind ns0:firstLine="709"/>
        <ns0:jc ns0:val="both"/>
        <ns0:rPr/>
      </ns0:pPr>
      <ns0:r>
        <ns0:rPr>
          <ns0:rFonts ns0:eastAsia="Times New Roman;serif" ns0:cs="Times New Roman;serif"/>
          <ns0:color ns0:val="000000"/>
          <ns0:sz ns0:val="28"/>
          <ns0:szCs ns0:val="28"/>
        </ns0:rPr>
        <ns0:t xml:space="preserve">В ходе работы была реализована управляемая камера и модель освещения Блинна—Фонга для направленного, точечных и прожекторных источников. Освоены процедурное вычисление нормалей, применение normal matrix, использование нескольких наборов дескрипторов и динамических storage buffers. Реализованы затухание света, мягкие края прожектора, настройка материалов и визуализация источников, при этом сохранены преобразования и анимация из первой лабораторной работы.</ns0:t>
      </ns0:r>
    </ns0:p>
    <ns0:sectPr>
      <ns0:type ns0:val="nextPage"/>
      <ns0:pgSz ns0:w="11906" ns0:h="16838"/>
      <ns0:pgMar ns0:left="1417" ns0:right="1134" ns0:gutter="0" ns0:header="0" ns0:top="1134" ns0:footer="0" ns0:bottom="1134"/>
      <ns0:pgNumType ns0:fmt="decimal"/>
      <ns0:formProt ns0:val="false"/>
      <ns0:textDirection ns0:val="lrTb"/>
      <ns0:docGrid ns0:type="default" ns0:linePitch="600" ns0:charSpace="24576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serif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348" w:before="0" w:after="0"/>
      <w:jc w:val="start"/>
    </w:pPr>
    <w:rPr>
      <w:rFonts w:ascii="Times New Roman;serif" w:hAnsi="Times New Roman;serif" w:eastAsia="Times New Roman;serif" w:cs="Times New Roman;serif"/>
      <w:color w:val="000000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360"/>
      <w:jc w:val="center"/>
    </w:pPr>
    <w:rPr>
      <w:rFonts w:ascii="Noto Sans" w:hAnsi="Noto Sans"/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360" w:after="240"/>
      <w:ind w:start="360" w:end="360"/>
      <w:jc w:val="center"/>
      <w:outlineLvl w:val="1"/>
    </w:pPr>
    <w:rPr>
      <w:rFonts w:ascii="Liberation Serif" w:hAnsi="Liberation Serif" w:eastAsia="Noto Serif CJK SC" w:cs="Noto Sans Devanagari"/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40" w:after="120"/>
      <w:ind w:start="240" w:end="24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160"/>
      <w:ind w:firstLine="709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BodyTextinstitute">
    <w:name w:val="Body Text.institute"/>
    <w:basedOn w:val="BodyText"/>
    <w:qFormat/>
    <w:pPr/>
    <w:rPr>
      <w:b/>
      <w:bCs/>
    </w:rPr>
  </w:style>
  <w:style w:type="paragraph" w:styleId="BodyTextwork-title">
    <w:name w:val="Body Text.work-title"/>
    <w:basedOn w:val="BodyText"/>
    <w:qFormat/>
    <w:pPr/>
    <w:rPr>
      <w:b/>
      <w:bCs/>
      <w:sz w:val="36"/>
      <w:szCs w:val="36"/>
    </w:rPr>
  </w:style>
  <w:style w:type="paragraph" w:styleId="BodyTextsubtitle">
    <w:name w:val="Body Text.subtitle"/>
    <w:basedOn w:val="BodyText"/>
    <w:qFormat/>
    <w:pPr/>
    <w:rPr>
      <w:sz w:val="32"/>
      <w:szCs w:val="32"/>
    </w:rPr>
  </w:style>
  <w:style w:type="paragraph" w:styleId="BodyTextformula">
    <w:name w:val="Body Text.formula"/>
    <w:basedOn w:val="BodyText"/>
    <w:qFormat/>
    <w:pPr>
      <w:spacing w:before="160" w:after="160"/>
      <w:ind w:start="160" w:end="160"/>
      <w:jc w:val="center"/>
    </w:pPr>
    <w:rPr>
      <w:i/>
      <w:iCs/>
    </w:rPr>
  </w:style>
  <w:style w:type="paragraph" w:styleId="BodyTextcaption">
    <w:name w:val="Body Text.caption"/>
    <w:basedOn w:val="BodyText"/>
    <w:qFormat/>
    <w:pPr>
      <w:spacing w:before="80" w:after="160"/>
      <w:jc w:val="center"/>
    </w:pPr>
    <w:rPr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571</Words>
  <Characters>4021</Characters>
  <CharactersWithSpaces>4565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2026-10-08T18:22:58Z</dcterms:modified>
  <cp:revision>4</cp:revision>
  <dc:subject/>
  <dc:title>Отчёт по лабораторной работе №2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