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83F3" w14:textId="77777777" w:rsidR="00A32A32" w:rsidRPr="008D655F" w:rsidRDefault="00A32A32" w:rsidP="008D655F">
      <w:pPr>
        <w:pStyle w:val="Heading1"/>
      </w:pPr>
      <w:bookmarkStart w:id="0" w:name="_Hlk220853957"/>
      <w:bookmarkEnd w:id="0"/>
      <w:r w:rsidRPr="008D655F">
        <w:rPr>
          <w:rStyle w:val="Strong"/>
          <w:b w:val="0"/>
          <w:bCs w:val="0"/>
        </w:rPr>
        <w:t>PRISM (Precise &amp; Repeated In vivo Subcellular Microscopy)</w:t>
      </w:r>
      <w:r w:rsidRPr="008D655F">
        <w:br/>
      </w:r>
      <w:r w:rsidRPr="008D655F">
        <w:rPr>
          <w:rStyle w:val="Strong"/>
          <w:b w:val="0"/>
          <w:bCs w:val="0"/>
        </w:rPr>
        <w:t>connects</w:t>
      </w:r>
      <w:r w:rsidRPr="008D655F">
        <w:rPr>
          <w:rStyle w:val="Emphasis"/>
          <w:i w:val="0"/>
          <w:iCs w:val="0"/>
        </w:rPr>
        <w:t xml:space="preserve"> molecular dynamics to biological function in intact organisms</w:t>
      </w:r>
    </w:p>
    <w:p w14:paraId="7F71EB85" w14:textId="77777777" w:rsidR="00377781" w:rsidRDefault="00377781" w:rsidP="00377781">
      <w:pPr>
        <w:pStyle w:val="Heading2"/>
      </w:pPr>
      <w:r>
        <w:t xml:space="preserve">From molecules to behavior: the need for </w:t>
      </w:r>
      <w:r w:rsidRPr="00377781">
        <w:rPr>
          <w:i/>
          <w:iCs/>
        </w:rPr>
        <w:t>in vivo</w:t>
      </w:r>
      <w:r>
        <w:t xml:space="preserve"> molecular measurement</w:t>
      </w:r>
    </w:p>
    <w:p w14:paraId="672448FF" w14:textId="59928C78" w:rsidR="001109D7" w:rsidRDefault="001109D7" w:rsidP="008D655F">
      <w:r>
        <w:t xml:space="preserve">Biological function spans orders of magnitude in space and time, from molecular interactions to organism-level behavior. Understanding how molecular-scale changes produce system-level outcomes therefore requires </w:t>
      </w:r>
      <w:r w:rsidRPr="001109D7">
        <w:rPr>
          <w:b/>
          <w:bCs/>
        </w:rPr>
        <w:t>measuring molecules in their native functional context.</w:t>
      </w:r>
      <w:r>
        <w:t xml:space="preserve"> The bacterial flagellar motor illustrates this principle. The motor spins continuously, yet its protein components are subject to ongoing synthesis and degradation. This raises a basic mechanistic question: how are the molecular components of a functioning machine maintained over time? Quantitative fluorescence imaging of </w:t>
      </w:r>
      <w:r w:rsidR="00706624">
        <w:t>motor</w:t>
      </w:r>
      <w:r>
        <w:t xml:space="preserve"> units provided </w:t>
      </w:r>
      <w:r w:rsidR="005219FD">
        <w:t>a key insight</w:t>
      </w:r>
      <w:r>
        <w:t xml:space="preserve">. These measurements showed that torque-generating </w:t>
      </w:r>
      <w:r w:rsidR="000F5FED">
        <w:t>proteins</w:t>
      </w:r>
      <w:r>
        <w:t xml:space="preserve"> exchange continuously with a larger, diffusible membrane pool </w:t>
      </w:r>
      <w:r w:rsidRPr="00982EE1">
        <w:t>while the motor runs</w:t>
      </w:r>
      <w:r w:rsidRPr="00982EE1">
        <w:fldChar w:fldCharType="begin"/>
      </w:r>
      <w:r w:rsidRPr="00982EE1">
        <w:instrText xml:space="preserve"> ADDIN ZOTERO_ITEM CSL_CITATION {"citationID":"fUJOrHT3","properties":{"formattedCitation":"\\super 1\\nosupersub{}","plainCitation":"1","noteIndex":0},"citationItems":[{"id":2871,"uris":["http://zotero.org/users/319690/items/NBFKVEWE"],"itemData":{"id":2871,"type":"article-journal","container-title":"Nature","DOI":"10.1038/nature05135","journalAbbreviation":"Nature","page":"355-358","title":"Stoichiometry and turnover in single, functioning membrane protein complexes","volume":"443","author":[{"family":"Leake","given":"Mark C."},{"family":"Chandler","given":"John H."},{"family":"Wadhams","given":"George H."},{"family":"Bai","given":"Feng"},{"family":"Berry","given":"Richard M."}],"issued":{"date-parts":[["2006"]]}}}],"schema":"https://github.com/citation-style-language/schema/raw/master/csl-citation.json"} </w:instrText>
      </w:r>
      <w:r w:rsidRPr="00982EE1">
        <w:fldChar w:fldCharType="separate"/>
      </w:r>
      <w:r w:rsidRPr="00982EE1">
        <w:rPr>
          <w:rFonts w:ascii="Aptos" w:hAnsi="Aptos" w:cs="Times New Roman"/>
          <w:kern w:val="0"/>
          <w:vertAlign w:val="superscript"/>
        </w:rPr>
        <w:t>1</w:t>
      </w:r>
      <w:r w:rsidRPr="00982EE1">
        <w:fldChar w:fldCharType="end"/>
      </w:r>
      <w:r>
        <w:t>.</w:t>
      </w:r>
    </w:p>
    <w:p w14:paraId="26E920DA" w14:textId="46D5C035" w:rsidR="00181BC1" w:rsidRDefault="00302482" w:rsidP="001109D7">
      <w:pPr>
        <w:rPr>
          <w:b/>
          <w:bCs/>
        </w:rPr>
      </w:pPr>
      <w:r>
        <w:t>For larger organisms</w:t>
      </w:r>
      <w:r w:rsidR="00181BC1">
        <w:t xml:space="preserve">, </w:t>
      </w:r>
      <w:r w:rsidR="00CB7FF5">
        <w:t xml:space="preserve">this same maintenance problem must be solved across many </w:t>
      </w:r>
      <w:r>
        <w:t>spatial</w:t>
      </w:r>
      <w:r w:rsidR="00CB7FF5">
        <w:t xml:space="preserve"> scales</w:t>
      </w:r>
      <w:r w:rsidR="00181BC1">
        <w:t>. In memory and learning, behavioral change is thought to be implemented through synaptic plasticity</w:t>
      </w:r>
      <w:r w:rsidR="008A6F0B">
        <w:fldChar w:fldCharType="begin"/>
      </w:r>
      <w:r w:rsidR="008A6F0B">
        <w:instrText xml:space="preserve"> ADDIN ZOTERO_ITEM CSL_CITATION {"citationID":"UnVtLlHV","properties":{"formattedCitation":"\\super 2\\nosupersub{}","plainCitation":"2","noteIndex":0},"citationItems":[{"id":2872,"uris":["http://zotero.org/users/319690/items/QFS5KNJC"],"itemData":{"id":2872,"type":"article-journal","container-title":"Science","DOI":"10.1126/science.1067020","journalAbbreviation":"Science","page":"1030-1038","title":"The molecular biology of memory storage: a dialogue between genes and synapses","volume":"294","author":[{"family":"Kandel","given":"Eric R."}],"issued":{"date-parts":[["2001"]]}}}],"schema":"https://github.com/citation-style-language/schema/raw/master/csl-citation.json"} </w:instrText>
      </w:r>
      <w:r w:rsidR="008A6F0B">
        <w:fldChar w:fldCharType="separate"/>
      </w:r>
      <w:r w:rsidR="008A6F0B" w:rsidRPr="00A32A32">
        <w:rPr>
          <w:rFonts w:ascii="Aptos" w:hAnsi="Aptos" w:cs="Times New Roman"/>
          <w:kern w:val="0"/>
          <w:vertAlign w:val="superscript"/>
        </w:rPr>
        <w:t>2</w:t>
      </w:r>
      <w:r w:rsidR="008A6F0B">
        <w:fldChar w:fldCharType="end"/>
      </w:r>
      <w:r w:rsidR="00181BC1">
        <w:t>: learning modifies circuit function by changing the strength of specific synapses</w:t>
      </w:r>
      <w:r w:rsidR="008A6F0B">
        <w:fldChar w:fldCharType="begin"/>
      </w:r>
      <w:r w:rsidR="008A6F0B">
        <w:instrText xml:space="preserve"> ADDIN ZOTERO_ITEM CSL_CITATION {"citationID":"f65u1Mtf","properties":{"formattedCitation":"\\super 3\\nosupersub{}","plainCitation":"3","noteIndex":0},"citationItems":[{"id":2874,"uris":["http://zotero.org/users/319690/items/SLK8U8A5"],"itemData":{"id":2874,"type":"article-journal","container-title":"Cold Spring Harbor Perspectives in Biology","DOI":"10.1101/cshperspect.a005751","journalAbbreviation":"Cold Spring Harbor Perspectives in Biology","page":"a005751","title":"Synapses and memory storage","volume":"4","author":[{"family":"Mayford","given":"Mark"},{"family":"Siegelbaum","given":"Steven A."},{"family":"Kandel","given":"Eric R."}],"issued":{"date-parts":[["2012"]]}}}],"schema":"https://github.com/citation-style-language/schema/raw/master/csl-citation.json"} </w:instrText>
      </w:r>
      <w:r w:rsidR="008A6F0B">
        <w:fldChar w:fldCharType="separate"/>
      </w:r>
      <w:r w:rsidR="008A6F0B" w:rsidRPr="00A32A32">
        <w:rPr>
          <w:rFonts w:ascii="Aptos" w:hAnsi="Aptos" w:cs="Times New Roman"/>
          <w:kern w:val="0"/>
          <w:vertAlign w:val="superscript"/>
        </w:rPr>
        <w:t>3</w:t>
      </w:r>
      <w:r w:rsidR="008A6F0B">
        <w:fldChar w:fldCharType="end"/>
      </w:r>
      <w:r w:rsidR="00181BC1">
        <w:t>. Synaptic strength, in turn, is determined in part by the number of postsynaptic AMPA-type glutamate receptors</w:t>
      </w:r>
      <w:r w:rsidR="008A6F0B">
        <w:fldChar w:fldCharType="begin"/>
      </w:r>
      <w:r w:rsidR="008A6F0B">
        <w:instrText xml:space="preserve"> ADDIN ZOTERO_ITEM CSL_CITATION {"citationID":"bi6xVctG","properties":{"formattedCitation":"\\super 4\\nosupersub{}","plainCitation":"4","noteIndex":0},"citationItems":[{"id":2876,"uris":["http://zotero.org/users/319690/items/AUBUIYEQ"],"itemData":{"id":2876,"type":"article-journal","container-title":"Neuron","DOI":"10.1016/j.neuron.2013.10.025","journalAbbreviation":"Neuron","page":"704-717","title":"AMPARs and synaptic plasticity: the last 25 years","volume":"80","author":[{"family":"Huganir","given":"Richard L."},{"family":"Nicoll","given":"Roger A."}],"issued":{"date-parts":[["2013"]]}}}],"schema":"https://github.com/citation-style-language/schema/raw/master/csl-citation.json"} </w:instrText>
      </w:r>
      <w:r w:rsidR="008A6F0B">
        <w:fldChar w:fldCharType="separate"/>
      </w:r>
      <w:r w:rsidR="008A6F0B" w:rsidRPr="00A32A32">
        <w:rPr>
          <w:rFonts w:ascii="Aptos" w:hAnsi="Aptos" w:cs="Times New Roman"/>
          <w:kern w:val="0"/>
          <w:vertAlign w:val="superscript"/>
        </w:rPr>
        <w:t>4</w:t>
      </w:r>
      <w:r w:rsidR="008A6F0B">
        <w:fldChar w:fldCharType="end"/>
      </w:r>
      <w:r w:rsidR="00181BC1">
        <w:t xml:space="preserve">. These receptors, like motor </w:t>
      </w:r>
      <w:r w:rsidR="00D3556C">
        <w:t>proteins</w:t>
      </w:r>
      <w:r w:rsidR="00181BC1">
        <w:t>, are molecular components that turnover on timescales far shorter</w:t>
      </w:r>
      <w:r w:rsidR="0095663A">
        <w:fldChar w:fldCharType="begin"/>
      </w:r>
      <w:r w:rsidR="0095663A">
        <w:instrText xml:space="preserve"> ADDIN ZOTERO_ITEM CSL_CITATION {"citationID":"3OwU5i97","properties":{"formattedCitation":"\\super 5\\nosupersub{}","plainCitation":"5","noteIndex":0},"citationItems":[{"id":2927,"uris":["http://zotero.org/users/319690/items/PUHCJ8BV"],"itemData":{"id":2927,"type":"article-journal","abstract":"Measuring precise protein turnover rates in animals is technically challenging at the proteomic level. Here, Fornasiero and colleagues use isotopic labeling with mass spectrometry and mathematical modeling to accurately determine protein lifetimes in the mouse brain","container-title":"Nature Communications","DOI":"10.1038/s41467-018-06519-0","ISSN":"2041-1723","issue":"1","journalAbbreviation":"Nat Commun","language":"en","license":"2018 The Author(s)","note":"number: 1","page":"1-17","publisher":"Nature Publishing Group","source":"www.nature.com","title":"Precisely measured protein lifetimes in the mouse brain reveal differences across tissues and subcellular fractions","volume":"9","author":[{"family":"Fornasiero","given":"Eugenio F."},{"family":"Mandad","given":"Sunit"},{"family":"Wildhagen","given":"Hanna"},{"family":"Alevra","given":"Mihai"},{"family":"Rammner","given":"Burkhard"},{"family":"Keihani","given":"Sarva"},{"family":"Opazo","given":"Felipe"},{"family":"Urban","given":"Inga"},{"family":"Ischebeck","given":"Till"},{"family":"Sakib","given":"M. Sadman"},{"family":"Fard","given":"Maryam K."},{"family":"Kirli","given":"Koray"},{"family":"Centeno","given":"Tonatiuh Pena"},{"family":"Vidal","given":"Ramon O."},{"family":"Rahman","given":"Raza-Ur"},{"family":"Benito","given":"Eva"},{"family":"Fischer","given":"André"},{"family":"Dennerlein","given":"Sven"},{"family":"Rehling","given":"Peter"},{"family":"Feussner","given":"Ivo"},{"family":"Bonn","given":"Stefan"},{"family":"Simons","given":"Mikael"},{"family":"Urlaub","given":"Henning"},{"family":"Rizzoli","given":"Silvio O."}],"issued":{"date-parts":[["2018",10,12]]}}}],"schema":"https://github.com/citation-style-language/schema/raw/master/csl-citation.json"} </w:instrText>
      </w:r>
      <w:r w:rsidR="0095663A">
        <w:fldChar w:fldCharType="separate"/>
      </w:r>
      <w:r w:rsidR="0095663A" w:rsidRPr="00B511CE">
        <w:rPr>
          <w:rFonts w:ascii="Aptos" w:cs="Times New Roman"/>
          <w:kern w:val="0"/>
          <w:vertAlign w:val="superscript"/>
        </w:rPr>
        <w:t>5</w:t>
      </w:r>
      <w:r w:rsidR="0095663A">
        <w:fldChar w:fldCharType="end"/>
      </w:r>
      <w:r w:rsidR="00181BC1">
        <w:t xml:space="preserve"> than the persistence of the function they support</w:t>
      </w:r>
      <w:r w:rsidR="00CE2EA4">
        <w:t>. This</w:t>
      </w:r>
      <w:r w:rsidR="00181BC1">
        <w:t xml:space="preserve"> raise</w:t>
      </w:r>
      <w:r w:rsidR="00375182">
        <w:t>s</w:t>
      </w:r>
      <w:r w:rsidR="00181BC1">
        <w:t xml:space="preserve"> an analogous question: </w:t>
      </w:r>
      <w:r w:rsidR="00181BC1" w:rsidRPr="00B511CE">
        <w:rPr>
          <w:b/>
          <w:bCs/>
        </w:rPr>
        <w:t>how are changes in synaptic strength implemented and maintained when their molecular substrates are continuously replaced?</w:t>
      </w:r>
    </w:p>
    <w:p w14:paraId="0D638632" w14:textId="6F696BBE" w:rsidR="00E330FD" w:rsidRDefault="00E330FD" w:rsidP="002444FE">
      <w:r w:rsidRPr="00E330FD">
        <w:t xml:space="preserve">We currently lack the tools needed to test </w:t>
      </w:r>
      <w:r w:rsidR="0070357E">
        <w:t xml:space="preserve">such questions. This </w:t>
      </w:r>
      <w:r w:rsidRPr="00E330FD">
        <w:t xml:space="preserve">would require extending to synapses the level of access to protein dynamics that has made it possible to resolve mechanisms in the bacterial flagellar motor. Closing this gap will require coordinated innovation in labeling, imaging, and quantitative interpretation in intact animals. I have experience developing methods across these fronts and will integrate these approaches </w:t>
      </w:r>
      <w:r w:rsidRPr="00E330FD">
        <w:rPr>
          <w:b/>
          <w:bCs/>
        </w:rPr>
        <w:t xml:space="preserve">to enable direct measurement of synaptic protein dynamics during learning </w:t>
      </w:r>
      <w:r w:rsidRPr="00E330FD">
        <w:rPr>
          <w:b/>
          <w:bCs/>
          <w:i/>
          <w:iCs/>
        </w:rPr>
        <w:t>in vivo</w:t>
      </w:r>
      <w:r w:rsidRPr="00E330FD">
        <w:t>.</w:t>
      </w:r>
    </w:p>
    <w:p w14:paraId="48884261" w14:textId="120FB9ED" w:rsidR="00C01EF1" w:rsidRDefault="00E330FD" w:rsidP="00C01EF1">
      <w:r>
        <w:t>Specifically, o</w:t>
      </w:r>
      <w:r w:rsidR="003A5AFD">
        <w:t xml:space="preserve">ne proposed </w:t>
      </w:r>
      <w:r w:rsidR="00FF119C">
        <w:t>mechanism</w:t>
      </w:r>
      <w:r w:rsidR="003A5AFD">
        <w:t xml:space="preserve"> is that synapses maintain their strength by exchanging AMPA receptors with a shared membrane pool. E</w:t>
      </w:r>
      <w:r w:rsidR="00D321BB">
        <w:t>vidence supporting this model comes from reduced preparations such as cultured neurons, where AMPA receptors</w:t>
      </w:r>
      <w:r w:rsidR="006E6CCB">
        <w:t xml:space="preserve"> were observed</w:t>
      </w:r>
      <w:r w:rsidR="00D321BB">
        <w:t xml:space="preserve"> </w:t>
      </w:r>
      <w:r w:rsidR="0003160F">
        <w:t>diffusing</w:t>
      </w:r>
      <w:r w:rsidR="00D321BB">
        <w:t xml:space="preserve"> along the dendritic membrane and become locally stabilized at synapses during plasticity. In this diffusion-and-capture framework</w:t>
      </w:r>
      <w:r w:rsidR="00D321BB">
        <w:fldChar w:fldCharType="begin"/>
      </w:r>
      <w:r w:rsidR="00B511CE">
        <w:instrText xml:space="preserve"> ADDIN ZOTERO_ITEM CSL_CITATION {"citationID":"ZwwBswyR","properties":{"formattedCitation":"\\super 6\\nosupersub{}","plainCitation":"6","noteIndex":0},"citationItems":[{"id":2878,"uris":["http://zotero.org/users/319690/items/IV9W9CZY"],"itemData":{"id":2878,"type":"article-journal","container-title":"Nature","DOI":"10.1038/nature00780","journalAbbreviation":"Nature","page":"649-653","title":"Regulation of AMPA receptor lateral movements","volume":"417","author":[{"family":"Borgdorff","given":"Annette J."},{"family":"Choquet","given":"Daniel"}],"issued":{"date-parts":[["2002"]]}}}],"schema":"https://github.com/citation-style-language/schema/raw/master/csl-citation.json"} </w:instrText>
      </w:r>
      <w:r w:rsidR="00D321BB">
        <w:fldChar w:fldCharType="separate"/>
      </w:r>
      <w:r w:rsidR="00B511CE" w:rsidRPr="00B511CE">
        <w:rPr>
          <w:rFonts w:ascii="Aptos" w:hAnsi="Aptos" w:cs="Times New Roman"/>
          <w:kern w:val="0"/>
          <w:vertAlign w:val="superscript"/>
        </w:rPr>
        <w:t>6</w:t>
      </w:r>
      <w:r w:rsidR="00D321BB">
        <w:fldChar w:fldCharType="end"/>
      </w:r>
      <w:r w:rsidR="00D321BB">
        <w:t xml:space="preserve">, synapses draw receptors from a large, shared membrane pool supplied by ongoing synthesis in the soma. </w:t>
      </w:r>
      <w:r w:rsidR="00AE1F0A" w:rsidRPr="00C679D8">
        <w:t xml:space="preserve">Indirect evidence suggests that these dynamics contribute to learning </w:t>
      </w:r>
      <w:r w:rsidR="00AE1F0A" w:rsidRPr="005851FD">
        <w:rPr>
          <w:i/>
          <w:iCs/>
        </w:rPr>
        <w:t>in vivo</w:t>
      </w:r>
      <w:r w:rsidR="00AE1F0A" w:rsidRPr="00C679D8">
        <w:t>, as blocking AMPA receptor diffusion</w:t>
      </w:r>
      <w:r w:rsidR="00AE1F0A">
        <w:t xml:space="preserve"> </w:t>
      </w:r>
      <w:r w:rsidR="00AE1F0A" w:rsidRPr="00C679D8">
        <w:t xml:space="preserve">along the membrane prevents learning-induced synaptic </w:t>
      </w:r>
      <w:r w:rsidR="00AE1F0A" w:rsidRPr="00C679D8">
        <w:lastRenderedPageBreak/>
        <w:t>strengthening</w:t>
      </w:r>
      <w:r w:rsidR="00AE1F0A">
        <w:fldChar w:fldCharType="begin"/>
      </w:r>
      <w:r w:rsidR="00B511CE">
        <w:instrText xml:space="preserve"> ADDIN ZOTERO_ITEM CSL_CITATION {"citationID":"PH43TMnU","properties":{"formattedCitation":"\\super 7\\nosupersub{}","plainCitation":"7","noteIndex":0},"citationItems":[{"id":2879,"uris":["http://zotero.org/users/319690/items/RIMT2MKD"],"itemData":{"id":2879,"type":"article-journal","container-title":"Nature","DOI":"10.1038/nature23658","journalAbbreviation":"Nature","page":"384-388","title":"Hippocampal LTP and contextual learning require surface diffusion of AMPA receptors","volume":"549","author":[{"family":"Penn","given":"Andrew C."},{"family":"Zhang","given":"Chen"},{"family":"Georges","given":"Florent"},{"family":"Royer","given":"Sébastien"},{"family":"Choquet","given":"Daniel"},{"family":"Hosy","given":"Elise"}],"issued":{"date-parts":[["2017"]]}}}],"schema":"https://github.com/citation-style-language/schema/raw/master/csl-citation.json"} </w:instrText>
      </w:r>
      <w:r w:rsidR="00AE1F0A">
        <w:fldChar w:fldCharType="separate"/>
      </w:r>
      <w:r w:rsidR="00B511CE" w:rsidRPr="00B511CE">
        <w:rPr>
          <w:rFonts w:ascii="Aptos" w:hAnsi="Aptos" w:cs="Times New Roman"/>
          <w:kern w:val="0"/>
          <w:vertAlign w:val="superscript"/>
        </w:rPr>
        <w:t>7</w:t>
      </w:r>
      <w:r w:rsidR="00AE1F0A">
        <w:fldChar w:fldCharType="end"/>
      </w:r>
      <w:r w:rsidR="00AE1F0A" w:rsidRPr="00C679D8">
        <w:t>.</w:t>
      </w:r>
      <w:r w:rsidR="00112FDC">
        <w:t xml:space="preserve"> </w:t>
      </w:r>
      <w:r w:rsidR="00C01EF1">
        <w:t xml:space="preserve">A direct consequence of this model is that lateral diffusion equilibrates local receptor accumulations, enforcing smooth spatial variation in receptor turnover.  </w:t>
      </w:r>
    </w:p>
    <w:p w14:paraId="67CB78AC" w14:textId="4BAE1040" w:rsidR="00F87E4A" w:rsidRDefault="00A83F28" w:rsidP="00F87E4A">
      <w:r>
        <w:t xml:space="preserve">This was not the case </w:t>
      </w:r>
      <w:r w:rsidRPr="00A83F28">
        <w:rPr>
          <w:i/>
          <w:iCs/>
        </w:rPr>
        <w:t>in vivo</w:t>
      </w:r>
      <w:r>
        <w:t xml:space="preserve">. </w:t>
      </w:r>
      <w:r w:rsidR="00A32A32" w:rsidRPr="00C679D8">
        <w:t>I was recently able to</w:t>
      </w:r>
      <w:r w:rsidR="00C075BA">
        <w:t xml:space="preserve"> </w:t>
      </w:r>
      <w:r w:rsidR="003442F8">
        <w:t xml:space="preserve">show </w:t>
      </w:r>
      <w:r w:rsidR="00C24AF9">
        <w:t xml:space="preserve">that </w:t>
      </w:r>
      <w:r w:rsidR="003442F8">
        <w:t xml:space="preserve">stable boundaries </w:t>
      </w:r>
      <w:r w:rsidR="007326C0">
        <w:t>exist</w:t>
      </w:r>
      <w:r w:rsidR="00CD3CE8">
        <w:t xml:space="preserve"> </w:t>
      </w:r>
      <w:r w:rsidR="007326C0">
        <w:t>across hippocampal and cortical layers over days</w:t>
      </w:r>
      <w:r w:rsidR="007326C0" w:rsidRPr="00C679D8">
        <w:t xml:space="preserve"> </w:t>
      </w:r>
      <w:r w:rsidR="00A32A32" w:rsidRPr="00C679D8">
        <w:t>using DELTA</w:t>
      </w:r>
      <w:r w:rsidR="00A32A32">
        <w:fldChar w:fldCharType="begin"/>
      </w:r>
      <w:r w:rsidR="00B511CE">
        <w:instrText xml:space="preserve"> ADDIN ZOTERO_ITEM CSL_CITATION {"citationID":"krJj1Kwi","properties":{"formattedCitation":"\\super 8\\nosupersub{}","plainCitation":"8","noteIndex":0},"citationItems":[{"id":2834,"uris":["http://zotero.org/users/319690/items/383K9B4T"],"itemData":{"id":2834,"type":"article-journal","abstract":"Synaptic plasticity alters neuronal connections in response to experience, which is thought to underlie learning and memory. However, the loci of learning-related synaptic plasticity, and the degree to which plasticity is localized or distributed, remain largely unknown. Here we describe a new method, DELTA, for mapping brain-wide changes in synaptic protein turnover with single-synapse resolution, based on Janelia Fluor dyes and HaloTag knock-in mice. During associative learning, the turnover of the ionotropic glutamate receptor subunit GluA2, an indicator of synaptic plasticity, was enhanced in several brain regions, most markedly hippocampal area CA1. More broadly distributed increases in the turnover of synaptic proteins were observed in response to environmental enrichment. In CA1, GluA2 stability was regulated in an input-specific manner, with more turnover in layers containing input from CA3 compared to entorhinal cortex. DELTA will facilitate exploration of the molecular and circuit basis of learning and memory and other forms of plasticity at scales ranging from single synapses to the entire brain.","container-title":"Nature Neuroscience","DOI":"10.1038/s41593-025-01923-4","ISSN":"1546-1726","journalAbbreviation":"Nat Neurosci","language":"en","license":"2025 The Author(s)","page":"1-10","publisher":"Nature Publishing Group","source":"www.nature.com","title":"DELTA: a method for brain-wide measurement of synaptic protein turnover reveals localized plasticity during learning","title-short":"DELTA","author":[{"family":"Mohar","given":"Boaz"},{"family":"Michel","given":"Gabriela"},{"family":"Wang","given":"Yi-Zhi"},{"family":"Hernandez","given":"Veronica"},{"family":"Grimm","given":"Jonathan B."},{"family":"Park","given":"Jin-Yong"},{"family":"Patel","given":"Ronak"},{"family":"Clarke","given":"Morgan"},{"family":"Brown","given":"Timothy A."},{"family":"Bergmann","given":"Cornelius"},{"family":"Gebis","given":"Kamil K."},{"family":"Wilen","given":"Anika P."},{"family":"Liu","given":"Bian"},{"family":"Johnson","given":"Richard"},{"family":"Graves","given":"Austin"},{"family":"Tchumatchenko","given":"Tatjana"},{"family":"Savas","given":"Jeffrey N."},{"family":"Fornasiero","given":"Eugenio F."},{"family":"Huganir","given":"Richard L."},{"family":"Tillberg","given":"Paul W."},{"family":"Lavis","given":"Luke D."},{"family":"Svoboda","given":"Karel"},{"family":"Spruston","given":"Nelson"}],"issued":{"date-parts":[["2025",3,31]]}}}],"schema":"https://github.com/citation-style-language/schema/raw/master/csl-citation.json"} </w:instrText>
      </w:r>
      <w:r w:rsidR="00A32A32">
        <w:fldChar w:fldCharType="separate"/>
      </w:r>
      <w:r w:rsidR="00B511CE" w:rsidRPr="00B511CE">
        <w:rPr>
          <w:rFonts w:ascii="Aptos" w:hAnsi="Aptos" w:cs="Times New Roman"/>
          <w:kern w:val="0"/>
          <w:vertAlign w:val="superscript"/>
        </w:rPr>
        <w:t>8</w:t>
      </w:r>
      <w:r w:rsidR="00A32A32">
        <w:fldChar w:fldCharType="end"/>
      </w:r>
      <w:r w:rsidR="00A32A32" w:rsidRPr="00C679D8">
        <w:t xml:space="preserve">, a novel method </w:t>
      </w:r>
      <w:r w:rsidR="0074771B">
        <w:t xml:space="preserve">my colleagues and I developed </w:t>
      </w:r>
      <w:r w:rsidR="00A32A32" w:rsidRPr="00C679D8">
        <w:t>for measuring synaptic protein turnover in behaving animals</w:t>
      </w:r>
      <w:r w:rsidR="008E27F8">
        <w:t xml:space="preserve">. This organization </w:t>
      </w:r>
      <w:r w:rsidR="00A418FE">
        <w:t xml:space="preserve">both </w:t>
      </w:r>
      <w:r w:rsidR="008E27F8">
        <w:t xml:space="preserve">rules </w:t>
      </w:r>
      <w:r w:rsidR="00A418FE">
        <w:t xml:space="preserve">out </w:t>
      </w:r>
      <w:r w:rsidR="00F32CF1">
        <w:t>a large, shared surface pool</w:t>
      </w:r>
      <w:r w:rsidR="00A418FE">
        <w:t xml:space="preserve"> and</w:t>
      </w:r>
      <w:r w:rsidR="008E27F8">
        <w:t xml:space="preserve"> exposes a deeper gap: </w:t>
      </w:r>
      <w:r w:rsidR="008E27F8" w:rsidRPr="00320646">
        <w:rPr>
          <w:b/>
          <w:bCs/>
        </w:rPr>
        <w:t>we do not know how receptor numbers are regulated locally, how plasticity is distributed across synapse populations, or how these distributions evolve during learning</w:t>
      </w:r>
      <w:r w:rsidR="00A31325">
        <w:t>.</w:t>
      </w:r>
      <w:r w:rsidR="0003520E">
        <w:t xml:space="preserve"> T</w:t>
      </w:r>
      <w:r w:rsidR="00F87E4A">
        <w:t xml:space="preserve">hese results </w:t>
      </w:r>
      <w:r w:rsidR="0003520E">
        <w:t xml:space="preserve">also </w:t>
      </w:r>
      <w:r w:rsidR="00F87E4A">
        <w:t xml:space="preserve">show that experimental context shapes molecular mechanisms. </w:t>
      </w:r>
      <w:r w:rsidR="00145711">
        <w:t xml:space="preserve">This extends beyond learning: development, immune responses, and tissue repair all unfold in living systems where molecular dynamics must be measured repeatedly over time. </w:t>
      </w:r>
      <w:r w:rsidR="00F87E4A">
        <w:t xml:space="preserve">Without such measurements </w:t>
      </w:r>
      <w:r w:rsidR="00F87E4A" w:rsidRPr="00F87E4A">
        <w:rPr>
          <w:i/>
          <w:iCs/>
        </w:rPr>
        <w:t>in vivo</w:t>
      </w:r>
      <w:r w:rsidR="00F87E4A">
        <w:t>, predictions derived from reduced preparations remain untested and central mechanisms remain inaccessible</w:t>
      </w:r>
      <w:r w:rsidR="006D3009">
        <w:t xml:space="preserve"> across many fields of biology</w:t>
      </w:r>
      <w:r w:rsidR="00F87E4A">
        <w:t>.</w:t>
      </w:r>
    </w:p>
    <w:p w14:paraId="4C353931" w14:textId="5D5D8530" w:rsidR="00AB6212" w:rsidRDefault="00AB6212" w:rsidP="00F87E4A">
      <w:pPr>
        <w:rPr>
          <w:rFonts w:asciiTheme="majorHAnsi" w:eastAsia="Times New Roman" w:hAnsiTheme="majorHAnsi" w:cstheme="majorBidi"/>
          <w:color w:val="0F4761" w:themeColor="accent1" w:themeShade="BF"/>
          <w:sz w:val="32"/>
          <w:szCs w:val="32"/>
        </w:rPr>
      </w:pPr>
      <w:r w:rsidRPr="00AB6212">
        <w:rPr>
          <w:rFonts w:asciiTheme="majorHAnsi" w:eastAsia="Times New Roman" w:hAnsiTheme="majorHAnsi" w:cstheme="majorBidi"/>
          <w:color w:val="0F4761" w:themeColor="accent1" w:themeShade="BF"/>
          <w:sz w:val="32"/>
          <w:szCs w:val="32"/>
        </w:rPr>
        <w:t>The measurement gap: sensitivity × repetition × living tissue</w:t>
      </w:r>
    </w:p>
    <w:p w14:paraId="14E48D09" w14:textId="25AD6DD0" w:rsidR="00D61E3A" w:rsidRPr="00C679D8" w:rsidRDefault="002A3F33" w:rsidP="00F63036">
      <w:r>
        <w:t xml:space="preserve">Resolving this problem requires </w:t>
      </w:r>
      <w:r w:rsidR="001546F7">
        <w:t>sufficient resolution</w:t>
      </w:r>
      <w:r>
        <w:t xml:space="preserve">, longitudinal access, and </w:t>
      </w:r>
      <w:r w:rsidRPr="001546F7">
        <w:rPr>
          <w:i/>
          <w:iCs/>
        </w:rPr>
        <w:t>in vivo</w:t>
      </w:r>
      <w:r>
        <w:t xml:space="preserve"> compatibility—</w:t>
      </w:r>
      <w:r w:rsidRPr="002A3F33">
        <w:rPr>
          <w:b/>
          <w:bCs/>
        </w:rPr>
        <w:t>requirements not met by any existing approach (Table 1)</w:t>
      </w:r>
      <w:r w:rsidR="00A32A32" w:rsidRPr="00C679D8">
        <w:t xml:space="preserve">. For example, </w:t>
      </w:r>
      <w:r w:rsidR="00877EF6">
        <w:t xml:space="preserve">current </w:t>
      </w:r>
      <w:r w:rsidR="00A32A32" w:rsidRPr="00C679D8">
        <w:t xml:space="preserve">two-photon </w:t>
      </w:r>
      <w:r w:rsidR="00877EF6" w:rsidRPr="00C679D8">
        <w:t>microscop</w:t>
      </w:r>
      <w:r w:rsidR="00877EF6">
        <w:t>es</w:t>
      </w:r>
      <w:r w:rsidR="00A32A32" w:rsidRPr="00C679D8">
        <w:t xml:space="preserve"> enable</w:t>
      </w:r>
      <w:r w:rsidR="00877EF6">
        <w:t>d</w:t>
      </w:r>
      <w:r w:rsidR="00A32A32" w:rsidRPr="00C679D8">
        <w:t xml:space="preserve"> </w:t>
      </w:r>
      <w:r w:rsidR="00156207" w:rsidRPr="002D7FB1">
        <w:t>longitudinal access</w:t>
      </w:r>
      <w:r w:rsidR="00156207" w:rsidRPr="00C679D8">
        <w:t xml:space="preserve"> </w:t>
      </w:r>
      <w:r w:rsidR="00A32A32" w:rsidRPr="00C679D8">
        <w:t>in living animals</w:t>
      </w:r>
      <w:r w:rsidR="00A32A32">
        <w:fldChar w:fldCharType="begin"/>
      </w:r>
      <w:r w:rsidR="00D61E3A">
        <w:instrText xml:space="preserve"> ADDIN ZOTERO_ITEM CSL_CITATION {"citationID":"BT7vhyRW","properties":{"formattedCitation":"\\super 9,10\\nosupersub{}","plainCitation":"9,10","noteIndex":0},"citationItems":[{"id":2885,"uris":["http://zotero.org/users/319690/items/FAJJS4J2"],"itemData":{"id":2885,"type":"article-journal","container-title":"Nature Methods","DOI":"10.1038/nmeth818","journalAbbreviation":"Nature Methods","page":"932-940","title":"Deep tissue two-photon microscopy","volume":"2","author":[{"family":"Helmchen","given":"Fritjof"},{"family":"Denk","given":"Winfried"}],"issued":{"date-parts":[["2005"]]}}},{"id":2932,"uris":["http://zotero.org/users/319690/items/N674SKKG"],"itemData":{"id":2932,"type":"article-journal","abstract":"Elucidating how synaptic molecules such as AMPA receptors mediate neuronal communication and tracking their dynamic expression during behavior is crucial to understand cognition and disease, but current technological barriers preclude large-scale exploration of molecular dynamics in vivo. We have developed a suite of innovative methodologies that break through these barriers: a new knockin mouse line with fluorescently tagged endogenous AMPA receptors, two-photon imaging of hundreds of thousands of labeled synapses in behaving mice, and computer vision-based automatic synapse detection. Using these tools, we can longitudinally track how the strength of populations of synapses changes during behavior. We used this approach to generate an unprecedentedly detailed spatiotemporal map of synapses undergoing changes in strength following sensory experience. More generally, these tools can be used as an optical probe capable of measuring functional synapse strength across entire brain areas during any behavioral paradigm, describing complex system-wide changes with molecular precision.","container-title":"eLife","DOI":"10.7554/eLife.66809","ISSN":"2050-084X","page":"e66809","publisher":"eLife Sciences Publications, Ltd","source":"eLife","title":"Visualizing synaptic plasticity in vivo by large-scale imaging of endogenous AMPA receptors","volume":"10","author":[{"family":"Graves","given":"Austin R"},{"family":"Roth","given":"Richard H"},{"family":"Tan","given":"Han L"},{"family":"Zhu","given":"Qianwen"},{"family":"Bygrave","given":"Alexei M"},{"family":"Lopez-Ortega","given":"Elena"},{"family":"Hong","given":"Ingie"},{"family":"Spiegel","given":"Alina C"},{"family":"Johnson","given":"Richard C"},{"family":"Vogelstein","given":"Joshua T"},{"family":"Tward","given":"Daniel J"},{"family":"Miller","given":"Michael I"},{"family":"Huganir","given":"Richard L"}],"editor":[{"family":"Bathellier","given":"Brice"},{"family":"Chen","given":"Lu"},{"family":"Bathellier","given":"Brice"}],"issued":{"date-parts":[["2021",10,18]]}}}],"schema":"https://github.com/citation-style-language/schema/raw/master/csl-citation.json"} </w:instrText>
      </w:r>
      <w:r w:rsidR="00A32A32">
        <w:fldChar w:fldCharType="separate"/>
      </w:r>
      <w:r w:rsidR="00D61E3A" w:rsidRPr="00D61E3A">
        <w:rPr>
          <w:rFonts w:ascii="Aptos" w:hAnsi="Aptos" w:cs="Times New Roman"/>
          <w:kern w:val="0"/>
          <w:vertAlign w:val="superscript"/>
        </w:rPr>
        <w:t>9,10</w:t>
      </w:r>
      <w:r w:rsidR="00A32A32">
        <w:fldChar w:fldCharType="end"/>
      </w:r>
      <w:r w:rsidR="00A32A32">
        <w:t xml:space="preserve"> </w:t>
      </w:r>
      <w:r w:rsidR="00A32A32" w:rsidRPr="00C679D8">
        <w:t xml:space="preserve">but </w:t>
      </w:r>
      <w:r w:rsidR="0034588B">
        <w:t>are diffraction-limited</w:t>
      </w:r>
      <w:r w:rsidR="003A6092">
        <w:fldChar w:fldCharType="begin"/>
      </w:r>
      <w:r w:rsidR="00D61E3A">
        <w:instrText xml:space="preserve"> ADDIN ZOTERO_ITEM CSL_CITATION {"citationID":"92JR6F8j","properties":{"formattedCitation":"\\super 11\\nosupersub{}","plainCitation":"11","noteIndex":0},"citationItems":[{"id":2930,"uris":["http://zotero.org/users/319690/items/6RTQH8ED"],"itemData":{"id":2930,"type":"article-journal","container-title":"Archiv für Mikroskopische Anatomie","DOI":"10.1007/BF02956173","ISSN":"0176-7364","issue":"1","journalAbbreviation":"Archiv f. mikrosk. Anatomie","language":"de","page":"413-468","source":"Springer Link","title":"Beiträge zur Theorie des Mikroskops und der mikroskopischen Wahrnehmung","volume":"9","author":[{"family":"Abbe","given":"E."}],"issued":{"date-parts":[["1873",12,1]]}}}],"schema":"https://github.com/citation-style-language/schema/raw/master/csl-citation.json"} </w:instrText>
      </w:r>
      <w:r w:rsidR="003A6092">
        <w:fldChar w:fldCharType="separate"/>
      </w:r>
      <w:r w:rsidR="00D61E3A" w:rsidRPr="00D61E3A">
        <w:rPr>
          <w:rFonts w:ascii="Aptos" w:cs="Times New Roman"/>
          <w:kern w:val="0"/>
          <w:vertAlign w:val="superscript"/>
        </w:rPr>
        <w:t>11</w:t>
      </w:r>
      <w:r w:rsidR="003A6092">
        <w:fldChar w:fldCharType="end"/>
      </w:r>
      <w:r w:rsidR="0034588B">
        <w:t xml:space="preserve">, </w:t>
      </w:r>
      <w:r w:rsidR="00495A41">
        <w:t>such that both the predicted synapse-level changes and the separation between neighboring synapses—particularly along the axial (z) dimension—fall below their resolvable spatial scale</w:t>
      </w:r>
      <w:r w:rsidR="00A32A32" w:rsidRPr="00C679D8">
        <w:t>. Fixed-tissue methods</w:t>
      </w:r>
      <w:r w:rsidR="00184532">
        <w:fldChar w:fldCharType="begin"/>
      </w:r>
      <w:r w:rsidR="00D61E3A">
        <w:instrText xml:space="preserve"> ADDIN ZOTERO_ITEM CSL_CITATION {"citationID":"cJkvHKu6","properties":{"formattedCitation":"\\super 12,13\\nosupersub{}","plainCitation":"12,13","noteIndex":0},"citationItems":[{"id":2887,"uris":["http://zotero.org/users/319690/items/UZJPLXWA"],"itemData":{"id":2887,"type":"article-journal","container-title":"Nature Methods","DOI":"10.1038/nmeth.1253","journalAbbreviation":"Nature Methods","page":"877-879","title":"Imaging individual mRNA molecules using multiple singly labeled probes","volume":"5","author":[{"family":"Raj","given":"Arjun"},{"family":"Bogaard","given":"Peter","non-dropping-particle":"van den"},{"family":"Rifkin","given":"Scott A."},{"family":"Oudenaarden","given":"Alexander","non-dropping-particle":"van"},{"family":"Tyagi","given":"Sanjay"}],"issued":{"date-parts":[["2008"]]}}},{"id":2886,"uris":["http://zotero.org/users/319690/items/ZGQHJLDG"],"itemData":{"id":2886,"type":"article-journal","container-title":"Science","DOI":"10.1126/science.1260088","journalAbbreviation":"Science","page":"543-548","title":"Expansion microscopy","volume":"347","author":[{"family":"Chen","given":"Fei"},{"family":"Tillberg","given":"Paul W."},{"family":"Boyden","given":"Edward S."}],"issued":{"date-parts":[["2015"]]}}}],"schema":"https://github.com/citation-style-language/schema/raw/master/csl-citation.json"} </w:instrText>
      </w:r>
      <w:r w:rsidR="00184532">
        <w:fldChar w:fldCharType="separate"/>
      </w:r>
      <w:r w:rsidR="00D61E3A" w:rsidRPr="00D61E3A">
        <w:rPr>
          <w:rFonts w:ascii="Aptos" w:cs="Times New Roman"/>
          <w:kern w:val="0"/>
          <w:vertAlign w:val="superscript"/>
        </w:rPr>
        <w:t>12,13</w:t>
      </w:r>
      <w:r w:rsidR="00184532">
        <w:fldChar w:fldCharType="end"/>
      </w:r>
      <w:r w:rsidR="00A91B04">
        <w:t xml:space="preserve"> can</w:t>
      </w:r>
      <w:r w:rsidR="00184532">
        <w:t xml:space="preserve"> </w:t>
      </w:r>
      <w:r w:rsidR="00A32A32" w:rsidRPr="00C679D8">
        <w:t xml:space="preserve">achieve </w:t>
      </w:r>
      <w:r w:rsidR="00156207">
        <w:t xml:space="preserve">high </w:t>
      </w:r>
      <w:r w:rsidR="00D97207">
        <w:t>resolution</w:t>
      </w:r>
      <w:r w:rsidR="00A32A32" w:rsidRPr="00C679D8">
        <w:t xml:space="preserve"> but require fixation, precluding </w:t>
      </w:r>
      <w:r w:rsidR="00156207">
        <w:t>l</w:t>
      </w:r>
      <w:r w:rsidR="00156207" w:rsidRPr="00156207">
        <w:t>ongitudinal access</w:t>
      </w:r>
      <w:r w:rsidR="00A32A32" w:rsidRPr="00C679D8">
        <w:t>. Single-molecule localization microscopy</w:t>
      </w:r>
      <w:r w:rsidR="00A32A32">
        <w:t xml:space="preserve"> (SMLM)</w:t>
      </w:r>
      <w:r w:rsidR="00A32A32">
        <w:fldChar w:fldCharType="begin"/>
      </w:r>
      <w:r w:rsidR="00D61E3A">
        <w:instrText xml:space="preserve"> ADDIN ZOTERO_ITEM CSL_CITATION {"citationID":"ZaZWFOxv","properties":{"formattedCitation":"\\super 14\\nosupersub{}","plainCitation":"14","noteIndex":0},"citationItems":[{"id":2888,"uris":["http://zotero.org/users/319690/items/4YYXJ6SX"],"itemData":{"id":2888,"type":"article-journal","container-title":"Science","DOI":"10.1126/science.1127344","journalAbbreviation":"Science","page":"1642-1645","title":"Imaging intracellular fluorescent proteins at nanometer resolution","volume":"313","author":[{"family":"Betzig","given":"Eric"},{"family":"Patterson","given":"George H."},{"family":"Sougrat","given":"Rachid"},{"family":"Lindwasser","given":"Otto W."},{"family":"Olenych","given":"Scott"},{"family":"Bonifacino","given":"Juan S."},{"family":"Davidson","given":"Michael W."},{"family":"Lippincott-Schwartz","given":"Jennifer"},{"family":"Hess","given":"Harald F."}],"issued":{"date-parts":[["2006"]]}}}],"schema":"https://github.com/citation-style-language/schema/raw/master/csl-citation.json"} </w:instrText>
      </w:r>
      <w:r w:rsidR="00A32A32">
        <w:fldChar w:fldCharType="separate"/>
      </w:r>
      <w:r w:rsidR="00D61E3A" w:rsidRPr="00D61E3A">
        <w:rPr>
          <w:rFonts w:ascii="Aptos" w:hAnsi="Aptos" w:cs="Times New Roman"/>
          <w:kern w:val="0"/>
          <w:vertAlign w:val="superscript"/>
        </w:rPr>
        <w:t>14</w:t>
      </w:r>
      <w:r w:rsidR="00A32A32">
        <w:fldChar w:fldCharType="end"/>
      </w:r>
      <w:r w:rsidR="00A32A32">
        <w:t xml:space="preserve"> </w:t>
      </w:r>
      <w:r w:rsidR="00A32A32" w:rsidRPr="00C679D8">
        <w:t xml:space="preserve">provides </w:t>
      </w:r>
      <w:r w:rsidR="00D97207">
        <w:t>resolution</w:t>
      </w:r>
      <w:r w:rsidR="00D97207" w:rsidRPr="00C679D8">
        <w:t xml:space="preserve"> </w:t>
      </w:r>
      <w:r w:rsidR="00A32A32" w:rsidRPr="00C679D8">
        <w:t xml:space="preserve">and </w:t>
      </w:r>
      <w:r w:rsidR="00156207">
        <w:t>longitudinal access</w:t>
      </w:r>
      <w:r w:rsidR="00A32A32" w:rsidRPr="00C679D8">
        <w:t xml:space="preserve"> but cannot be </w:t>
      </w:r>
      <w:r w:rsidR="3A50D2F4" w:rsidRPr="00C679D8">
        <w:t>easily</w:t>
      </w:r>
      <w:r w:rsidR="00A32A32" w:rsidRPr="00C679D8">
        <w:t xml:space="preserve"> applied </w:t>
      </w:r>
      <w:r w:rsidR="00A32A32" w:rsidRPr="00C679D8">
        <w:rPr>
          <w:i/>
          <w:iCs/>
        </w:rPr>
        <w:t>in vivo</w:t>
      </w:r>
      <w:r w:rsidR="00A32A32" w:rsidRPr="00C679D8">
        <w:t xml:space="preserve"> </w:t>
      </w:r>
      <w:r w:rsidR="42985522" w:rsidRPr="00C679D8">
        <w:t xml:space="preserve">in a repetitive manner </w:t>
      </w:r>
      <w:r w:rsidR="00A32A32" w:rsidRPr="00C679D8">
        <w:t>because its reliance on prolonged camera-based acquisitions of isolated emitters breaks down in scattering, moving tissue. </w:t>
      </w:r>
    </w:p>
    <w:tbl>
      <w:tblPr>
        <w:tblStyle w:val="PlainTable1"/>
        <w:tblW w:w="9572" w:type="dxa"/>
        <w:tblLook w:val="04A0" w:firstRow="1" w:lastRow="0" w:firstColumn="1" w:lastColumn="0" w:noHBand="0" w:noVBand="1"/>
      </w:tblPr>
      <w:tblGrid>
        <w:gridCol w:w="3523"/>
        <w:gridCol w:w="1869"/>
        <w:gridCol w:w="1748"/>
        <w:gridCol w:w="2432"/>
      </w:tblGrid>
      <w:tr w:rsidR="005E2AAD" w:rsidRPr="008C1C39" w14:paraId="551F1C65" w14:textId="77777777" w:rsidTr="005E2A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vAlign w:val="center"/>
            <w:hideMark/>
          </w:tcPr>
          <w:p w14:paraId="7A67A4AF" w14:textId="1D92E932" w:rsidR="00693F38" w:rsidRPr="008C1C39" w:rsidRDefault="00693F38" w:rsidP="001122BE">
            <w:pPr>
              <w:jc w:val="center"/>
              <w:rPr>
                <w:sz w:val="21"/>
                <w:szCs w:val="21"/>
              </w:rPr>
            </w:pPr>
            <w:r w:rsidRPr="008C1C39">
              <w:rPr>
                <w:sz w:val="21"/>
                <w:szCs w:val="21"/>
              </w:rPr>
              <w:t>Method</w:t>
            </w:r>
          </w:p>
        </w:tc>
        <w:tc>
          <w:tcPr>
            <w:tcW w:w="1869" w:type="dxa"/>
            <w:vAlign w:val="center"/>
            <w:hideMark/>
          </w:tcPr>
          <w:p w14:paraId="7525C95A" w14:textId="2D572F2F" w:rsidR="00693F38" w:rsidRPr="008C1C39" w:rsidRDefault="006662E0" w:rsidP="001122BE">
            <w:pPr>
              <w:jc w:val="center"/>
              <w:cnfStyle w:val="100000000000" w:firstRow="1" w:lastRow="0" w:firstColumn="0" w:lastColumn="0" w:oddVBand="0" w:evenVBand="0" w:oddHBand="0" w:evenHBand="0" w:firstRowFirstColumn="0" w:firstRowLastColumn="0" w:lastRowFirstColumn="0" w:lastRowLastColumn="0"/>
              <w:rPr>
                <w:sz w:val="21"/>
                <w:szCs w:val="21"/>
              </w:rPr>
            </w:pPr>
            <w:r w:rsidRPr="008C1C39">
              <w:rPr>
                <w:sz w:val="21"/>
                <w:szCs w:val="21"/>
              </w:rPr>
              <w:t xml:space="preserve">Spatial </w:t>
            </w:r>
            <w:r w:rsidR="00693F38" w:rsidRPr="008C1C39">
              <w:rPr>
                <w:sz w:val="21"/>
                <w:szCs w:val="21"/>
              </w:rPr>
              <w:t>Resolution</w:t>
            </w:r>
          </w:p>
        </w:tc>
        <w:tc>
          <w:tcPr>
            <w:tcW w:w="1748" w:type="dxa"/>
            <w:vAlign w:val="center"/>
            <w:hideMark/>
          </w:tcPr>
          <w:p w14:paraId="45AA8498" w14:textId="1DECF763" w:rsidR="00693F38" w:rsidRPr="008C1C39" w:rsidRDefault="00693F38" w:rsidP="001122BE">
            <w:pPr>
              <w:jc w:val="center"/>
              <w:cnfStyle w:val="100000000000" w:firstRow="1" w:lastRow="0" w:firstColumn="0" w:lastColumn="0" w:oddVBand="0" w:evenVBand="0" w:oddHBand="0" w:evenHBand="0" w:firstRowFirstColumn="0" w:firstRowLastColumn="0" w:lastRowFirstColumn="0" w:lastRowLastColumn="0"/>
              <w:rPr>
                <w:sz w:val="21"/>
                <w:szCs w:val="21"/>
              </w:rPr>
            </w:pPr>
            <w:r w:rsidRPr="008C1C39">
              <w:rPr>
                <w:sz w:val="21"/>
                <w:szCs w:val="21"/>
              </w:rPr>
              <w:t>Longitudinal access</w:t>
            </w:r>
          </w:p>
        </w:tc>
        <w:tc>
          <w:tcPr>
            <w:tcW w:w="2432" w:type="dxa"/>
            <w:vAlign w:val="center"/>
            <w:hideMark/>
          </w:tcPr>
          <w:p w14:paraId="39ADA1A5" w14:textId="40CE5BAA" w:rsidR="00693F38" w:rsidRPr="008C1C39" w:rsidRDefault="00693F38" w:rsidP="001122BE">
            <w:pPr>
              <w:jc w:val="center"/>
              <w:cnfStyle w:val="100000000000" w:firstRow="1" w:lastRow="0" w:firstColumn="0" w:lastColumn="0" w:oddVBand="0" w:evenVBand="0" w:oddHBand="0" w:evenHBand="0" w:firstRowFirstColumn="0" w:firstRowLastColumn="0" w:lastRowFirstColumn="0" w:lastRowLastColumn="0"/>
              <w:rPr>
                <w:sz w:val="21"/>
                <w:szCs w:val="21"/>
              </w:rPr>
            </w:pPr>
            <w:r w:rsidRPr="008C1C39">
              <w:rPr>
                <w:i/>
                <w:iCs/>
                <w:sz w:val="21"/>
                <w:szCs w:val="21"/>
              </w:rPr>
              <w:t xml:space="preserve">in vivo </w:t>
            </w:r>
            <w:r w:rsidRPr="008C1C39">
              <w:rPr>
                <w:sz w:val="21"/>
                <w:szCs w:val="21"/>
              </w:rPr>
              <w:t>compatibility</w:t>
            </w:r>
          </w:p>
        </w:tc>
      </w:tr>
      <w:tr w:rsidR="005E2AAD" w:rsidRPr="008C1C39" w14:paraId="014BE0D0" w14:textId="77777777" w:rsidTr="005E2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vAlign w:val="center"/>
            <w:hideMark/>
          </w:tcPr>
          <w:p w14:paraId="25912649" w14:textId="1AF63FFF" w:rsidR="00693F38" w:rsidRPr="008C1C39" w:rsidRDefault="00693F38" w:rsidP="001122BE">
            <w:pPr>
              <w:jc w:val="left"/>
              <w:rPr>
                <w:b w:val="0"/>
                <w:bCs w:val="0"/>
                <w:sz w:val="21"/>
                <w:szCs w:val="21"/>
              </w:rPr>
            </w:pPr>
            <w:r w:rsidRPr="008C1C39">
              <w:rPr>
                <w:b w:val="0"/>
                <w:bCs w:val="0"/>
                <w:sz w:val="21"/>
                <w:szCs w:val="21"/>
              </w:rPr>
              <w:t>Two-photon microscopy</w:t>
            </w:r>
          </w:p>
        </w:tc>
        <w:tc>
          <w:tcPr>
            <w:tcW w:w="1869" w:type="dxa"/>
            <w:vAlign w:val="center"/>
            <w:hideMark/>
          </w:tcPr>
          <w:p w14:paraId="4C767EF5" w14:textId="59C363D6" w:rsidR="00693F38" w:rsidRPr="008C1C39" w:rsidRDefault="007C4CA3" w:rsidP="001122BE">
            <w:pPr>
              <w:jc w:val="center"/>
              <w:cnfStyle w:val="000000100000" w:firstRow="0" w:lastRow="0" w:firstColumn="0" w:lastColumn="0" w:oddVBand="0" w:evenVBand="0" w:oddHBand="1" w:evenHBand="0" w:firstRowFirstColumn="0" w:firstRowLastColumn="0" w:lastRowFirstColumn="0" w:lastRowLastColumn="0"/>
              <w:rPr>
                <w:i/>
                <w:iCs/>
                <w:sz w:val="21"/>
                <w:szCs w:val="21"/>
              </w:rPr>
            </w:pPr>
            <w:r w:rsidRPr="008C1C39">
              <w:rPr>
                <w:i/>
                <w:iCs/>
                <w:sz w:val="21"/>
                <w:szCs w:val="21"/>
              </w:rPr>
              <w:t xml:space="preserve">Insufficient </w:t>
            </w:r>
          </w:p>
        </w:tc>
        <w:tc>
          <w:tcPr>
            <w:tcW w:w="1748" w:type="dxa"/>
            <w:vAlign w:val="center"/>
            <w:hideMark/>
          </w:tcPr>
          <w:p w14:paraId="78F15EEF" w14:textId="77777777" w:rsidR="00693F38" w:rsidRPr="008C1C39" w:rsidRDefault="00693F38" w:rsidP="001122BE">
            <w:pPr>
              <w:jc w:val="center"/>
              <w:cnfStyle w:val="000000100000" w:firstRow="0" w:lastRow="0" w:firstColumn="0" w:lastColumn="0" w:oddVBand="0" w:evenVBand="0" w:oddHBand="1" w:evenHBand="0" w:firstRowFirstColumn="0" w:firstRowLastColumn="0" w:lastRowFirstColumn="0" w:lastRowLastColumn="0"/>
              <w:rPr>
                <w:sz w:val="21"/>
                <w:szCs w:val="21"/>
              </w:rPr>
            </w:pPr>
            <w:r w:rsidRPr="008C1C39">
              <w:rPr>
                <w:sz w:val="21"/>
                <w:szCs w:val="21"/>
              </w:rPr>
              <w:t>Yes</w:t>
            </w:r>
          </w:p>
        </w:tc>
        <w:tc>
          <w:tcPr>
            <w:tcW w:w="2432" w:type="dxa"/>
            <w:vAlign w:val="center"/>
            <w:hideMark/>
          </w:tcPr>
          <w:p w14:paraId="5ED3E02C" w14:textId="302C40C6" w:rsidR="00693F38" w:rsidRPr="008C1C39" w:rsidRDefault="00693F38" w:rsidP="001122BE">
            <w:pPr>
              <w:jc w:val="center"/>
              <w:cnfStyle w:val="000000100000" w:firstRow="0" w:lastRow="0" w:firstColumn="0" w:lastColumn="0" w:oddVBand="0" w:evenVBand="0" w:oddHBand="1" w:evenHBand="0" w:firstRowFirstColumn="0" w:firstRowLastColumn="0" w:lastRowFirstColumn="0" w:lastRowLastColumn="0"/>
              <w:rPr>
                <w:sz w:val="21"/>
                <w:szCs w:val="21"/>
              </w:rPr>
            </w:pPr>
            <w:r w:rsidRPr="008C1C39">
              <w:rPr>
                <w:sz w:val="21"/>
                <w:szCs w:val="21"/>
              </w:rPr>
              <w:t>Yes</w:t>
            </w:r>
          </w:p>
        </w:tc>
      </w:tr>
      <w:tr w:rsidR="005E2AAD" w:rsidRPr="008C1C39" w14:paraId="6707B7E7" w14:textId="77777777" w:rsidTr="005E2AAD">
        <w:tc>
          <w:tcPr>
            <w:cnfStyle w:val="001000000000" w:firstRow="0" w:lastRow="0" w:firstColumn="1" w:lastColumn="0" w:oddVBand="0" w:evenVBand="0" w:oddHBand="0" w:evenHBand="0" w:firstRowFirstColumn="0" w:firstRowLastColumn="0" w:lastRowFirstColumn="0" w:lastRowLastColumn="0"/>
            <w:tcW w:w="3523" w:type="dxa"/>
            <w:vAlign w:val="center"/>
            <w:hideMark/>
          </w:tcPr>
          <w:p w14:paraId="56FC4375" w14:textId="2A1F97B2" w:rsidR="00693F38" w:rsidRPr="008C1C39" w:rsidRDefault="00285BE4" w:rsidP="001122BE">
            <w:pPr>
              <w:jc w:val="left"/>
              <w:rPr>
                <w:b w:val="0"/>
                <w:bCs w:val="0"/>
                <w:sz w:val="21"/>
                <w:szCs w:val="21"/>
              </w:rPr>
            </w:pPr>
            <w:r w:rsidRPr="008C1C39">
              <w:rPr>
                <w:b w:val="0"/>
                <w:bCs w:val="0"/>
                <w:sz w:val="21"/>
                <w:szCs w:val="21"/>
              </w:rPr>
              <w:t>Fixation-based methods</w:t>
            </w:r>
          </w:p>
        </w:tc>
        <w:tc>
          <w:tcPr>
            <w:tcW w:w="1869" w:type="dxa"/>
            <w:vAlign w:val="center"/>
            <w:hideMark/>
          </w:tcPr>
          <w:p w14:paraId="26B4CCAD" w14:textId="2DE90294" w:rsidR="00693F38" w:rsidRPr="008C1C39" w:rsidRDefault="00AA0A83" w:rsidP="001122BE">
            <w:pPr>
              <w:jc w:val="center"/>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S</w:t>
            </w:r>
            <w:r w:rsidR="007C4CA3" w:rsidRPr="008C1C39">
              <w:rPr>
                <w:sz w:val="21"/>
                <w:szCs w:val="21"/>
              </w:rPr>
              <w:t>ufficient</w:t>
            </w:r>
          </w:p>
        </w:tc>
        <w:tc>
          <w:tcPr>
            <w:tcW w:w="1748" w:type="dxa"/>
            <w:vAlign w:val="center"/>
            <w:hideMark/>
          </w:tcPr>
          <w:p w14:paraId="011CE0BE" w14:textId="77777777" w:rsidR="00693F38" w:rsidRPr="008C1C39" w:rsidRDefault="00693F38" w:rsidP="001122BE">
            <w:pPr>
              <w:jc w:val="center"/>
              <w:cnfStyle w:val="000000000000" w:firstRow="0" w:lastRow="0" w:firstColumn="0" w:lastColumn="0" w:oddVBand="0" w:evenVBand="0" w:oddHBand="0" w:evenHBand="0" w:firstRowFirstColumn="0" w:firstRowLastColumn="0" w:lastRowFirstColumn="0" w:lastRowLastColumn="0"/>
              <w:rPr>
                <w:i/>
                <w:iCs/>
                <w:sz w:val="21"/>
                <w:szCs w:val="21"/>
              </w:rPr>
            </w:pPr>
            <w:r w:rsidRPr="008C1C39">
              <w:rPr>
                <w:i/>
                <w:iCs/>
                <w:sz w:val="21"/>
                <w:szCs w:val="21"/>
              </w:rPr>
              <w:t>No</w:t>
            </w:r>
          </w:p>
        </w:tc>
        <w:tc>
          <w:tcPr>
            <w:tcW w:w="2432" w:type="dxa"/>
            <w:vAlign w:val="center"/>
            <w:hideMark/>
          </w:tcPr>
          <w:p w14:paraId="4BE68EF9" w14:textId="5829CAF4" w:rsidR="00693F38" w:rsidRPr="008C1C39" w:rsidRDefault="00693F38" w:rsidP="001122BE">
            <w:pPr>
              <w:jc w:val="center"/>
              <w:cnfStyle w:val="000000000000" w:firstRow="0" w:lastRow="0" w:firstColumn="0" w:lastColumn="0" w:oddVBand="0" w:evenVBand="0" w:oddHBand="0" w:evenHBand="0" w:firstRowFirstColumn="0" w:firstRowLastColumn="0" w:lastRowFirstColumn="0" w:lastRowLastColumn="0"/>
              <w:rPr>
                <w:i/>
                <w:iCs/>
                <w:sz w:val="21"/>
                <w:szCs w:val="21"/>
              </w:rPr>
            </w:pPr>
            <w:r w:rsidRPr="008C1C39">
              <w:rPr>
                <w:i/>
                <w:iCs/>
                <w:sz w:val="21"/>
                <w:szCs w:val="21"/>
              </w:rPr>
              <w:t>No</w:t>
            </w:r>
          </w:p>
        </w:tc>
      </w:tr>
      <w:tr w:rsidR="005E2AAD" w:rsidRPr="008C1C39" w14:paraId="39CC3D4D" w14:textId="77777777" w:rsidTr="005E2A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3" w:type="dxa"/>
            <w:vAlign w:val="center"/>
            <w:hideMark/>
          </w:tcPr>
          <w:p w14:paraId="2E270F3B" w14:textId="77777777" w:rsidR="00693F38" w:rsidRPr="008C1C39" w:rsidRDefault="00693F38" w:rsidP="001122BE">
            <w:pPr>
              <w:jc w:val="left"/>
              <w:rPr>
                <w:b w:val="0"/>
                <w:bCs w:val="0"/>
                <w:sz w:val="21"/>
                <w:szCs w:val="21"/>
              </w:rPr>
            </w:pPr>
            <w:r w:rsidRPr="008C1C39">
              <w:rPr>
                <w:b w:val="0"/>
                <w:bCs w:val="0"/>
                <w:sz w:val="21"/>
                <w:szCs w:val="21"/>
              </w:rPr>
              <w:t>SMLM: Single-molecule localization microscopy</w:t>
            </w:r>
          </w:p>
        </w:tc>
        <w:tc>
          <w:tcPr>
            <w:tcW w:w="1869" w:type="dxa"/>
            <w:vAlign w:val="center"/>
            <w:hideMark/>
          </w:tcPr>
          <w:p w14:paraId="2B801D02" w14:textId="3A8DA665" w:rsidR="00693F38" w:rsidRPr="008C1C39" w:rsidRDefault="00AA0A83" w:rsidP="001122BE">
            <w:pPr>
              <w:jc w:val="center"/>
              <w:cnfStyle w:val="000000100000" w:firstRow="0" w:lastRow="0" w:firstColumn="0" w:lastColumn="0" w:oddVBand="0" w:evenVBand="0" w:oddHBand="1" w:evenHBand="0" w:firstRowFirstColumn="0" w:firstRowLastColumn="0" w:lastRowFirstColumn="0" w:lastRowLastColumn="0"/>
              <w:rPr>
                <w:sz w:val="21"/>
                <w:szCs w:val="21"/>
              </w:rPr>
            </w:pPr>
            <w:r>
              <w:rPr>
                <w:sz w:val="21"/>
                <w:szCs w:val="21"/>
              </w:rPr>
              <w:t>S</w:t>
            </w:r>
            <w:r w:rsidR="007C4CA3" w:rsidRPr="008C1C39">
              <w:rPr>
                <w:sz w:val="21"/>
                <w:szCs w:val="21"/>
              </w:rPr>
              <w:t xml:space="preserve">ufficient </w:t>
            </w:r>
          </w:p>
        </w:tc>
        <w:tc>
          <w:tcPr>
            <w:tcW w:w="1748" w:type="dxa"/>
            <w:vAlign w:val="center"/>
            <w:hideMark/>
          </w:tcPr>
          <w:p w14:paraId="6CE58FA5" w14:textId="77777777" w:rsidR="00693F38" w:rsidRPr="008C1C39" w:rsidRDefault="00693F38" w:rsidP="001122BE">
            <w:pPr>
              <w:jc w:val="center"/>
              <w:cnfStyle w:val="000000100000" w:firstRow="0" w:lastRow="0" w:firstColumn="0" w:lastColumn="0" w:oddVBand="0" w:evenVBand="0" w:oddHBand="1" w:evenHBand="0" w:firstRowFirstColumn="0" w:firstRowLastColumn="0" w:lastRowFirstColumn="0" w:lastRowLastColumn="0"/>
              <w:rPr>
                <w:sz w:val="21"/>
                <w:szCs w:val="21"/>
              </w:rPr>
            </w:pPr>
            <w:r w:rsidRPr="008C1C39">
              <w:rPr>
                <w:sz w:val="21"/>
                <w:szCs w:val="21"/>
              </w:rPr>
              <w:t>Yes</w:t>
            </w:r>
          </w:p>
        </w:tc>
        <w:tc>
          <w:tcPr>
            <w:tcW w:w="2432" w:type="dxa"/>
            <w:vAlign w:val="center"/>
            <w:hideMark/>
          </w:tcPr>
          <w:p w14:paraId="3DC49671" w14:textId="708B97B7" w:rsidR="00693F38" w:rsidRPr="008C1C39" w:rsidRDefault="00693F38" w:rsidP="001122BE">
            <w:pPr>
              <w:jc w:val="center"/>
              <w:cnfStyle w:val="000000100000" w:firstRow="0" w:lastRow="0" w:firstColumn="0" w:lastColumn="0" w:oddVBand="0" w:evenVBand="0" w:oddHBand="1" w:evenHBand="0" w:firstRowFirstColumn="0" w:firstRowLastColumn="0" w:lastRowFirstColumn="0" w:lastRowLastColumn="0"/>
              <w:rPr>
                <w:i/>
                <w:iCs/>
                <w:sz w:val="21"/>
                <w:szCs w:val="21"/>
              </w:rPr>
            </w:pPr>
            <w:r w:rsidRPr="008C1C39">
              <w:rPr>
                <w:i/>
                <w:iCs/>
                <w:sz w:val="21"/>
                <w:szCs w:val="21"/>
              </w:rPr>
              <w:t>No</w:t>
            </w:r>
          </w:p>
        </w:tc>
      </w:tr>
      <w:tr w:rsidR="005E2AAD" w:rsidRPr="008C1C39" w14:paraId="671B6092" w14:textId="77777777" w:rsidTr="005E2AAD">
        <w:tc>
          <w:tcPr>
            <w:cnfStyle w:val="001000000000" w:firstRow="0" w:lastRow="0" w:firstColumn="1" w:lastColumn="0" w:oddVBand="0" w:evenVBand="0" w:oddHBand="0" w:evenHBand="0" w:firstRowFirstColumn="0" w:firstRowLastColumn="0" w:lastRowFirstColumn="0" w:lastRowLastColumn="0"/>
            <w:tcW w:w="3523" w:type="dxa"/>
            <w:vAlign w:val="center"/>
          </w:tcPr>
          <w:p w14:paraId="42A72D71" w14:textId="65AC4BFC" w:rsidR="00693F38" w:rsidRPr="008C1C39" w:rsidRDefault="00693F38" w:rsidP="00C2683A">
            <w:pPr>
              <w:jc w:val="left"/>
              <w:rPr>
                <w:sz w:val="21"/>
                <w:szCs w:val="21"/>
              </w:rPr>
            </w:pPr>
            <w:r w:rsidRPr="008C1C39">
              <w:rPr>
                <w:sz w:val="21"/>
                <w:szCs w:val="21"/>
              </w:rPr>
              <w:t xml:space="preserve">PRISM: Precise &amp; Repeated </w:t>
            </w:r>
            <w:r w:rsidRPr="008C1C39">
              <w:rPr>
                <w:i/>
                <w:iCs/>
                <w:sz w:val="21"/>
                <w:szCs w:val="21"/>
              </w:rPr>
              <w:t>In vivo</w:t>
            </w:r>
            <w:r w:rsidRPr="008C1C39">
              <w:rPr>
                <w:sz w:val="21"/>
                <w:szCs w:val="21"/>
              </w:rPr>
              <w:t xml:space="preserve"> Subcellular Microscopy</w:t>
            </w:r>
          </w:p>
        </w:tc>
        <w:tc>
          <w:tcPr>
            <w:tcW w:w="1869" w:type="dxa"/>
            <w:vAlign w:val="center"/>
          </w:tcPr>
          <w:p w14:paraId="22871A53" w14:textId="018D5FB0" w:rsidR="00693F38" w:rsidRPr="008C1C39" w:rsidRDefault="00AA0A83" w:rsidP="00C2683A">
            <w:pPr>
              <w:jc w:val="center"/>
              <w:cnfStyle w:val="000000000000" w:firstRow="0" w:lastRow="0" w:firstColumn="0" w:lastColumn="0" w:oddVBand="0" w:evenVBand="0" w:oddHBand="0" w:evenHBand="0" w:firstRowFirstColumn="0" w:firstRowLastColumn="0" w:lastRowFirstColumn="0" w:lastRowLastColumn="0"/>
              <w:rPr>
                <w:b/>
                <w:bCs/>
                <w:sz w:val="21"/>
                <w:szCs w:val="21"/>
              </w:rPr>
            </w:pPr>
            <w:r>
              <w:rPr>
                <w:b/>
                <w:bCs/>
                <w:sz w:val="21"/>
                <w:szCs w:val="21"/>
              </w:rPr>
              <w:t>S</w:t>
            </w:r>
            <w:r w:rsidR="007C4CA3" w:rsidRPr="008C1C39">
              <w:rPr>
                <w:b/>
                <w:bCs/>
                <w:sz w:val="21"/>
                <w:szCs w:val="21"/>
              </w:rPr>
              <w:t>ufficient</w:t>
            </w:r>
          </w:p>
        </w:tc>
        <w:tc>
          <w:tcPr>
            <w:tcW w:w="1748" w:type="dxa"/>
            <w:vAlign w:val="center"/>
          </w:tcPr>
          <w:p w14:paraId="3409A690" w14:textId="011B7DF8" w:rsidR="00693F38" w:rsidRPr="008C1C39" w:rsidRDefault="00693F38" w:rsidP="00C2683A">
            <w:pPr>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8C1C39">
              <w:rPr>
                <w:b/>
                <w:bCs/>
                <w:sz w:val="21"/>
                <w:szCs w:val="21"/>
              </w:rPr>
              <w:t>Yes</w:t>
            </w:r>
          </w:p>
        </w:tc>
        <w:tc>
          <w:tcPr>
            <w:tcW w:w="2432" w:type="dxa"/>
            <w:vAlign w:val="center"/>
          </w:tcPr>
          <w:p w14:paraId="7147B5EE" w14:textId="31BB274C" w:rsidR="00693F38" w:rsidRPr="008C1C39" w:rsidRDefault="00693F38" w:rsidP="00C2683A">
            <w:pPr>
              <w:jc w:val="center"/>
              <w:cnfStyle w:val="000000000000" w:firstRow="0" w:lastRow="0" w:firstColumn="0" w:lastColumn="0" w:oddVBand="0" w:evenVBand="0" w:oddHBand="0" w:evenHBand="0" w:firstRowFirstColumn="0" w:firstRowLastColumn="0" w:lastRowFirstColumn="0" w:lastRowLastColumn="0"/>
              <w:rPr>
                <w:b/>
                <w:bCs/>
                <w:sz w:val="21"/>
                <w:szCs w:val="21"/>
              </w:rPr>
            </w:pPr>
            <w:r w:rsidRPr="008C1C39">
              <w:rPr>
                <w:b/>
                <w:bCs/>
                <w:sz w:val="21"/>
                <w:szCs w:val="21"/>
              </w:rPr>
              <w:t>Yes</w:t>
            </w:r>
          </w:p>
        </w:tc>
      </w:tr>
    </w:tbl>
    <w:p w14:paraId="3356EDB2" w14:textId="7FF7C237" w:rsidR="008D655F" w:rsidRPr="008C1C39" w:rsidRDefault="00A32A32" w:rsidP="0075060E">
      <w:pPr>
        <w:rPr>
          <w:b/>
          <w:bCs/>
          <w:sz w:val="21"/>
          <w:szCs w:val="21"/>
        </w:rPr>
      </w:pPr>
      <w:r w:rsidRPr="008C1C39">
        <w:rPr>
          <w:b/>
          <w:bCs/>
          <w:sz w:val="21"/>
          <w:szCs w:val="21"/>
        </w:rPr>
        <w:t>Table 1. Comparison of imaging approaches across the three requirements.</w:t>
      </w:r>
    </w:p>
    <w:p w14:paraId="52B58D96" w14:textId="3C3CE643" w:rsidR="008C1C39" w:rsidRDefault="001A0362" w:rsidP="008C1C39">
      <w:r w:rsidRPr="001A0362">
        <w:rPr>
          <w:b/>
          <w:bCs/>
        </w:rPr>
        <w:t xml:space="preserve">This gap is </w:t>
      </w:r>
      <w:r w:rsidR="79A74020" w:rsidRPr="6CC3CC6F">
        <w:rPr>
          <w:b/>
          <w:bCs/>
        </w:rPr>
        <w:t>technical</w:t>
      </w:r>
      <w:r w:rsidRPr="001A0362">
        <w:rPr>
          <w:b/>
          <w:bCs/>
        </w:rPr>
        <w:t>, not conceptual</w:t>
      </w:r>
      <w:r w:rsidR="00A32A32" w:rsidRPr="00C679D8">
        <w:rPr>
          <w:b/>
          <w:bCs/>
        </w:rPr>
        <w:t>.</w:t>
      </w:r>
      <w:r w:rsidR="00A32A32" w:rsidRPr="00C679D8">
        <w:t xml:space="preserve"> In living tissue, scattering, motion, and background heterogeneity act together on fluorescence signals as they are generated, collected, and interpreted. Because these constraints shape all three aspects simultaneously, achieving molecularly interpretable measurements </w:t>
      </w:r>
      <w:r w:rsidR="00A32A32" w:rsidRPr="00C679D8">
        <w:rPr>
          <w:i/>
          <w:iCs/>
        </w:rPr>
        <w:t>in vivo</w:t>
      </w:r>
      <w:r w:rsidR="00A32A32" w:rsidRPr="00C679D8">
        <w:t xml:space="preserve"> requires that signal generation, signal collection, and quantitative interpretation be addressed as a coupled problem rather than independently. Meeting this requirement motivates </w:t>
      </w:r>
      <w:r w:rsidR="00A32A32" w:rsidRPr="00C679D8">
        <w:rPr>
          <w:b/>
          <w:bCs/>
        </w:rPr>
        <w:t xml:space="preserve">PRISM (Precise &amp; Repeated </w:t>
      </w:r>
      <w:r w:rsidR="00A32A32" w:rsidRPr="00C86137">
        <w:rPr>
          <w:b/>
          <w:bCs/>
          <w:i/>
          <w:iCs/>
        </w:rPr>
        <w:t>In vivo</w:t>
      </w:r>
      <w:r w:rsidR="00A32A32" w:rsidRPr="00C679D8">
        <w:rPr>
          <w:b/>
          <w:bCs/>
        </w:rPr>
        <w:t xml:space="preserve"> Subcellular Microscopy),</w:t>
      </w:r>
      <w:r w:rsidR="00A32A32" w:rsidRPr="00C679D8">
        <w:t xml:space="preserve"> an integrated platform</w:t>
      </w:r>
      <w:r w:rsidR="00CA7310" w:rsidRPr="00CA7310">
        <w:t xml:space="preserve"> </w:t>
      </w:r>
      <w:r w:rsidR="00CA7310">
        <w:t>I have</w:t>
      </w:r>
      <w:r w:rsidR="00A32A32" w:rsidRPr="00C679D8">
        <w:t xml:space="preserve"> designed to achieve molecular sensitivity, repeated measurement, and </w:t>
      </w:r>
      <w:r w:rsidR="00A32A32" w:rsidRPr="00C86137">
        <w:rPr>
          <w:i/>
          <w:iCs/>
        </w:rPr>
        <w:t>in vivo</w:t>
      </w:r>
      <w:r w:rsidR="00A32A32" w:rsidRPr="00C679D8">
        <w:t xml:space="preserve"> compatibility simultaneously. </w:t>
      </w:r>
      <w:r w:rsidR="006E66C3">
        <w:t xml:space="preserve">PRISM organizes solutions to signal generation, collection, and interpretation into three interdependent components—HaloTag-based labeling of endogenous </w:t>
      </w:r>
      <w:r w:rsidR="006E66C3">
        <w:lastRenderedPageBreak/>
        <w:t xml:space="preserve">proteins, fast two-photon microscopy with online motion correction, and quantification anchored by in-sample molecular standards. Together, these components enable precise, repeated molecular measurement </w:t>
      </w:r>
      <w:r w:rsidR="006E66C3" w:rsidRPr="003E48E5">
        <w:rPr>
          <w:i/>
          <w:iCs/>
        </w:rPr>
        <w:t xml:space="preserve">in vivo </w:t>
      </w:r>
      <w:r w:rsidR="006E66C3">
        <w:t>(Table 2; Figure 1).</w:t>
      </w:r>
      <w:r w:rsidR="00BC61EF">
        <w:t xml:space="preserve"> </w:t>
      </w:r>
    </w:p>
    <w:tbl>
      <w:tblPr>
        <w:tblStyle w:val="PlainTable1"/>
        <w:tblW w:w="9805" w:type="dxa"/>
        <w:tblLook w:val="0420" w:firstRow="1" w:lastRow="0" w:firstColumn="0" w:lastColumn="0" w:noHBand="0" w:noVBand="1"/>
      </w:tblPr>
      <w:tblGrid>
        <w:gridCol w:w="555"/>
        <w:gridCol w:w="3106"/>
        <w:gridCol w:w="6144"/>
      </w:tblGrid>
      <w:tr w:rsidR="003E48E5" w:rsidRPr="00C679D8" w14:paraId="6E904B96" w14:textId="77777777" w:rsidTr="003E48E5">
        <w:trPr>
          <w:cnfStyle w:val="100000000000" w:firstRow="1" w:lastRow="0" w:firstColumn="0" w:lastColumn="0" w:oddVBand="0" w:evenVBand="0" w:oddHBand="0" w:evenHBand="0" w:firstRowFirstColumn="0" w:firstRowLastColumn="0" w:lastRowFirstColumn="0" w:lastRowLastColumn="0"/>
        </w:trPr>
        <w:tc>
          <w:tcPr>
            <w:tcW w:w="555" w:type="dxa"/>
            <w:vAlign w:val="center"/>
          </w:tcPr>
          <w:p w14:paraId="38EED54E" w14:textId="208C2948" w:rsidR="00A32A32" w:rsidRPr="008C1C39" w:rsidRDefault="00FA1628" w:rsidP="00FA1628">
            <w:pPr>
              <w:jc w:val="center"/>
              <w:rPr>
                <w:sz w:val="20"/>
                <w:szCs w:val="20"/>
              </w:rPr>
            </w:pPr>
            <w:r w:rsidRPr="008C1C39">
              <w:rPr>
                <w:sz w:val="20"/>
                <w:szCs w:val="20"/>
              </w:rPr>
              <w:t>#</w:t>
            </w:r>
          </w:p>
        </w:tc>
        <w:tc>
          <w:tcPr>
            <w:tcW w:w="3106" w:type="dxa"/>
            <w:hideMark/>
          </w:tcPr>
          <w:p w14:paraId="3D79F691" w14:textId="77777777" w:rsidR="00A32A32" w:rsidRPr="008C1C39" w:rsidRDefault="00A32A32" w:rsidP="001122BE">
            <w:pPr>
              <w:rPr>
                <w:sz w:val="20"/>
                <w:szCs w:val="20"/>
              </w:rPr>
            </w:pPr>
            <w:r w:rsidRPr="008C1C39">
              <w:rPr>
                <w:sz w:val="20"/>
                <w:szCs w:val="20"/>
              </w:rPr>
              <w:t>Innovation</w:t>
            </w:r>
          </w:p>
        </w:tc>
        <w:tc>
          <w:tcPr>
            <w:tcW w:w="6144" w:type="dxa"/>
            <w:hideMark/>
          </w:tcPr>
          <w:p w14:paraId="0AF4DB5E" w14:textId="77777777" w:rsidR="00A32A32" w:rsidRPr="008C1C39" w:rsidRDefault="00A32A32" w:rsidP="001122BE">
            <w:pPr>
              <w:rPr>
                <w:sz w:val="20"/>
                <w:szCs w:val="20"/>
              </w:rPr>
            </w:pPr>
            <w:r w:rsidRPr="008C1C39">
              <w:rPr>
                <w:sz w:val="20"/>
                <w:szCs w:val="20"/>
              </w:rPr>
              <w:t>What it enables</w:t>
            </w:r>
          </w:p>
        </w:tc>
      </w:tr>
      <w:tr w:rsidR="003E48E5" w:rsidRPr="00C679D8" w14:paraId="5A82A71E" w14:textId="77777777" w:rsidTr="003E48E5">
        <w:trPr>
          <w:cnfStyle w:val="000000100000" w:firstRow="0" w:lastRow="0" w:firstColumn="0" w:lastColumn="0" w:oddVBand="0" w:evenVBand="0" w:oddHBand="1" w:evenHBand="0" w:firstRowFirstColumn="0" w:firstRowLastColumn="0" w:lastRowFirstColumn="0" w:lastRowLastColumn="0"/>
        </w:trPr>
        <w:tc>
          <w:tcPr>
            <w:tcW w:w="555" w:type="dxa"/>
            <w:vAlign w:val="center"/>
          </w:tcPr>
          <w:p w14:paraId="30B09A4D" w14:textId="6A3A83DC" w:rsidR="00A32A32" w:rsidRPr="008C1C39" w:rsidRDefault="00A32A32" w:rsidP="001122BE">
            <w:pPr>
              <w:jc w:val="center"/>
              <w:rPr>
                <w:sz w:val="20"/>
                <w:szCs w:val="20"/>
              </w:rPr>
            </w:pPr>
            <w:r w:rsidRPr="008C1C39">
              <w:rPr>
                <w:sz w:val="20"/>
                <w:szCs w:val="20"/>
              </w:rPr>
              <w:t>(</w:t>
            </w:r>
            <w:proofErr w:type="spellStart"/>
            <w:r w:rsidR="00476978" w:rsidRPr="008C1C39">
              <w:rPr>
                <w:sz w:val="20"/>
                <w:szCs w:val="20"/>
              </w:rPr>
              <w:t>i</w:t>
            </w:r>
            <w:proofErr w:type="spellEnd"/>
            <w:r w:rsidRPr="008C1C39">
              <w:rPr>
                <w:sz w:val="20"/>
                <w:szCs w:val="20"/>
              </w:rPr>
              <w:t>)</w:t>
            </w:r>
          </w:p>
        </w:tc>
        <w:tc>
          <w:tcPr>
            <w:tcW w:w="3106" w:type="dxa"/>
            <w:vAlign w:val="center"/>
            <w:hideMark/>
          </w:tcPr>
          <w:p w14:paraId="021C4987" w14:textId="77777777" w:rsidR="00A32A32" w:rsidRPr="008C1C39" w:rsidRDefault="00A32A32" w:rsidP="001122BE">
            <w:pPr>
              <w:jc w:val="left"/>
              <w:rPr>
                <w:sz w:val="20"/>
                <w:szCs w:val="20"/>
              </w:rPr>
            </w:pPr>
            <w:r w:rsidRPr="008C1C39">
              <w:rPr>
                <w:sz w:val="20"/>
                <w:szCs w:val="20"/>
              </w:rPr>
              <w:t>HaloTag knock-in labeling of endogenous proteins</w:t>
            </w:r>
          </w:p>
        </w:tc>
        <w:tc>
          <w:tcPr>
            <w:tcW w:w="6144" w:type="dxa"/>
            <w:vAlign w:val="center"/>
            <w:hideMark/>
          </w:tcPr>
          <w:p w14:paraId="123D7372" w14:textId="77777777" w:rsidR="00A32A32" w:rsidRPr="008C1C39" w:rsidRDefault="00A32A32" w:rsidP="001122BE">
            <w:pPr>
              <w:jc w:val="left"/>
              <w:rPr>
                <w:sz w:val="20"/>
                <w:szCs w:val="20"/>
              </w:rPr>
            </w:pPr>
            <w:r w:rsidRPr="008C1C39">
              <w:rPr>
                <w:sz w:val="20"/>
                <w:szCs w:val="20"/>
              </w:rPr>
              <w:t>Enables fluorescence measurements to be related directly to native protein abundance</w:t>
            </w:r>
          </w:p>
        </w:tc>
      </w:tr>
      <w:tr w:rsidR="003E48E5" w:rsidRPr="00C679D8" w14:paraId="56997E7A" w14:textId="77777777" w:rsidTr="003E48E5">
        <w:tc>
          <w:tcPr>
            <w:tcW w:w="555" w:type="dxa"/>
            <w:vAlign w:val="center"/>
          </w:tcPr>
          <w:p w14:paraId="61521E69" w14:textId="61079090" w:rsidR="00A32A32" w:rsidRPr="008C1C39" w:rsidRDefault="00A32A32" w:rsidP="001122BE">
            <w:pPr>
              <w:jc w:val="center"/>
              <w:rPr>
                <w:sz w:val="20"/>
                <w:szCs w:val="20"/>
              </w:rPr>
            </w:pPr>
            <w:r w:rsidRPr="008C1C39">
              <w:rPr>
                <w:sz w:val="20"/>
                <w:szCs w:val="20"/>
              </w:rPr>
              <w:t>(</w:t>
            </w:r>
            <w:r w:rsidR="00476978" w:rsidRPr="008C1C39">
              <w:rPr>
                <w:sz w:val="20"/>
                <w:szCs w:val="20"/>
              </w:rPr>
              <w:t>ii</w:t>
            </w:r>
            <w:r w:rsidRPr="008C1C39">
              <w:rPr>
                <w:sz w:val="20"/>
                <w:szCs w:val="20"/>
              </w:rPr>
              <w:t>)</w:t>
            </w:r>
          </w:p>
        </w:tc>
        <w:tc>
          <w:tcPr>
            <w:tcW w:w="3106" w:type="dxa"/>
            <w:vAlign w:val="center"/>
            <w:hideMark/>
          </w:tcPr>
          <w:p w14:paraId="26658D4B" w14:textId="77777777" w:rsidR="00A32A32" w:rsidRPr="008C1C39" w:rsidRDefault="00A32A32" w:rsidP="001122BE">
            <w:pPr>
              <w:jc w:val="left"/>
              <w:rPr>
                <w:sz w:val="20"/>
                <w:szCs w:val="20"/>
              </w:rPr>
            </w:pPr>
            <w:r w:rsidRPr="008C1C39">
              <w:rPr>
                <w:sz w:val="20"/>
                <w:szCs w:val="20"/>
              </w:rPr>
              <w:t xml:space="preserve">Photoactivatable HaloTag ligand dyes </w:t>
            </w:r>
            <w:r w:rsidRPr="008C1C39">
              <w:rPr>
                <w:i/>
                <w:iCs/>
                <w:sz w:val="20"/>
                <w:szCs w:val="20"/>
              </w:rPr>
              <w:t>in vivo</w:t>
            </w:r>
          </w:p>
        </w:tc>
        <w:tc>
          <w:tcPr>
            <w:tcW w:w="6144" w:type="dxa"/>
            <w:vAlign w:val="center"/>
            <w:hideMark/>
          </w:tcPr>
          <w:p w14:paraId="20EA4659" w14:textId="77777777" w:rsidR="00A32A32" w:rsidRPr="008C1C39" w:rsidRDefault="00A32A32" w:rsidP="001122BE">
            <w:pPr>
              <w:jc w:val="left"/>
              <w:rPr>
                <w:sz w:val="20"/>
                <w:szCs w:val="20"/>
              </w:rPr>
            </w:pPr>
            <w:r w:rsidRPr="008C1C39">
              <w:rPr>
                <w:sz w:val="20"/>
                <w:szCs w:val="20"/>
              </w:rPr>
              <w:t>Enables controlled emitter activation for molecular counting and quantitative measurements</w:t>
            </w:r>
          </w:p>
        </w:tc>
      </w:tr>
      <w:tr w:rsidR="003E48E5" w:rsidRPr="00C679D8" w14:paraId="2A1E4789" w14:textId="77777777" w:rsidTr="003E48E5">
        <w:trPr>
          <w:cnfStyle w:val="000000100000" w:firstRow="0" w:lastRow="0" w:firstColumn="0" w:lastColumn="0" w:oddVBand="0" w:evenVBand="0" w:oddHBand="1" w:evenHBand="0" w:firstRowFirstColumn="0" w:firstRowLastColumn="0" w:lastRowFirstColumn="0" w:lastRowLastColumn="0"/>
        </w:trPr>
        <w:tc>
          <w:tcPr>
            <w:tcW w:w="555" w:type="dxa"/>
            <w:vAlign w:val="center"/>
          </w:tcPr>
          <w:p w14:paraId="5995E65C" w14:textId="40E192F4" w:rsidR="00A32A32" w:rsidRPr="008C1C39" w:rsidRDefault="00A32A32" w:rsidP="001122BE">
            <w:pPr>
              <w:jc w:val="center"/>
              <w:rPr>
                <w:sz w:val="20"/>
                <w:szCs w:val="20"/>
              </w:rPr>
            </w:pPr>
            <w:r w:rsidRPr="008C1C39">
              <w:rPr>
                <w:sz w:val="20"/>
                <w:szCs w:val="20"/>
              </w:rPr>
              <w:t>(</w:t>
            </w:r>
            <w:r w:rsidR="00476978" w:rsidRPr="008C1C39">
              <w:rPr>
                <w:sz w:val="20"/>
                <w:szCs w:val="20"/>
              </w:rPr>
              <w:t>iii</w:t>
            </w:r>
            <w:r w:rsidRPr="008C1C39">
              <w:rPr>
                <w:sz w:val="20"/>
                <w:szCs w:val="20"/>
              </w:rPr>
              <w:t>)</w:t>
            </w:r>
          </w:p>
        </w:tc>
        <w:tc>
          <w:tcPr>
            <w:tcW w:w="3106" w:type="dxa"/>
            <w:vAlign w:val="center"/>
            <w:hideMark/>
          </w:tcPr>
          <w:p w14:paraId="66B341AB" w14:textId="77777777" w:rsidR="00A32A32" w:rsidRPr="008C1C39" w:rsidRDefault="00A32A32" w:rsidP="001122BE">
            <w:pPr>
              <w:jc w:val="left"/>
              <w:rPr>
                <w:sz w:val="20"/>
                <w:szCs w:val="20"/>
              </w:rPr>
            </w:pPr>
            <w:r w:rsidRPr="008C1C39">
              <w:rPr>
                <w:sz w:val="20"/>
                <w:szCs w:val="20"/>
              </w:rPr>
              <w:t xml:space="preserve">Spontaneously blinking HaloTag ligand dyes </w:t>
            </w:r>
            <w:r w:rsidRPr="008C1C39">
              <w:rPr>
                <w:i/>
                <w:iCs/>
                <w:sz w:val="20"/>
                <w:szCs w:val="20"/>
              </w:rPr>
              <w:t>in vivo</w:t>
            </w:r>
          </w:p>
        </w:tc>
        <w:tc>
          <w:tcPr>
            <w:tcW w:w="6144" w:type="dxa"/>
            <w:vAlign w:val="center"/>
            <w:hideMark/>
          </w:tcPr>
          <w:p w14:paraId="05EB2CB1" w14:textId="77777777" w:rsidR="00A32A32" w:rsidRPr="008C1C39" w:rsidRDefault="00A32A32" w:rsidP="001122BE">
            <w:pPr>
              <w:jc w:val="left"/>
              <w:rPr>
                <w:sz w:val="20"/>
                <w:szCs w:val="20"/>
              </w:rPr>
            </w:pPr>
            <w:r w:rsidRPr="008C1C39">
              <w:rPr>
                <w:sz w:val="20"/>
                <w:szCs w:val="20"/>
              </w:rPr>
              <w:t>Enables fluctuation-based super-resolution imaging</w:t>
            </w:r>
          </w:p>
        </w:tc>
      </w:tr>
      <w:tr w:rsidR="003E48E5" w:rsidRPr="00C679D8" w14:paraId="11E8A99E" w14:textId="77777777" w:rsidTr="003E48E5">
        <w:tc>
          <w:tcPr>
            <w:tcW w:w="555" w:type="dxa"/>
            <w:vAlign w:val="center"/>
          </w:tcPr>
          <w:p w14:paraId="66AB2650" w14:textId="0406015B" w:rsidR="00A32A32" w:rsidRPr="008C1C39" w:rsidRDefault="00A32A32" w:rsidP="001122BE">
            <w:pPr>
              <w:jc w:val="center"/>
              <w:rPr>
                <w:sz w:val="20"/>
                <w:szCs w:val="20"/>
              </w:rPr>
            </w:pPr>
            <w:r w:rsidRPr="008C1C39">
              <w:rPr>
                <w:sz w:val="20"/>
                <w:szCs w:val="20"/>
              </w:rPr>
              <w:t>(</w:t>
            </w:r>
            <w:r w:rsidR="00476978" w:rsidRPr="008C1C39">
              <w:rPr>
                <w:sz w:val="20"/>
                <w:szCs w:val="20"/>
              </w:rPr>
              <w:t>iv</w:t>
            </w:r>
            <w:r w:rsidRPr="008C1C39">
              <w:rPr>
                <w:sz w:val="20"/>
                <w:szCs w:val="20"/>
              </w:rPr>
              <w:t>)</w:t>
            </w:r>
          </w:p>
        </w:tc>
        <w:tc>
          <w:tcPr>
            <w:tcW w:w="3106" w:type="dxa"/>
            <w:vAlign w:val="center"/>
            <w:hideMark/>
          </w:tcPr>
          <w:p w14:paraId="4EE9B935" w14:textId="77777777" w:rsidR="00A32A32" w:rsidRPr="008C1C39" w:rsidRDefault="00A32A32" w:rsidP="001122BE">
            <w:pPr>
              <w:jc w:val="left"/>
              <w:rPr>
                <w:sz w:val="20"/>
                <w:szCs w:val="20"/>
              </w:rPr>
            </w:pPr>
            <w:r w:rsidRPr="008C1C39">
              <w:rPr>
                <w:sz w:val="20"/>
                <w:szCs w:val="20"/>
              </w:rPr>
              <w:t>In tissue standards</w:t>
            </w:r>
          </w:p>
        </w:tc>
        <w:tc>
          <w:tcPr>
            <w:tcW w:w="6144" w:type="dxa"/>
            <w:vAlign w:val="center"/>
            <w:hideMark/>
          </w:tcPr>
          <w:p w14:paraId="7773008A" w14:textId="77777777" w:rsidR="00A32A32" w:rsidRPr="008C1C39" w:rsidRDefault="00A32A32" w:rsidP="001122BE">
            <w:pPr>
              <w:jc w:val="left"/>
              <w:rPr>
                <w:sz w:val="20"/>
                <w:szCs w:val="20"/>
              </w:rPr>
            </w:pPr>
            <w:r w:rsidRPr="008C1C39">
              <w:rPr>
                <w:sz w:val="20"/>
                <w:szCs w:val="20"/>
              </w:rPr>
              <w:t>Anchors fluorescence measurements to known molecular references within the same optical environment as the tissue</w:t>
            </w:r>
          </w:p>
        </w:tc>
      </w:tr>
      <w:tr w:rsidR="003E48E5" w:rsidRPr="00C679D8" w14:paraId="419A3CAA" w14:textId="77777777" w:rsidTr="003E48E5">
        <w:trPr>
          <w:cnfStyle w:val="000000100000" w:firstRow="0" w:lastRow="0" w:firstColumn="0" w:lastColumn="0" w:oddVBand="0" w:evenVBand="0" w:oddHBand="1" w:evenHBand="0" w:firstRowFirstColumn="0" w:firstRowLastColumn="0" w:lastRowFirstColumn="0" w:lastRowLastColumn="0"/>
        </w:trPr>
        <w:tc>
          <w:tcPr>
            <w:tcW w:w="555" w:type="dxa"/>
            <w:vAlign w:val="center"/>
          </w:tcPr>
          <w:p w14:paraId="25BFD310" w14:textId="304C9E93" w:rsidR="00A32A32" w:rsidRPr="008C1C39" w:rsidRDefault="00A32A32" w:rsidP="001122BE">
            <w:pPr>
              <w:jc w:val="center"/>
              <w:rPr>
                <w:sz w:val="20"/>
                <w:szCs w:val="20"/>
              </w:rPr>
            </w:pPr>
            <w:r w:rsidRPr="008C1C39">
              <w:rPr>
                <w:sz w:val="20"/>
                <w:szCs w:val="20"/>
              </w:rPr>
              <w:t>(</w:t>
            </w:r>
            <w:r w:rsidR="00476978" w:rsidRPr="008C1C39">
              <w:rPr>
                <w:sz w:val="20"/>
                <w:szCs w:val="20"/>
              </w:rPr>
              <w:t>v</w:t>
            </w:r>
            <w:r w:rsidRPr="008C1C39">
              <w:rPr>
                <w:sz w:val="20"/>
                <w:szCs w:val="20"/>
              </w:rPr>
              <w:t>)</w:t>
            </w:r>
          </w:p>
        </w:tc>
        <w:tc>
          <w:tcPr>
            <w:tcW w:w="3106" w:type="dxa"/>
            <w:vAlign w:val="center"/>
            <w:hideMark/>
          </w:tcPr>
          <w:p w14:paraId="4B10DD49" w14:textId="7A8600E9" w:rsidR="00A32A32" w:rsidRPr="008C1C39" w:rsidRDefault="00A32A32" w:rsidP="001122BE">
            <w:pPr>
              <w:jc w:val="left"/>
              <w:rPr>
                <w:sz w:val="20"/>
                <w:szCs w:val="20"/>
              </w:rPr>
            </w:pPr>
            <w:r w:rsidRPr="008C1C39">
              <w:rPr>
                <w:b/>
                <w:bCs/>
                <w:sz w:val="20"/>
                <w:szCs w:val="20"/>
              </w:rPr>
              <w:t>Blinking-based calibration</w:t>
            </w:r>
            <w:r w:rsidRPr="008C1C39">
              <w:rPr>
                <w:sz w:val="20"/>
                <w:szCs w:val="20"/>
              </w:rPr>
              <w:t xml:space="preserve"> (combination of </w:t>
            </w:r>
            <w:r w:rsidR="0077735F" w:rsidRPr="008C1C39">
              <w:rPr>
                <w:sz w:val="20"/>
                <w:szCs w:val="20"/>
              </w:rPr>
              <w:t>iii</w:t>
            </w:r>
            <w:r w:rsidRPr="008C1C39">
              <w:rPr>
                <w:sz w:val="20"/>
                <w:szCs w:val="20"/>
              </w:rPr>
              <w:t xml:space="preserve"> and </w:t>
            </w:r>
            <w:r w:rsidR="0077735F" w:rsidRPr="008C1C39">
              <w:rPr>
                <w:sz w:val="20"/>
                <w:szCs w:val="20"/>
              </w:rPr>
              <w:t>iv</w:t>
            </w:r>
            <w:r w:rsidRPr="008C1C39">
              <w:rPr>
                <w:sz w:val="20"/>
                <w:szCs w:val="20"/>
              </w:rPr>
              <w:t>)</w:t>
            </w:r>
          </w:p>
        </w:tc>
        <w:tc>
          <w:tcPr>
            <w:tcW w:w="6144" w:type="dxa"/>
            <w:vAlign w:val="center"/>
            <w:hideMark/>
          </w:tcPr>
          <w:p w14:paraId="61061681" w14:textId="77777777" w:rsidR="00A32A32" w:rsidRPr="008C1C39" w:rsidRDefault="00A32A32" w:rsidP="001122BE">
            <w:pPr>
              <w:jc w:val="left"/>
              <w:rPr>
                <w:sz w:val="20"/>
                <w:szCs w:val="20"/>
              </w:rPr>
            </w:pPr>
            <w:r w:rsidRPr="008C1C39">
              <w:rPr>
                <w:sz w:val="20"/>
                <w:szCs w:val="20"/>
              </w:rPr>
              <w:t xml:space="preserve">Enables robust conversion of fluorescence signals into molecular numbers in heterogeneous </w:t>
            </w:r>
            <w:r w:rsidRPr="008C1C39">
              <w:rPr>
                <w:i/>
                <w:iCs/>
                <w:sz w:val="20"/>
                <w:szCs w:val="20"/>
              </w:rPr>
              <w:t>in vivo</w:t>
            </w:r>
            <w:r w:rsidRPr="008C1C39">
              <w:rPr>
                <w:sz w:val="20"/>
                <w:szCs w:val="20"/>
              </w:rPr>
              <w:t xml:space="preserve"> conditions by </w:t>
            </w:r>
            <w:r w:rsidRPr="008C1C39">
              <w:rPr>
                <w:b/>
                <w:bCs/>
                <w:sz w:val="20"/>
                <w:szCs w:val="20"/>
              </w:rPr>
              <w:t>separating dynamic calibration signals from static background fluorescence</w:t>
            </w:r>
          </w:p>
        </w:tc>
      </w:tr>
      <w:tr w:rsidR="003E48E5" w:rsidRPr="00C679D8" w14:paraId="0B826B40" w14:textId="77777777" w:rsidTr="003E48E5">
        <w:tc>
          <w:tcPr>
            <w:tcW w:w="555" w:type="dxa"/>
            <w:vAlign w:val="center"/>
          </w:tcPr>
          <w:p w14:paraId="55160B84" w14:textId="7D736575" w:rsidR="00A32A32" w:rsidRPr="008C1C39" w:rsidRDefault="00A32A32" w:rsidP="001122BE">
            <w:pPr>
              <w:jc w:val="center"/>
              <w:rPr>
                <w:sz w:val="20"/>
                <w:szCs w:val="20"/>
              </w:rPr>
            </w:pPr>
            <w:r w:rsidRPr="008C1C39">
              <w:rPr>
                <w:sz w:val="20"/>
                <w:szCs w:val="20"/>
              </w:rPr>
              <w:t>(</w:t>
            </w:r>
            <w:r w:rsidR="00476978" w:rsidRPr="008C1C39">
              <w:rPr>
                <w:sz w:val="20"/>
                <w:szCs w:val="20"/>
              </w:rPr>
              <w:t>vi</w:t>
            </w:r>
            <w:r w:rsidRPr="008C1C39">
              <w:rPr>
                <w:sz w:val="20"/>
                <w:szCs w:val="20"/>
              </w:rPr>
              <w:t>)</w:t>
            </w:r>
          </w:p>
        </w:tc>
        <w:tc>
          <w:tcPr>
            <w:tcW w:w="3106" w:type="dxa"/>
            <w:vAlign w:val="center"/>
            <w:hideMark/>
          </w:tcPr>
          <w:p w14:paraId="49C4A4EA" w14:textId="77777777" w:rsidR="00A32A32" w:rsidRPr="008C1C39" w:rsidRDefault="00A32A32" w:rsidP="001122BE">
            <w:pPr>
              <w:jc w:val="left"/>
              <w:rPr>
                <w:sz w:val="20"/>
                <w:szCs w:val="20"/>
              </w:rPr>
            </w:pPr>
            <w:r w:rsidRPr="008C1C39">
              <w:rPr>
                <w:sz w:val="20"/>
                <w:szCs w:val="20"/>
              </w:rPr>
              <w:t xml:space="preserve">Fast two-photon imaging with </w:t>
            </w:r>
            <w:r w:rsidRPr="008C1C39">
              <w:rPr>
                <w:b/>
                <w:bCs/>
                <w:sz w:val="20"/>
                <w:szCs w:val="20"/>
              </w:rPr>
              <w:t>real-time 3D motion correction</w:t>
            </w:r>
          </w:p>
        </w:tc>
        <w:tc>
          <w:tcPr>
            <w:tcW w:w="6144" w:type="dxa"/>
            <w:vAlign w:val="center"/>
            <w:hideMark/>
          </w:tcPr>
          <w:p w14:paraId="17F7764F" w14:textId="77777777" w:rsidR="00A32A32" w:rsidRPr="008C1C39" w:rsidRDefault="00A32A32" w:rsidP="001122BE">
            <w:pPr>
              <w:jc w:val="left"/>
              <w:rPr>
                <w:sz w:val="20"/>
                <w:szCs w:val="20"/>
              </w:rPr>
            </w:pPr>
            <w:r w:rsidRPr="008C1C39">
              <w:rPr>
                <w:sz w:val="20"/>
                <w:szCs w:val="20"/>
              </w:rPr>
              <w:t xml:space="preserve">Enables repeated subcellular measurements at depth in behaving animals while preserving their spatial alignment </w:t>
            </w:r>
          </w:p>
        </w:tc>
      </w:tr>
    </w:tbl>
    <w:p w14:paraId="255932B8" w14:textId="24E216C9" w:rsidR="00A32A32" w:rsidRPr="00206661" w:rsidRDefault="00A32A32" w:rsidP="00A32A32">
      <w:pPr>
        <w:spacing w:after="0"/>
        <w:rPr>
          <w:rFonts w:eastAsia="Times New Roman"/>
          <w:b/>
          <w:bCs/>
          <w:sz w:val="21"/>
          <w:szCs w:val="21"/>
        </w:rPr>
      </w:pPr>
      <w:r w:rsidRPr="00206661">
        <w:rPr>
          <w:b/>
          <w:bCs/>
          <w:sz w:val="21"/>
          <w:szCs w:val="21"/>
        </w:rPr>
        <w:t>Table 2. PRISM innovations and what each enable</w:t>
      </w:r>
      <w:r w:rsidR="003E1BF7">
        <w:rPr>
          <w:b/>
          <w:bCs/>
          <w:sz w:val="21"/>
          <w:szCs w:val="21"/>
        </w:rPr>
        <w:t>s</w:t>
      </w:r>
      <w:r w:rsidRPr="00206661">
        <w:rPr>
          <w:b/>
          <w:bCs/>
          <w:sz w:val="21"/>
          <w:szCs w:val="21"/>
        </w:rPr>
        <w:t>.</w:t>
      </w:r>
    </w:p>
    <w:p w14:paraId="69FB86B9" w14:textId="77777777" w:rsidR="00A32A32" w:rsidRDefault="00A32A32" w:rsidP="008C1C39">
      <w:pPr>
        <w:jc w:val="center"/>
        <w:rPr>
          <w:rFonts w:eastAsia="Times New Roman"/>
          <w:b/>
          <w:bCs/>
          <w:sz w:val="21"/>
          <w:szCs w:val="21"/>
        </w:rPr>
      </w:pPr>
      <w:r>
        <w:rPr>
          <w:noProof/>
        </w:rPr>
        <w:drawing>
          <wp:inline distT="0" distB="0" distL="0" distR="0" wp14:anchorId="1F76AF81" wp14:editId="19507255">
            <wp:extent cx="5905500" cy="5446736"/>
            <wp:effectExtent l="0" t="0" r="0" b="1905"/>
            <wp:docPr id="16977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77584"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025431" cy="5557350"/>
                    </a:xfrm>
                    <a:prstGeom prst="rect">
                      <a:avLst/>
                    </a:prstGeom>
                    <a:noFill/>
                    <a:ln>
                      <a:noFill/>
                    </a:ln>
                  </pic:spPr>
                </pic:pic>
              </a:graphicData>
            </a:graphic>
          </wp:inline>
        </w:drawing>
      </w:r>
    </w:p>
    <w:p w14:paraId="716C44CA" w14:textId="24B6354B" w:rsidR="00A32A32" w:rsidRPr="008C1C39" w:rsidRDefault="00A32A32" w:rsidP="00A32A32">
      <w:pPr>
        <w:rPr>
          <w:rFonts w:eastAsia="Times New Roman"/>
          <w:sz w:val="20"/>
          <w:szCs w:val="20"/>
        </w:rPr>
      </w:pPr>
      <w:r w:rsidRPr="008C1C39">
        <w:rPr>
          <w:rFonts w:eastAsia="Times New Roman"/>
          <w:b/>
          <w:bCs/>
          <w:sz w:val="20"/>
          <w:szCs w:val="20"/>
        </w:rPr>
        <w:lastRenderedPageBreak/>
        <w:t xml:space="preserve">Figure 1 - </w:t>
      </w:r>
      <w:r w:rsidRPr="008C1C39">
        <w:rPr>
          <w:b/>
          <w:bCs/>
          <w:sz w:val="20"/>
          <w:szCs w:val="20"/>
        </w:rPr>
        <w:t>PRISM innovations. a</w:t>
      </w:r>
      <w:r w:rsidRPr="008C1C39">
        <w:rPr>
          <w:sz w:val="20"/>
          <w:szCs w:val="20"/>
        </w:rPr>
        <w:t>. PRISM</w:t>
      </w:r>
      <w:r w:rsidRPr="008C1C39">
        <w:rPr>
          <w:rFonts w:eastAsia="Times New Roman"/>
          <w:sz w:val="20"/>
          <w:szCs w:val="20"/>
        </w:rPr>
        <w:t xml:space="preserve"> is an integrated platform </w:t>
      </w:r>
      <w:r w:rsidR="0B7A709E" w:rsidRPr="008C1C39">
        <w:rPr>
          <w:rFonts w:eastAsia="Times New Roman"/>
          <w:sz w:val="20"/>
          <w:szCs w:val="20"/>
        </w:rPr>
        <w:t>offering</w:t>
      </w:r>
      <w:r w:rsidRPr="008C1C39">
        <w:rPr>
          <w:rFonts w:eastAsia="Times New Roman"/>
          <w:sz w:val="20"/>
          <w:szCs w:val="20"/>
        </w:rPr>
        <w:t xml:space="preserve"> innovations in labeling, quantification and microscopy.</w:t>
      </w:r>
      <w:r w:rsidRPr="008C1C39">
        <w:rPr>
          <w:rFonts w:eastAsia="Times New Roman"/>
          <w:b/>
          <w:bCs/>
          <w:sz w:val="20"/>
          <w:szCs w:val="20"/>
        </w:rPr>
        <w:t xml:space="preserve"> b.  </w:t>
      </w:r>
      <w:r w:rsidRPr="008C1C39">
        <w:rPr>
          <w:rFonts w:eastAsia="Times New Roman"/>
          <w:sz w:val="20"/>
          <w:szCs w:val="20"/>
        </w:rPr>
        <w:t xml:space="preserve">PRISM innovations and what they enable </w:t>
      </w:r>
      <w:r w:rsidR="00D6312C" w:rsidRPr="008C1C39">
        <w:rPr>
          <w:rFonts w:eastAsia="Times New Roman"/>
          <w:sz w:val="20"/>
          <w:szCs w:val="20"/>
        </w:rPr>
        <w:t xml:space="preserve">- </w:t>
      </w:r>
      <w:r w:rsidRPr="008C1C39">
        <w:rPr>
          <w:rFonts w:eastAsia="Times New Roman"/>
          <w:sz w:val="20"/>
          <w:szCs w:val="20"/>
        </w:rPr>
        <w:t xml:space="preserve">see also Table 2. </w:t>
      </w:r>
      <w:r w:rsidRPr="008C1C39">
        <w:rPr>
          <w:rFonts w:eastAsia="Times New Roman"/>
          <w:b/>
          <w:bCs/>
          <w:sz w:val="20"/>
          <w:szCs w:val="20"/>
        </w:rPr>
        <w:t>c.</w:t>
      </w:r>
      <w:r w:rsidRPr="008C1C39">
        <w:rPr>
          <w:sz w:val="20"/>
          <w:szCs w:val="20"/>
        </w:rPr>
        <w:t xml:space="preserve"> SLAP2 (Scanned Line Arbitrary Projection 2P microscope). Adapted from </w:t>
      </w:r>
      <w:proofErr w:type="spellStart"/>
      <w:r w:rsidRPr="008C1C39">
        <w:rPr>
          <w:sz w:val="20"/>
          <w:szCs w:val="20"/>
        </w:rPr>
        <w:t>He</w:t>
      </w:r>
      <w:proofErr w:type="spellEnd"/>
      <w:r w:rsidRPr="008C1C39">
        <w:rPr>
          <w:sz w:val="20"/>
          <w:szCs w:val="20"/>
        </w:rPr>
        <w:t xml:space="preserve"> et al.</w:t>
      </w:r>
      <w:r w:rsidRPr="008C1C39">
        <w:rPr>
          <w:sz w:val="20"/>
          <w:szCs w:val="20"/>
        </w:rPr>
        <w:fldChar w:fldCharType="begin"/>
      </w:r>
      <w:r w:rsidR="00D61E3A" w:rsidRPr="008C1C39">
        <w:rPr>
          <w:sz w:val="20"/>
          <w:szCs w:val="20"/>
        </w:rPr>
        <w:instrText xml:space="preserve"> ADDIN ZOTERO_ITEM CSL_CITATION {"citationID":"2Xbqplbf","properties":{"formattedCitation":"\\super 15\\nosupersub{}","plainCitation":"15","noteIndex":0},"citationItems":[{"id":2914,"uris":["http://zotero.org/users/319690/items/BQ3L8426"],"itemData":{"id":2914,"type":"webpage","language":"en","title":"Recent advances in random access projection microscopy","URL":"https://www.mbfbioscience.com/app/uploads/2026/01/Recent-advances-in-random-access-projection-microscopy.pdf","author":[{"family":"He","given":"Manni"},{"literal":"Michal E. Xie"},{"family":"Jaindl","given":"Georg"},{"family":"Gibiser","given":"Ryan"},{"family":"Seyedolmohadesin","given":"Maedeh"},{"family":"Podgorski","given":"Kaspar"}],"accessed":{"date-parts":[["2026",2,1]]}}}],"schema":"https://github.com/citation-style-language/schema/raw/master/csl-citation.json"} </w:instrText>
      </w:r>
      <w:r w:rsidRPr="008C1C39">
        <w:rPr>
          <w:sz w:val="20"/>
          <w:szCs w:val="20"/>
        </w:rPr>
        <w:fldChar w:fldCharType="separate"/>
      </w:r>
      <w:r w:rsidR="00D61E3A" w:rsidRPr="008C1C39">
        <w:rPr>
          <w:rFonts w:ascii="Aptos" w:hAnsi="Aptos" w:cs="Times New Roman"/>
          <w:kern w:val="0"/>
          <w:sz w:val="20"/>
          <w:szCs w:val="22"/>
          <w:vertAlign w:val="superscript"/>
        </w:rPr>
        <w:t>15</w:t>
      </w:r>
      <w:r w:rsidRPr="008C1C39">
        <w:rPr>
          <w:sz w:val="20"/>
          <w:szCs w:val="20"/>
        </w:rPr>
        <w:fldChar w:fldCharType="end"/>
      </w:r>
      <w:r w:rsidR="009D3CC3" w:rsidRPr="008C1C39">
        <w:rPr>
          <w:sz w:val="20"/>
          <w:szCs w:val="20"/>
        </w:rPr>
        <w:t xml:space="preserve">. </w:t>
      </w:r>
      <w:r w:rsidRPr="008C1C39">
        <w:rPr>
          <w:sz w:val="20"/>
          <w:szCs w:val="20"/>
        </w:rPr>
        <w:t>Top: Optical path with 2 independently steered planes at up to kHz frame rates. The path includes a combination of a polygonal scanner, Digital Micromirror Device (DMD), and remote focusing</w:t>
      </w:r>
      <w:r w:rsidRPr="008C1C39">
        <w:rPr>
          <w:sz w:val="20"/>
          <w:szCs w:val="20"/>
        </w:rPr>
        <w:fldChar w:fldCharType="begin"/>
      </w:r>
      <w:r w:rsidR="00D61E3A" w:rsidRPr="008C1C39">
        <w:rPr>
          <w:sz w:val="20"/>
          <w:szCs w:val="20"/>
        </w:rPr>
        <w:instrText xml:space="preserve"> ADDIN ZOTERO_ITEM CSL_CITATION {"citationID":"KThvqiLz","properties":{"formattedCitation":"\\super 16\\nosupersub{}","plainCitation":"16","noteIndex":0},"citationItems":[{"id":2915,"uris":["http://zotero.org/users/319690/items/MHYUVVJH"],"itemData":{"id":2915,"type":"article-journal","abstract":"We describe the theory of a new method of optical refocusing that is particularly relevant for confocal and multiphoton microscopy systems. This method avoids the spherical aberration that is common to other optical refocusing systems. We show that aberration-free refocusing can be achieved over an axial scan range of 70μm for a 1.4NA objective lens. As refocusing is implemented remotely from the specimen, this method enables high axial scan speeds without mechanical interference between the objective lens and the specimen.","container-title":"Optics Communications","DOI":"10.1016/j.optcom.2007.10.007","ISSN":"0030-4018","issue":"4","journalAbbreviation":"Optics Communications","page":"880-887","source":"ScienceDirect","title":"An optical technique for remote focusing in microscopy","volume":"281","author":[{"family":"Botcherby","given":"E. J."},{"family":"Juškaitis","given":"R."},{"family":"Booth","given":"M. J."},{"family":"Wilson","given":"T."}],"issued":{"date-parts":[["2008",2,15]]}}}],"schema":"https://github.com/citation-style-language/schema/raw/master/csl-citation.json"} </w:instrText>
      </w:r>
      <w:r w:rsidRPr="008C1C39">
        <w:rPr>
          <w:sz w:val="20"/>
          <w:szCs w:val="20"/>
        </w:rPr>
        <w:fldChar w:fldCharType="separate"/>
      </w:r>
      <w:r w:rsidR="00D61E3A" w:rsidRPr="008C1C39">
        <w:rPr>
          <w:rFonts w:ascii="Aptos" w:hAnsi="Aptos" w:cs="Times New Roman"/>
          <w:kern w:val="0"/>
          <w:sz w:val="20"/>
          <w:szCs w:val="22"/>
          <w:vertAlign w:val="superscript"/>
        </w:rPr>
        <w:t>16</w:t>
      </w:r>
      <w:r w:rsidRPr="008C1C39">
        <w:rPr>
          <w:sz w:val="20"/>
          <w:szCs w:val="20"/>
        </w:rPr>
        <w:fldChar w:fldCharType="end"/>
      </w:r>
      <w:r w:rsidRPr="008C1C39">
        <w:rPr>
          <w:sz w:val="20"/>
          <w:szCs w:val="20"/>
        </w:rPr>
        <w:t xml:space="preserve">. Bottom: Online 3D motion correction possible at &lt;1ms latency due to the fast DMD and remote focusing response times. He et al. </w:t>
      </w:r>
      <w:proofErr w:type="gramStart"/>
      <w:r w:rsidRPr="008C1C39">
        <w:rPr>
          <w:sz w:val="20"/>
          <w:szCs w:val="20"/>
        </w:rPr>
        <w:t>report</w:t>
      </w:r>
      <w:proofErr w:type="gramEnd"/>
      <w:r w:rsidRPr="008C1C39">
        <w:rPr>
          <w:sz w:val="20"/>
          <w:szCs w:val="20"/>
        </w:rPr>
        <w:t xml:space="preserve"> under 150</w:t>
      </w:r>
      <w:r w:rsidR="0039240F" w:rsidRPr="008C1C39">
        <w:rPr>
          <w:sz w:val="20"/>
          <w:szCs w:val="20"/>
        </w:rPr>
        <w:t xml:space="preserve"> </w:t>
      </w:r>
      <w:r w:rsidRPr="008C1C39">
        <w:rPr>
          <w:sz w:val="20"/>
          <w:szCs w:val="20"/>
        </w:rPr>
        <w:t xml:space="preserve">nm residual motion when imaging at 200 Hz </w:t>
      </w:r>
      <w:r w:rsidRPr="008C1C39">
        <w:rPr>
          <w:i/>
          <w:iCs/>
          <w:sz w:val="20"/>
          <w:szCs w:val="20"/>
        </w:rPr>
        <w:t>in vivo</w:t>
      </w:r>
      <w:r w:rsidR="00256AA2" w:rsidRPr="008C1C39">
        <w:rPr>
          <w:i/>
          <w:iCs/>
          <w:sz w:val="20"/>
          <w:szCs w:val="20"/>
        </w:rPr>
        <w:t>.</w:t>
      </w:r>
      <w:r w:rsidRPr="008C1C39">
        <w:rPr>
          <w:sz w:val="20"/>
          <w:szCs w:val="20"/>
        </w:rPr>
        <w:t xml:space="preserve"> </w:t>
      </w:r>
      <w:r w:rsidRPr="008C1C39">
        <w:rPr>
          <w:rFonts w:eastAsia="Times New Roman"/>
          <w:b/>
          <w:bCs/>
          <w:sz w:val="20"/>
          <w:szCs w:val="20"/>
        </w:rPr>
        <w:t>d.</w:t>
      </w:r>
      <w:r w:rsidRPr="008C1C39">
        <w:rPr>
          <w:sz w:val="20"/>
          <w:szCs w:val="20"/>
        </w:rPr>
        <w:t xml:space="preserve"> </w:t>
      </w:r>
      <w:r w:rsidRPr="008C1C39">
        <w:rPr>
          <w:rFonts w:eastAsia="Times New Roman"/>
          <w:sz w:val="20"/>
          <w:szCs w:val="20"/>
        </w:rPr>
        <w:t>Principle of SOFI (Super-resolution Optical Fluctuation Imaging). Adapted from Dertinger et al.</w:t>
      </w:r>
      <w:r w:rsidRPr="008C1C39">
        <w:rPr>
          <w:rFonts w:eastAsia="Times New Roman"/>
          <w:sz w:val="20"/>
          <w:szCs w:val="20"/>
        </w:rPr>
        <w:fldChar w:fldCharType="begin"/>
      </w:r>
      <w:r w:rsidR="00D61E3A" w:rsidRPr="008C1C39">
        <w:rPr>
          <w:rFonts w:eastAsia="Times New Roman"/>
          <w:sz w:val="20"/>
          <w:szCs w:val="20"/>
        </w:rPr>
        <w:instrText xml:space="preserve"> ADDIN ZOTERO_ITEM CSL_CITATION {"citationID":"HaPlMeHd","properties":{"formattedCitation":"\\super 17\\nosupersub{}","plainCitation":"17","noteIndex":0},"citationItems":[{"id":2905,"uris":["http://zotero.org/users/319690/items/G5XRMAPG"],"itemData":{"id":2905,"type":"webpage","DOI":"10.1073/pnas.0907866106","language":"en","note":"DOI: 10.1073/pnas.0907866106","title":"Fast, background-free, 3D super-resolution optical fluctuation imaging (SOFI)","URL":"https://www.pnas.org/doi/10.1073/pnas.0907866106","accessed":{"date-parts":[["2026",1,31]]}}}],"schema":"https://github.com/citation-style-language/schema/raw/master/csl-citation.json"} </w:instrText>
      </w:r>
      <w:r w:rsidRPr="008C1C39">
        <w:rPr>
          <w:rFonts w:eastAsia="Times New Roman"/>
          <w:sz w:val="20"/>
          <w:szCs w:val="20"/>
        </w:rPr>
        <w:fldChar w:fldCharType="separate"/>
      </w:r>
      <w:r w:rsidR="00D61E3A" w:rsidRPr="008C1C39">
        <w:rPr>
          <w:rFonts w:ascii="Aptos" w:hAnsi="Aptos" w:cs="Times New Roman"/>
          <w:kern w:val="0"/>
          <w:sz w:val="20"/>
          <w:szCs w:val="22"/>
          <w:vertAlign w:val="superscript"/>
        </w:rPr>
        <w:t>17</w:t>
      </w:r>
      <w:r w:rsidRPr="008C1C39">
        <w:rPr>
          <w:rFonts w:eastAsia="Times New Roman"/>
          <w:sz w:val="20"/>
          <w:szCs w:val="20"/>
        </w:rPr>
        <w:fldChar w:fldCharType="end"/>
      </w:r>
      <w:r w:rsidRPr="008C1C39">
        <w:rPr>
          <w:sz w:val="20"/>
          <w:szCs w:val="20"/>
        </w:rPr>
        <w:t xml:space="preserve"> </w:t>
      </w:r>
      <w:r w:rsidRPr="008C1C39">
        <w:rPr>
          <w:rFonts w:eastAsia="Times New Roman"/>
          <w:sz w:val="20"/>
          <w:szCs w:val="20"/>
        </w:rPr>
        <w:t xml:space="preserve"> (A) Emitters in the object plane exhibit independent fluorescence intermittency. (B) Their signals are blurred by the system point spread function (PSF), preventing resolution of closely spaced emitters. (C) Fluorescence fluctuations are recorded over time at each pixel. (D) SOFI computes pixel-wise second-order or higher-order correlations of these fluctuations. (E) These yield an image with an effective PSF raised to the power of the correlation order and improving resolution by a factor that is the root of the correlation order. For 2</w:t>
      </w:r>
      <w:r w:rsidRPr="008C1C39">
        <w:rPr>
          <w:rFonts w:eastAsia="Times New Roman"/>
          <w:sz w:val="20"/>
          <w:szCs w:val="20"/>
          <w:vertAlign w:val="superscript"/>
        </w:rPr>
        <w:t>nd</w:t>
      </w:r>
      <w:r w:rsidRPr="008C1C39">
        <w:rPr>
          <w:rFonts w:eastAsia="Times New Roman"/>
          <w:sz w:val="20"/>
          <w:szCs w:val="20"/>
        </w:rPr>
        <w:t xml:space="preserve"> order SOFI the improvement is </w:t>
      </w:r>
      <m:oMath>
        <m:rad>
          <m:radPr>
            <m:degHide m:val="1"/>
            <m:ctrlPr>
              <w:rPr>
                <w:rFonts w:ascii="Cambria Math" w:eastAsia="Times New Roman" w:hAnsi="Cambria Math"/>
                <w:i/>
                <w:sz w:val="20"/>
                <w:szCs w:val="20"/>
              </w:rPr>
            </m:ctrlPr>
          </m:radPr>
          <m:deg/>
          <m:e>
            <m:r>
              <w:rPr>
                <w:rFonts w:ascii="Cambria Math" w:eastAsia="Times New Roman" w:hAnsi="Cambria Math"/>
                <w:sz w:val="20"/>
                <w:szCs w:val="20"/>
              </w:rPr>
              <m:t>2.</m:t>
            </m:r>
          </m:e>
        </m:rad>
      </m:oMath>
    </w:p>
    <w:p w14:paraId="6197F490" w14:textId="77777777" w:rsidR="00A32A32" w:rsidRDefault="00A32A32" w:rsidP="00A32A32">
      <w:pPr>
        <w:pStyle w:val="Heading2"/>
        <w:rPr>
          <w:rFonts w:eastAsia="Times New Roman"/>
        </w:rPr>
      </w:pPr>
      <w:r w:rsidRPr="00C679D8">
        <w:rPr>
          <w:rFonts w:eastAsia="Times New Roman"/>
        </w:rPr>
        <w:t>PRISM</w:t>
      </w:r>
      <w:r>
        <w:rPr>
          <w:rFonts w:eastAsia="Times New Roman"/>
        </w:rPr>
        <w:t xml:space="preserve"> components and innovations</w:t>
      </w:r>
    </w:p>
    <w:p w14:paraId="24032CBB" w14:textId="3EDEC377" w:rsidR="00415FFA" w:rsidRDefault="00A32A32" w:rsidP="00415FFA">
      <w:pPr>
        <w:spacing w:after="0"/>
      </w:pPr>
      <w:r w:rsidRPr="00C679D8">
        <w:rPr>
          <w:b/>
          <w:bCs/>
        </w:rPr>
        <w:t>Labeling</w:t>
      </w:r>
      <w:r w:rsidRPr="00C679D8">
        <w:t xml:space="preserve"> must enable specific, stoichiometric tagging of endogenous proteins </w:t>
      </w:r>
      <w:r w:rsidRPr="00C86137">
        <w:rPr>
          <w:i/>
          <w:iCs/>
        </w:rPr>
        <w:t>in vivo</w:t>
      </w:r>
      <w:r w:rsidRPr="00C679D8">
        <w:t>. PRISM will use knock-in animals that provide a one-to-one covalent handle for synthetic dyes via the HaloTag protein</w:t>
      </w:r>
      <w:r>
        <w:fldChar w:fldCharType="begin"/>
      </w:r>
      <w:r w:rsidR="00D61E3A">
        <w:instrText xml:space="preserve"> ADDIN ZOTERO_ITEM CSL_CITATION {"citationID":"eBYFGvQM","properties":{"formattedCitation":"\\super 18\\nosupersub{}","plainCitation":"18","noteIndex":0},"citationItems":[{"id":2890,"uris":["http://zotero.org/users/319690/items/9IRVM2Q6"],"itemData":{"id":2890,"type":"article-journal","container-title":"ACS Chemical Biology","DOI":"10.1021/cb800025k","journalAbbreviation":"ACS Chemical Biology","page":"373-382","title":"HaloTag: a novel protein labeling technology for cell imaging and protein analysis","volume":"3","author":[{"family":"Los","given":"Georgyi V."},{"family":"Encell","given":"Lance P."},{"family":"McDougall","given":"Mary G."},{"family":"Hartzell","given":"Douglas D."},{"family":"Karassina","given":"Natalia"},{"family":"Zimprich","given":"Christian"},{"family":"Wood","given":"Michael G."},{"family":"Learish","given":"Raymond"},{"family":"Ohana","given":"Ronit F."},{"family":"Urh","given":"Michael"}],"issued":{"date-parts":[["2008"]]}}}],"schema":"https://github.com/citation-style-language/schema/raw/master/csl-citation.json"} </w:instrText>
      </w:r>
      <w:r>
        <w:fldChar w:fldCharType="separate"/>
      </w:r>
      <w:r w:rsidR="00D61E3A" w:rsidRPr="00D61E3A">
        <w:rPr>
          <w:rFonts w:ascii="Aptos" w:hAnsi="Aptos" w:cs="Times New Roman"/>
          <w:kern w:val="0"/>
          <w:vertAlign w:val="superscript"/>
        </w:rPr>
        <w:t>18</w:t>
      </w:r>
      <w:r>
        <w:fldChar w:fldCharType="end"/>
      </w:r>
      <w:r w:rsidRPr="00C679D8">
        <w:t>. This makes the labeling layer chemigenetic: the animal provides specificity and stoichiometry, while dye chemistry can be upgraded without generating new lines. The Lavis laboratory has developed</w:t>
      </w:r>
      <w:r>
        <w:t xml:space="preserve"> </w:t>
      </w:r>
      <w:r w:rsidRPr="00C679D8">
        <w:t>Janelia Fluor HaloTag ligands</w:t>
      </w:r>
      <w:r>
        <w:fldChar w:fldCharType="begin"/>
      </w:r>
      <w:r w:rsidR="00D61E3A">
        <w:instrText xml:space="preserve"> ADDIN ZOTERO_ITEM CSL_CITATION {"citationID":"bWAU1gED","properties":{"formattedCitation":"\\super 19\\nosupersub{}","plainCitation":"19","noteIndex":0},"citationItems":[{"id":2891,"uris":["http://zotero.org/users/319690/items/6EIKDBPR"],"itemData":{"id":2891,"type":"article-journal","container-title":"Nature Methods","DOI":"10.1038/nmeth.3256","journalAbbreviation":"Nature Methods","page":"244-250","title":"A general method to improve fluorophores for live-cell and single-molecule microscopy","volume":"12","author":[{"family":"Grimm","given":"Jonathan B."},{"family":"English","given":"Benjamin P."},{"family":"Chen","given":"Jun"},{"family":"Slaughter","given":"Janelle P."},{"family":"Zhang","given":"Ziqing"},{"family":"Revyakin","given":"Andrey"},{"family":"Patel","given":"Ruchi"},{"family":"Macklin","given":"John J."},{"family":"Normanno","given":"Davide"},{"family":"Singer","given":"Robert H."},{"family":"Lionnet","given":"Timothée"},{"family":"Lavis","given":"Luke D."}],"issued":{"date-parts":[["2015"]]}}}],"schema":"https://github.com/citation-style-language/schema/raw/master/csl-citation.json"} </w:instrText>
      </w:r>
      <w:r>
        <w:fldChar w:fldCharType="separate"/>
      </w:r>
      <w:r w:rsidR="00D61E3A" w:rsidRPr="00D61E3A">
        <w:rPr>
          <w:rFonts w:ascii="Aptos" w:hAnsi="Aptos" w:cs="Times New Roman"/>
          <w:kern w:val="0"/>
          <w:vertAlign w:val="superscript"/>
        </w:rPr>
        <w:t>19</w:t>
      </w:r>
      <w:r>
        <w:fldChar w:fldCharType="end"/>
      </w:r>
      <w:r w:rsidRPr="00C679D8">
        <w:t xml:space="preserve"> with substantially improved brightness and photostability</w:t>
      </w:r>
      <w:r>
        <w:fldChar w:fldCharType="begin"/>
      </w:r>
      <w:r w:rsidR="00D61E3A">
        <w:instrText xml:space="preserve"> ADDIN ZOTERO_ITEM CSL_CITATION {"citationID":"J6JhWiCO","properties":{"formattedCitation":"\\super 20\\nosupersub{}","plainCitation":"20","noteIndex":0},"citationItems":[{"id":2898,"uris":["http://zotero.org/users/319690/items/PVMTTE6E"],"itemData":{"id":2898,"type":"article-journal","abstract":"Fluorescence microscopy relies on dyes that absorb and then emit photons. In addition to fluorescence, fluorophores can undergo photochemical processes that decrease quantum yield or result in spectral shifts and irreversible photobleaching. Chemical strategies that suppress these undesirable pathways—thereby increasing the brightness and photostability of fluorophores—are crucial for advancing the frontier of bioimaging. Here, we describe a general method to improve small-molecule fluorophores by incorporating deuterium into the alkylamino auxochromes of rhodamines and other dyes. This strategy increases fluorescence quantum yield, inhibits photochemically induced spectral shifts, and slows irreparable photobleaching, yielding next-generation labels with improved performance in cellular imaging experiments.","container-title":"JACS Au","DOI":"10.1021/jacsau.1c00006","issue":"5","journalAbbreviation":"JACS Au","page":"690-696","publisher":"American Chemical Society","source":"ACS Publications","title":"A General Method to Improve Fluorophores Using Deuterated Auxochromes","volume":"1","author":[{"family":"Grimm","given":"Jonathan B."},{"family":"Xie","given":"Liangqi"},{"family":"Casler","given":"Jason C."},{"family":"Patel","given":"Ronak"},{"family":"Tkachuk","given":"Ariana N."},{"family":"Falco","given":"Natalie"},{"family":"Choi","given":"Heejun"},{"family":"Lippincott-Schwartz","given":"Jennifer"},{"family":"Brown","given":"Timothy A."},{"family":"Glick","given":"Benjamin S."},{"family":"Liu","given":"Zhe"},{"family":"Lavis","given":"Luke D."}],"issued":{"date-parts":[["2021",5,24]]}}}],"schema":"https://github.com/citation-style-language/schema/raw/master/csl-citation.json"} </w:instrText>
      </w:r>
      <w:r>
        <w:fldChar w:fldCharType="separate"/>
      </w:r>
      <w:r w:rsidR="00D61E3A" w:rsidRPr="00D61E3A">
        <w:rPr>
          <w:rFonts w:ascii="Aptos" w:hAnsi="Aptos" w:cs="Times New Roman"/>
          <w:kern w:val="0"/>
          <w:vertAlign w:val="superscript"/>
        </w:rPr>
        <w:t>20</w:t>
      </w:r>
      <w:r>
        <w:fldChar w:fldCharType="end"/>
      </w:r>
      <w:r w:rsidRPr="00C679D8">
        <w:t>, directly increasing photon budget and</w:t>
      </w:r>
      <w:r>
        <w:t xml:space="preserve"> thus</w:t>
      </w:r>
      <w:r w:rsidRPr="00C679D8">
        <w:t xml:space="preserve"> localization precision</w:t>
      </w:r>
      <w:r>
        <w:fldChar w:fldCharType="begin"/>
      </w:r>
      <w:r w:rsidR="00D61E3A">
        <w:instrText xml:space="preserve"> ADDIN ZOTERO_ITEM CSL_CITATION {"citationID":"5JqNsYlC","properties":{"formattedCitation":"\\super 21\\nosupersub{}","plainCitation":"21","noteIndex":0},"citationItems":[{"id":2894,"uris":["http://zotero.org/users/319690/items/2RXLECX9"],"itemData":{"id":2894,"type":"article-journal","container-title":"Biophysical Journal","DOI":"10.1016/S0006-3495(02)75618-X","journalAbbreviation":"Biophysical Journal","page":"2775-2783","title":"Precise nanometer localization analysis for individual fluorescent probes","volume":"82","author":[{"family":"Thompson","given":"Robert E."},{"family":"Larson","given":"Daniel R."},{"family":"Webb","given":"Watt W."}],"issued":{"date-parts":[["2002"]]}}}],"schema":"https://github.com/citation-style-language/schema/raw/master/csl-citation.json"} </w:instrText>
      </w:r>
      <w:r>
        <w:fldChar w:fldCharType="separate"/>
      </w:r>
      <w:r w:rsidR="00D61E3A" w:rsidRPr="00D61E3A">
        <w:rPr>
          <w:rFonts w:ascii="Aptos" w:hAnsi="Aptos" w:cs="Times New Roman"/>
          <w:kern w:val="0"/>
          <w:vertAlign w:val="superscript"/>
        </w:rPr>
        <w:t>21</w:t>
      </w:r>
      <w:r>
        <w:fldChar w:fldCharType="end"/>
      </w:r>
      <w:r w:rsidRPr="00C679D8">
        <w:t>. These dyes now exist in complementary photoactivatable</w:t>
      </w:r>
      <w:r>
        <w:fldChar w:fldCharType="begin"/>
      </w:r>
      <w:r w:rsidR="00D61E3A">
        <w:instrText xml:space="preserve"> ADDIN ZOTERO_ITEM CSL_CITATION {"citationID":"fG0ryaqD","properties":{"formattedCitation":"\\super 22\\nosupersub{}","plainCitation":"22","noteIndex":0},"citationItems":[{"id":2900,"uris":["http://zotero.org/users/319690/items/RPGHCDXA"],"itemData":{"id":2900,"type":"article-journal","abstract":"Small-molecule fluorophores are important tools for advanced imaging experiments. We previously reported a general method to improve small, cell-permeable fluorophores which resulted in the azetidine-containing 'Janelia Fluor' (JF) dyes. Here, we refine and extend the utility of these dyes by synthesizing photoactivatable derivatives that are compatible with live-cell labeling strategies. Once activated, these derived compounds retain the superior brightness and photostability of the JF dyes, enabling improved single-particle tracking and facile localization microscopy experiments.","container-title":"Nature Methods","DOI":"10.1038/nmeth.4034","ISSN":"1548-7105","issue":"12","journalAbbreviation":"Nat Methods","language":"eng","page":"985-988","PMID":"27776112","source":"PubMed","title":"Bright photoactivatable fluorophores for single-molecule imaging","volume":"13","author":[{"family":"Grimm","given":"Jonathan B."},{"family":"English","given":"Brian P."},{"family":"Choi","given":"Heejun"},{"family":"Muthusamy","given":"Anand K."},{"family":"Mehl","given":"Brian P."},{"family":"Dong","given":"Peng"},{"family":"Brown","given":"Timothy A."},{"family":"Lippincott-Schwartz","given":"Jennifer"},{"family":"Liu","given":"Zhe"},{"family":"Lionnet","given":"Timothée"},{"family":"Lavis","given":"Luke D."}],"issued":{"date-parts":[["2016",12]]}}}],"schema":"https://github.com/citation-style-language/schema/raw/master/csl-citation.json"} </w:instrText>
      </w:r>
      <w:r>
        <w:fldChar w:fldCharType="separate"/>
      </w:r>
      <w:r w:rsidR="00D61E3A" w:rsidRPr="00D61E3A">
        <w:rPr>
          <w:rFonts w:ascii="Aptos" w:hAnsi="Aptos" w:cs="Times New Roman"/>
          <w:kern w:val="0"/>
          <w:vertAlign w:val="superscript"/>
        </w:rPr>
        <w:t>22</w:t>
      </w:r>
      <w:r>
        <w:fldChar w:fldCharType="end"/>
      </w:r>
      <w:r w:rsidRPr="00C679D8">
        <w:t xml:space="preserve"> and spontaneously blinking variants</w:t>
      </w:r>
      <w:r>
        <w:fldChar w:fldCharType="begin"/>
      </w:r>
      <w:r w:rsidR="00D61E3A">
        <w:instrText xml:space="preserve"> ADDIN ZOTERO_ITEM CSL_CITATION {"citationID":"nguuTLEz","properties":{"formattedCitation":"\\super 23\\nosupersub{}","plainCitation":"23","noteIndex":0},"citationItems":[{"id":2903,"uris":["http://zotero.org/users/319690/items/8BV5ACB8"],"itemData":{"id":2903,"type":"article","abstract":"Spontaneously blinking fluorophores permit the detection and localization of individual molecules without reducing buffers or caging groups, thus simplifying single-molecule localization microscopy (SMLM). The intrinsic blinking properties of such dyes are dictated by molecular structure and modulated by environment, which can limit utility. We report a series of tuned spontaneously blinking dyes with duty cycles that span two orders of magnitude, allowing facile SMLM in cells and dense biomolecular structures.","DOI":"10.1101/2024.02.23.581625","language":"en","license":"© 2024, Posted by Cold Spring Harbor Laboratory. This pre-print is available under a Creative Commons License (Attribution-NonCommercial-NoDerivs 4.0 International), CC BY-NC-ND 4.0, as described at http://creativecommons.org/licenses/by-nc-nd/4.0/","note":"page: 2024.02.23.581625\nsection: New Results","publisher":"bioRxiv","source":"bioRxiv","title":"A series of spontaneously blinking dyes for super-resolution microscopy","URL":"https://www.biorxiv.org/content/10.1101/2024.02.23.581625v1","author":[{"family":"Holland","given":"Katie L."},{"family":"Plutkis","given":"Sarah E."},{"family":"Daugird","given":"Timothy A."},{"family":"Sau","given":"Abhishek"},{"family":"Grimm","given":"Jonathan B."},{"family":"English","given":"Brian P."},{"family":"Zheng","given":"Qinsi"},{"family":"Dave","given":"Sandeep"},{"family":"Rahman","given":"Fariha"},{"family":"Xie","given":"Liangqi"},{"family":"Dong","given":"Peng"},{"family":"Tkachuk","given":"Ariana N."},{"family":"Brown","given":"Timothy A."},{"family":"Singer","given":"Robert H."},{"family":"Liu","given":"Zhe"},{"family":"Galbraith","given":"Catherine G."},{"family":"Musser","given":"Siegfried M."},{"family":"Legant","given":"Wesley R."},{"family":"Lavis","given":"Luke D."}],"accessed":{"date-parts":[["2026",1,31]]},"issued":{"date-parts":[["2024",2,24]]}}}],"schema":"https://github.com/citation-style-language/schema/raw/master/csl-citation.json"} </w:instrText>
      </w:r>
      <w:r>
        <w:fldChar w:fldCharType="separate"/>
      </w:r>
      <w:r w:rsidR="00D61E3A" w:rsidRPr="00D61E3A">
        <w:rPr>
          <w:rFonts w:ascii="Aptos" w:hAnsi="Aptos" w:cs="Times New Roman"/>
          <w:kern w:val="0"/>
          <w:vertAlign w:val="superscript"/>
        </w:rPr>
        <w:t>23</w:t>
      </w:r>
      <w:r>
        <w:fldChar w:fldCharType="end"/>
      </w:r>
      <w:r w:rsidRPr="00C679D8">
        <w:t>, providing two independent routes to the same molecular quantities. Photoactivatable dyes enable controlled activation for molecular counting</w:t>
      </w:r>
      <w:r>
        <w:fldChar w:fldCharType="begin"/>
      </w:r>
      <w:r w:rsidR="00D61E3A">
        <w:instrText xml:space="preserve"> ADDIN ZOTERO_ITEM CSL_CITATION {"citationID":"lv4Ub2u5","properties":{"formattedCitation":"\\super 24\\nosupersub{}","plainCitation":"24","noteIndex":0},"citationItems":[{"id":2912,"uris":["http://zotero.org/users/319690/items/SLSJQ27V"],"itemData":{"id":2912,"type":"article-journal","abstract":"Single-molecule localization microscopy (SMLM) has had remarkable success in imaging cellular structures with nanometer resolution, but standard analysis algorithms require sparse emitters, which limits imaging speed and labeling density. Here, we overcome this major limitation using deep learning. We developed DECODE (deep context dependent), a computational tool that can localize single emitters at high density in three dimensions with highest accuracy for a large range of imaging modalities and conditions. In a public software benchmark competition, it outperformed all other fitters on 12 out of 12 datasets when comparing both detection accuracy and localization error, often by a substantial margin. DECODE allowed us to acquire fast dynamic live-cell SMLM data with reduced light exposure and to image microtubules at ultra-high labeling density. Packaged for simple installation and use, DECODE will enable many laboratories to reduce imaging times and increase localization density in SMLM.","container-title":"Nature Methods","DOI":"10.1038/s41592-021-01236-x","ISSN":"1548-7105","issue":"9","journalAbbreviation":"Nat Methods","language":"en","license":"2021 The Author(s), under exclusive licence to Springer Nature America, Inc.","note":"publisher: Nature Publishing Group","page":"1082-1090","source":"www.nature.com","title":"Deep learning enables fast and dense single-molecule localization with high accuracy","volume":"18","author":[{"family":"Speiser","given":"Artur"},{"family":"Müller","given":"Lucas-Raphael"},{"family":"Hoess","given":"Philipp"},{"family":"Matti","given":"Ulf"},{"family":"Obara","given":"Christopher J."},{"family":"Legant","given":"Wesley R."},{"family":"Kreshuk","given":"Anna"},{"family":"Macke","given":"Jakob H."},{"family":"Ries","given":"Jonas"},{"family":"Turaga","given":"Srinivas C."}],"issued":{"date-parts":[["2021",9]]}}}],"schema":"https://github.com/citation-style-language/schema/raw/master/csl-citation.json"} </w:instrText>
      </w:r>
      <w:r>
        <w:fldChar w:fldCharType="separate"/>
      </w:r>
      <w:r w:rsidR="00D61E3A" w:rsidRPr="00D61E3A">
        <w:rPr>
          <w:rFonts w:ascii="Aptos" w:hAnsi="Aptos" w:cs="Times New Roman"/>
          <w:kern w:val="0"/>
          <w:vertAlign w:val="superscript"/>
        </w:rPr>
        <w:t>24</w:t>
      </w:r>
      <w:r>
        <w:fldChar w:fldCharType="end"/>
      </w:r>
      <w:r w:rsidRPr="00C679D8">
        <w:t>, while blinking dyes enable super-resolution through stochastic switching and localization below the diffraction limit</w:t>
      </w:r>
      <w:r>
        <w:fldChar w:fldCharType="begin"/>
      </w:r>
      <w:r w:rsidR="00D61E3A">
        <w:instrText xml:space="preserve"> ADDIN ZOTERO_ITEM CSL_CITATION {"citationID":"9psRJ7h9","properties":{"formattedCitation":"\\super 17\\nosupersub{}","plainCitation":"17","noteIndex":0},"citationItems":[{"id":2905,"uris":["http://zotero.org/users/319690/items/G5XRMAPG"],"itemData":{"id":2905,"type":"webpage","DOI":"10.1073/pnas.0907866106","language":"en","note":"DOI: 10.1073/pnas.0907866106","title":"Fast, background-free, 3D super-resolution optical fluctuation imaging (SOFI)","URL":"https://www.pnas.org/doi/10.1073/pnas.0907866106","accessed":{"date-parts":[["2026",1,31]]}}}],"schema":"https://github.com/citation-style-language/schema/raw/master/csl-citation.json"} </w:instrText>
      </w:r>
      <w:r>
        <w:fldChar w:fldCharType="separate"/>
      </w:r>
      <w:r w:rsidR="00D61E3A" w:rsidRPr="00D61E3A">
        <w:rPr>
          <w:rFonts w:ascii="Aptos" w:hAnsi="Aptos" w:cs="Times New Roman"/>
          <w:kern w:val="0"/>
          <w:vertAlign w:val="superscript"/>
        </w:rPr>
        <w:t>17</w:t>
      </w:r>
      <w:r>
        <w:fldChar w:fldCharType="end"/>
      </w:r>
      <w:r>
        <w:t xml:space="preserve"> (</w:t>
      </w:r>
      <w:r w:rsidRPr="00206661">
        <w:rPr>
          <w:b/>
          <w:bCs/>
        </w:rPr>
        <w:t xml:space="preserve">Figure </w:t>
      </w:r>
      <w:r>
        <w:rPr>
          <w:b/>
          <w:bCs/>
        </w:rPr>
        <w:t>2</w:t>
      </w:r>
      <w:r>
        <w:t>)</w:t>
      </w:r>
      <w:r w:rsidRPr="00C679D8">
        <w:t xml:space="preserve">. Having both modes reduces technical risk and allows cross-validation when both can be applied </w:t>
      </w:r>
      <w:r w:rsidRPr="00C86137">
        <w:rPr>
          <w:i/>
          <w:iCs/>
        </w:rPr>
        <w:t>in vivo</w:t>
      </w:r>
      <w:r w:rsidRPr="00C679D8">
        <w:t xml:space="preserve">. </w:t>
      </w:r>
      <w:r w:rsidRPr="00A32A32">
        <w:rPr>
          <w:b/>
          <w:bCs/>
        </w:rPr>
        <w:t xml:space="preserve">Bringing both photoactivation and spontaneous blinking into quantitative </w:t>
      </w:r>
      <w:r w:rsidRPr="00A32A32">
        <w:rPr>
          <w:b/>
          <w:bCs/>
          <w:i/>
          <w:iCs/>
        </w:rPr>
        <w:t>in vivo</w:t>
      </w:r>
      <w:r w:rsidRPr="00A32A32">
        <w:rPr>
          <w:b/>
          <w:bCs/>
        </w:rPr>
        <w:t xml:space="preserve"> imaging has not yet been achieved and is a central innovation of this proposal.</w:t>
      </w:r>
      <w:r w:rsidRPr="00C679D8">
        <w:t xml:space="preserve"> </w:t>
      </w:r>
      <w:r w:rsidR="00415FFA" w:rsidRPr="00415FFA">
        <w:t>These labeling approaches make molecules visible</w:t>
      </w:r>
      <w:r w:rsidR="00415FFA">
        <w:t>. Next,</w:t>
      </w:r>
      <w:r w:rsidR="00415FFA" w:rsidRPr="00415FFA">
        <w:t xml:space="preserve"> quantification must make their fluorescence interpretable as numbers in living tissue</w:t>
      </w:r>
      <w:r w:rsidR="00415FFA">
        <w:t xml:space="preserve">. </w:t>
      </w:r>
    </w:p>
    <w:p w14:paraId="71E78AF8" w14:textId="59E7931A" w:rsidR="00A32A32" w:rsidRDefault="00A32A32" w:rsidP="00415FFA">
      <w:pPr>
        <w:rPr>
          <w:b/>
          <w:bCs/>
        </w:rPr>
      </w:pPr>
      <w:r w:rsidRPr="001B5F12">
        <w:rPr>
          <w:noProof/>
        </w:rPr>
        <w:drawing>
          <wp:inline distT="0" distB="0" distL="0" distR="0" wp14:anchorId="1B85C7D3" wp14:editId="55969DD2">
            <wp:extent cx="6491960" cy="2343150"/>
            <wp:effectExtent l="0" t="0" r="0" b="0"/>
            <wp:docPr id="2043964368" name="Picture 1"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64368" name="Picture 1" descr="A close-up of a microscope&#10;&#10;AI-generated content may be incorrect."/>
                    <pic:cNvPicPr/>
                  </pic:nvPicPr>
                  <pic:blipFill rotWithShape="1">
                    <a:blip r:embed="rId6"/>
                    <a:srcRect l="1102" r="713"/>
                    <a:stretch>
                      <a:fillRect/>
                    </a:stretch>
                  </pic:blipFill>
                  <pic:spPr bwMode="auto">
                    <a:xfrm>
                      <a:off x="0" y="0"/>
                      <a:ext cx="6619900" cy="2389328"/>
                    </a:xfrm>
                    <a:prstGeom prst="rect">
                      <a:avLst/>
                    </a:prstGeom>
                    <a:ln>
                      <a:noFill/>
                    </a:ln>
                    <a:extLst>
                      <a:ext uri="{53640926-AAD7-44D8-BBD7-CCE9431645EC}">
                        <a14:shadowObscured xmlns:a14="http://schemas.microsoft.com/office/drawing/2010/main"/>
                      </a:ext>
                    </a:extLst>
                  </pic:spPr>
                </pic:pic>
              </a:graphicData>
            </a:graphic>
          </wp:inline>
        </w:drawing>
      </w:r>
      <w:r w:rsidRPr="00524BBA">
        <w:rPr>
          <w:b/>
          <w:bCs/>
        </w:rPr>
        <w:t xml:space="preserve"> </w:t>
      </w:r>
    </w:p>
    <w:p w14:paraId="5ACB4DF1" w14:textId="77777777" w:rsidR="00A32A32" w:rsidRPr="008C1C39" w:rsidRDefault="00A32A32" w:rsidP="00A32A32">
      <w:pPr>
        <w:rPr>
          <w:sz w:val="20"/>
          <w:szCs w:val="20"/>
        </w:rPr>
      </w:pPr>
      <w:r w:rsidRPr="008C1C39">
        <w:rPr>
          <w:rStyle w:val="Strong"/>
          <w:sz w:val="20"/>
          <w:szCs w:val="20"/>
        </w:rPr>
        <w:t xml:space="preserve">Figure 2 | Fluctuation-based imaging provides super-resolution and signal-to-noise enhancement in brain tissue. </w:t>
      </w:r>
      <w:r w:rsidRPr="008C1C39">
        <w:rPr>
          <w:sz w:val="20"/>
          <w:szCs w:val="20"/>
        </w:rPr>
        <w:t xml:space="preserve">Fixed thick brain slice from a GluA2–HaloTag knock-in animal, imaged in physiological buffer. Spontaneously blinking JF635b–HaloTag ligand dyes were recorded using fast confocal Airyscan imaging, with 2,000 frames acquired from the </w:t>
      </w:r>
      <w:r w:rsidRPr="008C1C39">
        <w:rPr>
          <w:sz w:val="20"/>
          <w:szCs w:val="20"/>
        </w:rPr>
        <w:lastRenderedPageBreak/>
        <w:t xml:space="preserve">same field of view at 30Hz for a total of ~1min of acquisition. </w:t>
      </w:r>
      <w:r w:rsidRPr="008C1C39">
        <w:rPr>
          <w:b/>
          <w:bCs/>
          <w:sz w:val="20"/>
          <w:szCs w:val="20"/>
        </w:rPr>
        <w:t>Left</w:t>
      </w:r>
      <w:r w:rsidRPr="008C1C39">
        <w:rPr>
          <w:sz w:val="20"/>
          <w:szCs w:val="20"/>
        </w:rPr>
        <w:t xml:space="preserve">: Mean intensity image, in which punctate synaptic AMPA receptors are blurred and partially obscured by background fluorescence. </w:t>
      </w:r>
      <w:r w:rsidRPr="008C1C39">
        <w:rPr>
          <w:b/>
          <w:bCs/>
          <w:sz w:val="20"/>
          <w:szCs w:val="20"/>
        </w:rPr>
        <w:t>Middle</w:t>
      </w:r>
      <w:r w:rsidRPr="008C1C39">
        <w:rPr>
          <w:sz w:val="20"/>
          <w:szCs w:val="20"/>
        </w:rPr>
        <w:t xml:space="preserve">: Third-order SOFI image computed from the same data, exploiting temporal intensity fluctuations to </w:t>
      </w:r>
      <w:r w:rsidRPr="008C1C39">
        <w:rPr>
          <w:i/>
          <w:iCs/>
          <w:sz w:val="20"/>
          <w:szCs w:val="20"/>
          <w:u w:val="single"/>
        </w:rPr>
        <w:t>suppress static background like autofluorescence (AF)</w:t>
      </w:r>
      <w:r w:rsidRPr="008C1C39">
        <w:rPr>
          <w:sz w:val="20"/>
          <w:szCs w:val="20"/>
        </w:rPr>
        <w:t xml:space="preserve"> and </w:t>
      </w:r>
      <w:r w:rsidRPr="008C1C39">
        <w:rPr>
          <w:i/>
          <w:iCs/>
          <w:sz w:val="20"/>
          <w:szCs w:val="20"/>
          <w:u w:val="single"/>
        </w:rPr>
        <w:t>achieve super-resolution</w:t>
      </w:r>
      <w:r w:rsidRPr="008C1C39">
        <w:rPr>
          <w:sz w:val="20"/>
          <w:szCs w:val="20"/>
        </w:rPr>
        <w:t xml:space="preserve"> relative to the diffraction-limited mean image. </w:t>
      </w:r>
      <w:r w:rsidRPr="008C1C39">
        <w:rPr>
          <w:b/>
          <w:bCs/>
          <w:sz w:val="20"/>
          <w:szCs w:val="20"/>
        </w:rPr>
        <w:t>Right</w:t>
      </w:r>
      <w:r w:rsidRPr="008C1C39">
        <w:rPr>
          <w:sz w:val="20"/>
          <w:szCs w:val="20"/>
        </w:rPr>
        <w:t xml:space="preserve">: Overlay of mean (magenta) and SOFI (green) images, illustrating both improved spatial separation of synapses and </w:t>
      </w:r>
      <w:r w:rsidRPr="008C1C39">
        <w:rPr>
          <w:i/>
          <w:iCs/>
          <w:sz w:val="20"/>
          <w:szCs w:val="20"/>
          <w:u w:val="single"/>
        </w:rPr>
        <w:t>enhanced signal-to-noise</w:t>
      </w:r>
      <w:r w:rsidRPr="008C1C39">
        <w:rPr>
          <w:sz w:val="20"/>
          <w:szCs w:val="20"/>
        </w:rPr>
        <w:t xml:space="preserve"> through rejection of non-fluctuating background. Scale bar, 5 µm.</w:t>
      </w:r>
    </w:p>
    <w:p w14:paraId="187A0530" w14:textId="05605070" w:rsidR="004172D6" w:rsidRDefault="00A32A32" w:rsidP="00A32A32">
      <w:r w:rsidRPr="00C679D8">
        <w:rPr>
          <w:b/>
          <w:bCs/>
        </w:rPr>
        <w:t>Quantification</w:t>
      </w:r>
      <w:r w:rsidRPr="00C679D8">
        <w:t xml:space="preserve"> is essential whenever biological change is encoded in molecular copy number rather than </w:t>
      </w:r>
      <w:r w:rsidR="00EF7509">
        <w:t>the</w:t>
      </w:r>
      <w:r w:rsidRPr="00C679D8">
        <w:t xml:space="preserve"> presence or absence</w:t>
      </w:r>
      <w:r w:rsidR="00EF7509">
        <w:t xml:space="preserve"> of a protein</w:t>
      </w:r>
      <w:r w:rsidRPr="00C679D8">
        <w:t>. In the brain, synaptic plasticity produces changes on the order of tens of percent per synapse</w:t>
      </w:r>
      <w:r>
        <w:fldChar w:fldCharType="begin"/>
      </w:r>
      <w:r w:rsidR="00D61E3A">
        <w:instrText xml:space="preserve"> ADDIN ZOTERO_ITEM CSL_CITATION {"citationID":"U92AoQkr","properties":{"formattedCitation":"\\super 25\\nosupersub{}","plainCitation":"25","noteIndex":0},"citationItems":[{"id":2881,"uris":["http://zotero.org/users/319690/items/UZDHWM5Q"],"itemData":{"id":2881,"type":"article-journal","container-title":"Journal of Neuroscience","journalAbbreviation":"Journal of Neuroscience","page":"10464-10472","title":"Synaptic modifications in cultured hippocampal neurons: dependence on spike timing, synaptic strength, and postsynaptic cell type","volume":"18","author":[{"family":"Bi","given":"Guo-Qiang"},{"family":"Poo","given":"Mu-Ming"}],"issued":{"date-parts":[["1998"]]}}}],"schema":"https://github.com/citation-style-language/schema/raw/master/csl-citation.json"} </w:instrText>
      </w:r>
      <w:r>
        <w:fldChar w:fldCharType="separate"/>
      </w:r>
      <w:r w:rsidR="00D61E3A" w:rsidRPr="00D61E3A">
        <w:rPr>
          <w:rFonts w:ascii="Aptos" w:hAnsi="Aptos" w:cs="Times New Roman"/>
          <w:kern w:val="0"/>
          <w:vertAlign w:val="superscript"/>
        </w:rPr>
        <w:t>25</w:t>
      </w:r>
      <w:r>
        <w:fldChar w:fldCharType="end"/>
      </w:r>
      <w:r w:rsidRPr="00C679D8">
        <w:t>, while learning can drive larger cumulative shifts distributed across synapse populations</w:t>
      </w:r>
      <w:r>
        <w:fldChar w:fldCharType="begin"/>
      </w:r>
      <w:r w:rsidR="00D61E3A">
        <w:instrText xml:space="preserve"> ADDIN ZOTERO_ITEM CSL_CITATION {"citationID":"F8rTBrc3","properties":{"formattedCitation":"\\super 26\\nosupersub{}","plainCitation":"26","noteIndex":0},"citationItems":[{"id":2880,"uris":["http://zotero.org/users/319690/items/8TNBQZPU"],"itemData":{"id":2880,"type":"article-journal","container-title":"Science","DOI":"10.1126/science.1128134","journalAbbreviation":"Science","page":"1093-1097","title":"Learning induces long-term potentiation in the hippocampus","volume":"313","author":[{"family":"Whitlock","given":"Jonathan R."},{"family":"Heynen","given":"A. J."},{"family":"Shuler","given":"M. G."},{"family":"Bear","given":"Mark F."}],"issued":{"date-parts":[["2006"]]}}}],"schema":"https://github.com/citation-style-language/schema/raw/master/csl-citation.json"} </w:instrText>
      </w:r>
      <w:r>
        <w:fldChar w:fldCharType="separate"/>
      </w:r>
      <w:r w:rsidR="00D61E3A" w:rsidRPr="00D61E3A">
        <w:rPr>
          <w:rFonts w:ascii="Aptos" w:hAnsi="Aptos" w:cs="Times New Roman"/>
          <w:kern w:val="0"/>
          <w:vertAlign w:val="superscript"/>
        </w:rPr>
        <w:t>26</w:t>
      </w:r>
      <w:r>
        <w:fldChar w:fldCharType="end"/>
      </w:r>
      <w:r>
        <w:t xml:space="preserve"> </w:t>
      </w:r>
      <w:r w:rsidRPr="00C679D8">
        <w:t xml:space="preserve">over </w:t>
      </w:r>
      <w:r>
        <w:t>seconds</w:t>
      </w:r>
      <w:r w:rsidRPr="00C679D8">
        <w:t xml:space="preserve"> to days. Because synaptic weights follow lognormal distributions</w:t>
      </w:r>
      <w:r>
        <w:fldChar w:fldCharType="begin"/>
      </w:r>
      <w:r w:rsidR="00D61E3A">
        <w:instrText xml:space="preserve"> ADDIN ZOTERO_ITEM CSL_CITATION {"citationID":"BRRF4URc","properties":{"formattedCitation":"\\super 27\\nosupersub{}","plainCitation":"27","noteIndex":0},"citationItems":[{"id":2883,"uris":["http://zotero.org/users/319690/items/BSN7298S"],"itemData":{"id":2883,"type":"article-journal","container-title":"Nature Reviews Neuroscience","DOI":"10.1038/nrn3687","journalAbbreviation":"Nature Reviews Neuroscience","page":"264-278","title":"The log-dynamic brain: how skewed distributions affect network operations","volume":"15","author":[{"family":"Buzsáki","given":"György"},{"family":"Mizuseki","given":"Kenji"}],"issued":{"date-parts":[["2014"]]}}}],"schema":"https://github.com/citation-style-language/schema/raw/master/csl-citation.json"} </w:instrText>
      </w:r>
      <w:r>
        <w:fldChar w:fldCharType="separate"/>
      </w:r>
      <w:r w:rsidR="00D61E3A" w:rsidRPr="00D61E3A">
        <w:rPr>
          <w:rFonts w:ascii="Aptos" w:hAnsi="Aptos" w:cs="Times New Roman"/>
          <w:kern w:val="0"/>
          <w:vertAlign w:val="superscript"/>
        </w:rPr>
        <w:t>27</w:t>
      </w:r>
      <w:r>
        <w:fldChar w:fldCharType="end"/>
      </w:r>
      <w:r w:rsidRPr="00C679D8">
        <w:t xml:space="preserve">, understanding how learning reshapes circuit function requires molecular measurements at individual synapses with comparable precision across time. </w:t>
      </w:r>
      <w:r w:rsidR="008A2C6F">
        <w:t xml:space="preserve">To </w:t>
      </w:r>
      <w:r w:rsidR="6534464D">
        <w:t>accurately estimate changes in synapses</w:t>
      </w:r>
      <w:r w:rsidR="008A2C6F">
        <w:t>, measurements must be calibrated and comparable across sessions; otherwise, drift in labeling, optics, or detection can masquerade as biology</w:t>
      </w:r>
      <w:r w:rsidRPr="00C679D8">
        <w:t xml:space="preserve">. </w:t>
      </w:r>
    </w:p>
    <w:p w14:paraId="57B81F55" w14:textId="63420745" w:rsidR="001137DC" w:rsidRDefault="0037611E" w:rsidP="001137DC">
      <w:r>
        <w:t>PRISM anchors fluorescence measurements to molecular quantities using in-sample standards with known HaloTag stoichiometry, such as virus capsids</w:t>
      </w:r>
      <w:r>
        <w:fldChar w:fldCharType="begin"/>
      </w:r>
      <w:r w:rsidR="00D61E3A">
        <w:instrText xml:space="preserve"> ADDIN ZOTERO_ITEM CSL_CITATION {"citationID":"pwuSt2aW","properties":{"formattedCitation":"\\super 28\\nosupersub{}","plainCitation":"28","noteIndex":0},"citationItems":[{"id":2908,"uris":["http://zotero.org/users/319690/items/JLG8FLHI"],"itemData":{"id":2908,"type":"article-journal","abstract":"The ability to replace genes coding for cellular proteins with DNA that codes for fluorescent protein-tagged versions opens the way to counting the number of molecules of each protein component of macromolecular assemblies in vivo by measuring fluorescence microscopically. Converting fluorescence to absolute numbers of molecules requires a fluorescent standard whose molecular composition is known precisely. In this report, the construction, properties and mode of using a set of fluorescence calibration standards are described. The standards are based on an icosahedral virus engineered to contain exactly 240 copies of one of seven different fluorescent proteins. Two applications of the fluorescent standards to counting molecules in the human parasite Toxoplasma gondii are described. Methods for improving the preciseness of the measurements and minimizing potential inaccuracies are emphasized.","container-title":"Journal of Microscopy","DOI":"10.1111/jmi.12559","ISSN":"1365-2818","issue":"2","journalAbbreviation":"J Microsc","language":"eng","page":"193-213","PMID":"28328099","source":"PubMed","title":"An icosahedral virus as a fluorescent calibration standard: a method for counting protein molecules in cells by fluorescence microscopy","title-short":"An icosahedral virus as a fluorescent calibration standard","volume":"267","author":[{"family":"Murray","given":"John M."}],"issued":{"date-parts":[["2017",8]]}}}],"schema":"https://github.com/citation-style-language/schema/raw/master/csl-citation.json"} </w:instrText>
      </w:r>
      <w:r>
        <w:fldChar w:fldCharType="separate"/>
      </w:r>
      <w:r w:rsidR="00D61E3A" w:rsidRPr="00D61E3A">
        <w:rPr>
          <w:rFonts w:ascii="Aptos" w:hAnsi="Aptos" w:cs="Times New Roman"/>
          <w:kern w:val="0"/>
          <w:vertAlign w:val="superscript"/>
        </w:rPr>
        <w:t>28</w:t>
      </w:r>
      <w:r>
        <w:fldChar w:fldCharType="end"/>
      </w:r>
      <w:r>
        <w:t xml:space="preserve"> or DNA origami</w:t>
      </w:r>
      <w:r>
        <w:fldChar w:fldCharType="begin"/>
      </w:r>
      <w:r w:rsidR="00D61E3A">
        <w:instrText xml:space="preserve"> ADDIN ZOTERO_ITEM CSL_CITATION {"citationID":"u1XCZNON","properties":{"formattedCitation":"\\super 29\\nosupersub{}","plainCitation":"29","noteIndex":0},"citationItems":[{"id":2910,"uris":["http://zotero.org/users/319690/items/7TCNKSS5"],"itemData":{"id":2910,"type":"article-journal","container-title":"Nature Methods","DOI":"10.1038/nmeth.2254","ISSN":"1548-7105","issue":"12","journalAbbreviation":"Nat Methods","language":"en","license":"2012 Springer Nature America, Inc.","page":"1133-1134","publisher":"Nature Publishing Group","source":"www.nature.com","title":"Fluorescence and super-resolution standards based on DNA origami","volume":"9","author":[{"family":"Schmied","given":"Jürgen J."},{"family":"Gietl","given":"Andreas"},{"family":"Holzmeister","given":"Phil"},{"family":"Forthmann","given":"Carsten"},{"family":"Steinhauer","given":"Christian"},{"family":"Dammeyer","given":"Thorben"},{"family":"Tinnefeld","given":"Philip"}],"issued":{"date-parts":[["2012",12]]}}}],"schema":"https://github.com/citation-style-language/schema/raw/master/csl-citation.json"} </w:instrText>
      </w:r>
      <w:r>
        <w:fldChar w:fldCharType="separate"/>
      </w:r>
      <w:r w:rsidR="00D61E3A" w:rsidRPr="00D61E3A">
        <w:rPr>
          <w:rFonts w:ascii="Aptos" w:hAnsi="Aptos" w:cs="Times New Roman"/>
          <w:kern w:val="0"/>
          <w:vertAlign w:val="superscript"/>
        </w:rPr>
        <w:t>29</w:t>
      </w:r>
      <w:r>
        <w:fldChar w:fldCharType="end"/>
      </w:r>
      <w:r>
        <w:t xml:space="preserve">, enabling fluorescence signals to be quantitatively interpreted. In vivo, however, scattering and heterogeneous background confound intensity-based quantification by breaking the correspondence between measured fluorescence and underlying molecular abundance. </w:t>
      </w:r>
      <w:r w:rsidRPr="001E2EA4">
        <w:rPr>
          <w:b/>
          <w:bCs/>
        </w:rPr>
        <w:t>PRISM therefore reads calibration standards through dye blinking</w:t>
      </w:r>
      <w:r>
        <w:t>: temporal modulation is absent from static background, allowing calibration signals to be isolated from autofluorescence and other non-fluctuating contributions within the same tissue volume.</w:t>
      </w:r>
      <w:r w:rsidR="001E2EA4">
        <w:t xml:space="preserve"> </w:t>
      </w:r>
      <w:r w:rsidR="004172D6">
        <w:t xml:space="preserve">Together, stoichiometric standards and </w:t>
      </w:r>
      <w:r w:rsidR="003E1B20">
        <w:t xml:space="preserve">advanced analysis of </w:t>
      </w:r>
      <w:r w:rsidR="004172D6">
        <w:t>blinking-based readouts</w:t>
      </w:r>
      <w:r w:rsidR="003E1B20">
        <w:fldChar w:fldCharType="begin"/>
      </w:r>
      <w:r w:rsidR="00D61E3A">
        <w:instrText xml:space="preserve"> ADDIN ZOTERO_ITEM CSL_CITATION {"citationID":"iMdz0cbX","properties":{"formattedCitation":"\\super 30\\uc0\\u8211{}32\\nosupersub{}","plainCitation":"30–32","noteIndex":0},"citationItems":[{"id":2925,"uris":["http://zotero.org/users/319690/items/JJCIHT9I"],"itemData":{"id":2925,"type":"article-journal","abstract":"Super-resolution optical fluctuation imaging (SOFI) provides super-resolution (SR) fluorescence imaging by analyzing fluctuations in the fluorophore emission. The technique has been used both to acquire quantitative SR images and to provide SR biosensing by monitoring changes in fluorophore blinking dynamics. Proper analysis of such data relies on a fully quantitative model of the imaging. However, previous SOFI imaging models made several assumptions that can not be realized in practice. In this work we address these limitations by developing and verifying a fully quantitative model that better approximates real-world imaging conditions. Our model shows that (i) SOFI images are free of bias, or can be made so, if the signal is stationary and fluorophores blink independently, (ii) allows a fully quantitative description of the link between SOFI imaging and probe dynamics, and (iii) paves the way for more advanced SOFI image reconstruction by offering a computationally fast way to calculate SOFI images for arbitrary probe, sample and instrumental properties.","container-title":"Optics Express","DOI":"10.1364/OE.27.025749","ISSN":"1094-4087","issue":"18","journalAbbreviation":"Opt. Express, OE","language":"EN","license":"© 2019 Optical Society of America","page":"25749-25766","publisher":"Optica Publishing Group","source":"opg.optica.org","title":"An extended quantitative model for super-resolution optical fluctuation imaging (SOFI)","volume":"27","author":[{"family":"Vandenberg","given":"Wim"},{"family":"Leutenegger","given":"Marcel"},{"family":"Duwé","given":"Sam"},{"family":"Dedecker","given":"Peter"}],"issued":{"date-parts":[["2019",9,2]]}}},{"id":2923,"uris":["http://zotero.org/users/319690/items/7L8QFYJ6"],"itemData":{"id":2923,"type":"article-journal","abstract":"Super-resolution optical fluctuation imaging (SOFI) achieves 3D super-resolution by computing temporal cumulants or spatio-temporal cross-cumulants of stochastically blinking fluorophores. In contrast to localization microscopy, SOFI is compatible with weakly emitting fluorophores and a wide range of blinking conditions. The main drawback of SOFI is the nonlinear response to brightness and blinking heterogeneities in the sample, which limits the use of higher cumulant orders for improving the resolution.","container-title":"Optical Nanoscopy","DOI":"10.1186/2192-2853-1-4","ISSN":"2192-2853","issue":"1","journalAbbreviation":"Opt Nano","language":"en","page":"4","source":"Springer Link","title":"Mapping molecular statistics with balanced super-resolution optical fluctuation imaging (bSOFI)","volume":"1","author":[{"family":"Geissbuehler","given":"Stefan"},{"family":"Bocchio","given":"Noelia L."},{"family":"Dellagiacoma","given":"Claudio"},{"family":"Berclaz","given":"Corinne"},{"family":"Leutenegger","given":"Marcel"},{"family":"Lasser","given":"Theo"}],"issued":{"date-parts":[["2012",4,25]]}}},{"id":2921,"uris":["http://zotero.org/users/319690/items/886IAMRA"],"itemData":{"id":2921,"type":"article-journal","abstract":"Quantitative approaches for characterizing molecular organization of cell membrane molecules under physiological and pathological conditions profit from recently developed super-resolution imaging techniques. Current tools employ statistical algorithms to determine clusters of molecules based on single-molecule localization microscopy (SMLM) data. These approaches are limited by the ability of SMLM techniques to identify and localize molecules in densely populated areas and experimental conditions of sample preparation and image acquisition. We have developed a robust, model-free, quantitative clustering analysis to determine the distribution of membrane molecules that excels in densely labeled areas and is tolerant to various experimental conditions, i.e. multiple-blinking or high blinking rates. The method is based on a TIRF microscope followed by a super-resolution optical fluctuation imaging (SOFI) analysis. The effectiveness and robustness of the method is validated using simulated and experimental data investigating nanoscale distribution of CD4 glycoprotein mutants in the plasma membrane of T cells.","container-title":"Nature Communications","DOI":"10.1038/s41467-017-01857-x","ISSN":"2041-1723","issue":"1","journalAbbreviation":"Nat Commun","language":"en","license":"2017 The Author(s)","page":"1731","publisher":"Nature Publishing Group","source":"www.nature.com","title":"Quantifying protein densities on cell membranes using super-resolution optical fluctuation imaging","volume":"8","author":[{"family":"Lukeš","given":"Tomáš"},{"family":"Glatzová","given":"Daniela"},{"family":"Kvíčalová","given":"Zuzana"},{"family":"Levet","given":"Florian"},{"family":"Benda","given":"Aleš"},{"family":"Letschert","given":"Sebastian"},{"family":"Sauer","given":"Markus"},{"family":"Brdička","given":"Tomáš"},{"family":"Lasser","given":"Theo"},{"family":"Cebecauer","given":"Marek"}],"issued":{"date-parts":[["2017",11,23]]}}}],"schema":"https://github.com/citation-style-language/schema/raw/master/csl-citation.json"} </w:instrText>
      </w:r>
      <w:r w:rsidR="003E1B20">
        <w:fldChar w:fldCharType="separate"/>
      </w:r>
      <w:r w:rsidR="00D61E3A" w:rsidRPr="00D61E3A">
        <w:rPr>
          <w:rFonts w:ascii="Aptos" w:cs="Times New Roman"/>
          <w:kern w:val="0"/>
          <w:vertAlign w:val="superscript"/>
        </w:rPr>
        <w:t>30–32</w:t>
      </w:r>
      <w:r w:rsidR="003E1B20">
        <w:fldChar w:fldCharType="end"/>
      </w:r>
      <w:r w:rsidR="004172D6">
        <w:t xml:space="preserve"> express fluorescence as molecular counts with </w:t>
      </w:r>
      <w:r w:rsidR="007905BD">
        <w:t>confidence intervals</w:t>
      </w:r>
      <w:r w:rsidR="004172D6">
        <w:t xml:space="preserve"> across repeated imaging sessions</w:t>
      </w:r>
      <w:r w:rsidR="00C6755D">
        <w:t>.</w:t>
      </w:r>
      <w:r w:rsidR="00A32A32" w:rsidRPr="00C679D8">
        <w:t xml:space="preserve"> </w:t>
      </w:r>
      <w:r w:rsidR="001137DC">
        <w:t>PRISM enables direct measurement of how synaptic strength is redistributed during learning: whether plasticity is sparse or dense, whether changes are symmetric or asymmetric across inputs, and whether individual synapses undergo stable consolidation or ongoing molecular turnover despite stable behavior.</w:t>
      </w:r>
    </w:p>
    <w:p w14:paraId="198B8A03" w14:textId="01BF0045" w:rsidR="00A32A32" w:rsidRPr="00C679D8" w:rsidRDefault="00A32A32" w:rsidP="001137DC">
      <w:r w:rsidRPr="00C679D8">
        <w:rPr>
          <w:b/>
          <w:bCs/>
        </w:rPr>
        <w:t>Microscopy</w:t>
      </w:r>
      <w:r w:rsidRPr="00C679D8">
        <w:t xml:space="preserve"> determines whether molecular mechanisms can be measured repeatedly in intact systems where scattering reduces signal with depth and physiological motion continuously displaces tissue during acquisition. </w:t>
      </w:r>
      <w:r w:rsidR="003E1B20">
        <w:t>Overcoming</w:t>
      </w:r>
      <w:r w:rsidRPr="00C679D8">
        <w:t xml:space="preserve"> these </w:t>
      </w:r>
      <w:r w:rsidR="003E1B20">
        <w:t>challenges</w:t>
      </w:r>
      <w:r w:rsidRPr="00C679D8">
        <w:t xml:space="preserve"> in intact organisms requires stabilized imaging at depth that </w:t>
      </w:r>
      <w:r w:rsidR="00E6421F">
        <w:t>maintains</w:t>
      </w:r>
      <w:r w:rsidRPr="00C679D8">
        <w:t xml:space="preserve"> both spatial </w:t>
      </w:r>
      <w:r w:rsidR="00362744">
        <w:t>locations</w:t>
      </w:r>
      <w:r w:rsidRPr="00C679D8">
        <w:t xml:space="preserve"> and the temporal structure of fluorescence signals. In awake mice, like other </w:t>
      </w:r>
      <w:r w:rsidRPr="00C679D8">
        <w:rPr>
          <w:i/>
          <w:iCs/>
        </w:rPr>
        <w:t>in vivo</w:t>
      </w:r>
      <w:r w:rsidRPr="00C679D8">
        <w:t xml:space="preserve"> preparations, behavioral and physiological motion produces displacements far larger than the subcellular structures on timescales that overlap the temporal dynamics used for quantitative molecular readouts such as blinking dyes. </w:t>
      </w:r>
      <w:r w:rsidR="00EC587F">
        <w:t>To calculate</w:t>
      </w:r>
      <w:r w:rsidRPr="00C679D8">
        <w:t xml:space="preserve"> these temporal statistics</w:t>
      </w:r>
      <w:r w:rsidR="6B2ACB75" w:rsidRPr="00C679D8">
        <w:t>,</w:t>
      </w:r>
      <w:r w:rsidR="1C06CC67" w:rsidRPr="00C679D8">
        <w:t xml:space="preserve"> </w:t>
      </w:r>
      <w:r w:rsidR="72378032" w:rsidRPr="00C679D8">
        <w:t>online</w:t>
      </w:r>
      <w:r w:rsidRPr="00C679D8">
        <w:t xml:space="preserve"> motion correction</w:t>
      </w:r>
      <w:r w:rsidR="00AD7076">
        <w:t xml:space="preserve"> needs</w:t>
      </w:r>
      <w:r w:rsidRPr="00C679D8">
        <w:t xml:space="preserve"> to </w:t>
      </w:r>
      <w:r w:rsidR="703345D5" w:rsidRPr="00C679D8">
        <w:t>be implemented</w:t>
      </w:r>
      <w:r w:rsidRPr="00C679D8">
        <w:t xml:space="preserve"> during acquisition</w:t>
      </w:r>
      <w:r>
        <w:fldChar w:fldCharType="begin"/>
      </w:r>
      <w:r w:rsidR="00D61E3A">
        <w:instrText xml:space="preserve"> ADDIN ZOTERO_ITEM CSL_CITATION {"citationID":"P8EWKIH5","properties":{"formattedCitation":"\\super 33\\nosupersub{}","plainCitation":"33","noteIndex":0},"citationItems":[{"id":2896,"uris":["http://zotero.org/users/319690/items/XYBZZQEK"],"itemData":{"id":2896,"type":"article-journal","container-title":"Nature Methods","DOI":"10.1038/s41592-020-0851-7","journalAbbreviation":"Nature Methods","page":"741-748","title":"Real-time 3D movement correction for two-photon imaging in behaving animals","volume":"17","author":[{"family":"Griffiths","given":"Vincent A."},{"family":"Valera","given":"Antonio M."},{"family":"Lau","given":"Jennifer Y. N."},{"family":"Roš","given":"Hana"},{"family":"Schultz","given":"Simon R."}],"issued":{"date-parts":[["2020"]]}}}],"schema":"https://github.com/citation-style-language/schema/raw/master/csl-citation.json"} </w:instrText>
      </w:r>
      <w:r>
        <w:fldChar w:fldCharType="separate"/>
      </w:r>
      <w:r w:rsidR="00D61E3A" w:rsidRPr="00D61E3A">
        <w:rPr>
          <w:rFonts w:ascii="Aptos" w:hAnsi="Aptos" w:cs="Times New Roman"/>
          <w:kern w:val="0"/>
          <w:vertAlign w:val="superscript"/>
        </w:rPr>
        <w:t>33</w:t>
      </w:r>
      <w:r>
        <w:fldChar w:fldCharType="end"/>
      </w:r>
      <w:r w:rsidRPr="00C679D8">
        <w:t xml:space="preserve">. Because online stabilization is a closed-loop problem that requires motion to be both detected and corrected on comparable timescales, acquisition speed and actuator responsiveness become </w:t>
      </w:r>
      <w:r w:rsidR="5F8D0537" w:rsidRPr="00C679D8">
        <w:t>key</w:t>
      </w:r>
      <w:r w:rsidRPr="00C679D8">
        <w:t xml:space="preserve"> constraints. PRISM will build on Janelia’s SLAP2 line-projection two-photon microscopy platform, which combines kilohertz-rate acquisition</w:t>
      </w:r>
      <w:r>
        <w:fldChar w:fldCharType="begin"/>
      </w:r>
      <w:r w:rsidR="00D61E3A">
        <w:instrText xml:space="preserve"> ADDIN ZOTERO_ITEM CSL_CITATION {"citationID":"D6aANouc","properties":{"formattedCitation":"\\super 34\\nosupersub{}","plainCitation":"34","noteIndex":0},"citationItems":[{"id":2897,"uris":["http://zotero.org/users/319690/items/QPFXIUFB"],"itemData":{"id":2897,"type":"article-journal","container-title":"Nature Methods","DOI":"10.1038/s41592-019-0493-9","journalAbbreviation":"Nature Methods","page":"778-786","title":"Kilohertz frame-rate two-photon tomography","volume":"16","author":[{"family":"Kazemipour","given":"Abbas"},{"family":"Novak","given":"Ondrej"},{"family":"Flickinger","given":"Daniel"},{"family":"Marvin","given":"Jonathan S."},{"family":"Abdelfattah","given":"Ahmed S."},{"family":"King","given":"John"},{"family":"Borden","given":"Pyotr M."},{"family":"Kim","given":"Jun J."},{"family":"Al-Abdullatif","given":"Samer H."},{"family":"Schreiter","given":"Eric R."},{"family":"Podgorski","given":"Kaspar"},{"family":"Looger","given":"Loren L."},{"family":"Svoboda","given":"Karel"}],"issued":{"date-parts":[["2019"]]}}}],"schema":"https://github.com/citation-style-language/schema/raw/master/csl-citation.json"} </w:instrText>
      </w:r>
      <w:r>
        <w:fldChar w:fldCharType="separate"/>
      </w:r>
      <w:r w:rsidR="00D61E3A" w:rsidRPr="00D61E3A">
        <w:rPr>
          <w:rFonts w:ascii="Aptos" w:hAnsi="Aptos" w:cs="Times New Roman"/>
          <w:kern w:val="0"/>
          <w:vertAlign w:val="superscript"/>
        </w:rPr>
        <w:t>34</w:t>
      </w:r>
      <w:r>
        <w:fldChar w:fldCharType="end"/>
      </w:r>
      <w:r>
        <w:t xml:space="preserve"> </w:t>
      </w:r>
      <w:r w:rsidRPr="00C679D8">
        <w:t xml:space="preserve">with actuators capable of responding on the same timescale, enabling real-time correction of physiological motion at depth. PRISM also </w:t>
      </w:r>
      <w:r w:rsidR="004B2A7A">
        <w:t>includes</w:t>
      </w:r>
      <w:r w:rsidRPr="00C679D8">
        <w:t xml:space="preserve"> </w:t>
      </w:r>
      <w:r w:rsidRPr="00C679D8">
        <w:lastRenderedPageBreak/>
        <w:t>a complementary fast confocal acquisition path that provides a linear-excitation regime to de-risk blinking</w:t>
      </w:r>
      <w:r>
        <w:t xml:space="preserve"> </w:t>
      </w:r>
      <w:r w:rsidRPr="00C679D8">
        <w:t>photophysics under nonlinear excitation. Together, these advances define PRISM’s microscopy innovation</w:t>
      </w:r>
      <w:r>
        <w:t xml:space="preserve"> (Figure </w:t>
      </w:r>
      <w:r w:rsidR="00437B79">
        <w:t>1</w:t>
      </w:r>
      <w:r>
        <w:t>)</w:t>
      </w:r>
      <w:r w:rsidRPr="00C679D8">
        <w:t>: the integration of excitation</w:t>
      </w:r>
      <w:r w:rsidR="795ADC1E" w:rsidRPr="00C679D8">
        <w:t xml:space="preserve"> well-suited to imaging deep into live samples</w:t>
      </w:r>
      <w:r w:rsidRPr="00C679D8">
        <w:t>, online motion stabilization, and acquisition schemes optimized for repeated molecular measurement across time.</w:t>
      </w:r>
    </w:p>
    <w:p w14:paraId="193A6770" w14:textId="7C160591" w:rsidR="00A32A32" w:rsidRPr="00C679D8" w:rsidRDefault="00A32A32" w:rsidP="00A32A32">
      <w:pPr>
        <w:pStyle w:val="Heading2"/>
        <w:rPr>
          <w:rFonts w:eastAsia="Times New Roman"/>
        </w:rPr>
      </w:pPr>
      <w:r w:rsidRPr="00C679D8">
        <w:rPr>
          <w:rFonts w:eastAsia="Times New Roman"/>
        </w:rPr>
        <w:t xml:space="preserve">Past </w:t>
      </w:r>
      <w:r>
        <w:rPr>
          <w:rFonts w:eastAsia="Times New Roman"/>
        </w:rPr>
        <w:t>w</w:t>
      </w:r>
      <w:r w:rsidRPr="00C679D8">
        <w:rPr>
          <w:rFonts w:eastAsia="Times New Roman"/>
        </w:rPr>
        <w:t>ork</w:t>
      </w:r>
      <w:r>
        <w:rPr>
          <w:rFonts w:eastAsia="Times New Roman"/>
        </w:rPr>
        <w:t xml:space="preserve"> and motivation</w:t>
      </w:r>
    </w:p>
    <w:p w14:paraId="709EFF10" w14:textId="3D4F29F9" w:rsidR="00A32A32" w:rsidRPr="00C679D8" w:rsidRDefault="00584440" w:rsidP="00A32A32">
      <w:r>
        <w:t>My</w:t>
      </w:r>
      <w:r w:rsidR="00A32A32" w:rsidRPr="00C679D8">
        <w:t xml:space="preserve"> motivation to develop PRISM comes from pursuing how animals learn at the molecular level, where answering biological questions in behaving animals repeatedly drove me to develop new measurement capabilities. When I first came to Janelia, I asked how learning and decision-making are reflected in dendritic integration during behavior, and how task-related variables are organized within dendritic arbors. To address that question, I co-developed a custom high-resolution two-photon microscope to image calcium activity in dendrites during a tactile decision task in mice</w:t>
      </w:r>
      <w:r w:rsidR="00A32A32">
        <w:fldChar w:fldCharType="begin"/>
      </w:r>
      <w:r w:rsidR="00D61E3A">
        <w:instrText xml:space="preserve"> ADDIN ZOTERO_ITEM CSL_CITATION {"citationID":"jF5bgI57","properties":{"formattedCitation":"\\super 35\\nosupersub{}","plainCitation":"35","noteIndex":0},"citationItems":[{"id":2481,"uris":["http://zotero.org/users/319690/items/I54BHHGF"],"itemData":{"id":2481,"type":"article-journal","abstract":"The active properties of dendrites can support local nonlinear operations, but previous imaging and electrophysiological measurements have produced conflicting views regarding the prevalence and selectivity of local nonlinearities in vivo. We imaged calcium signals in pyramidal cell dendrites in the motor cortex of mice performing a tactile decision task. A custom microscope allowed us to image the soma and up to 300 μm of contiguous dendrite at 15 Hz, while resolving individual spines. New analysis methods were used to estimate the frequency and spatial scales of activity in dendritic branches and spines. The majority of dendritic calcium transients were coincident with global events. However, task-associated calcium signals in dendrites and spines were compartmentalized by dendritic branching and clustered within branches over approximately 10 μm. Diverse behavior-related signals were intermingled and distributed throughout the dendritic arbor, potentially supporting a large learning capacity in individual neurons.","container-title":"eLife","DOI":"10.7554/eLife.46966","ISSN":"2050-084X","page":"e46966","publisher":"eLife Sciences Publications, Ltd","source":"eLife","title":"Functional clustering of dendritic activity during decision-making","volume":"8","author":[{"family":"Kerlin","given":"Aaron"},{"family":"Mohar","given":"Boaz"},{"family":"Flickinger","given":"Daniel"},{"family":"MacLennan","given":"Bryan J"},{"family":"Dean","given":"Matthew B"},{"family":"Davis","given":"Courtney"},{"family":"Spruston","given":"Nelson"},{"family":"Svoboda","given":"Karel"}],"editor":[{"family":"Rochefort","given":"Nathalie L"},{"family":"Gold","given":"Joshua I"}],"issued":{"date-parts":[["2019",10,30]]}}}],"schema":"https://github.com/citation-style-language/schema/raw/master/csl-citation.json"} </w:instrText>
      </w:r>
      <w:r w:rsidR="00A32A32">
        <w:fldChar w:fldCharType="separate"/>
      </w:r>
      <w:r w:rsidR="00D61E3A" w:rsidRPr="00D61E3A">
        <w:rPr>
          <w:rFonts w:ascii="Aptos" w:hAnsi="Aptos" w:cs="Times New Roman"/>
          <w:kern w:val="0"/>
          <w:vertAlign w:val="superscript"/>
        </w:rPr>
        <w:t>35</w:t>
      </w:r>
      <w:r w:rsidR="00A32A32">
        <w:fldChar w:fldCharType="end"/>
      </w:r>
      <w:r w:rsidR="00A32A32" w:rsidRPr="00C679D8">
        <w:t xml:space="preserve">. I developed cross-day registration and motion correction algorithms in behaving animals, achieving stable subcellular measurements across days. This stability enabled us to show that task-related variables are represented by distance-dependent correlations along dendrites, with correlation structure significantly affected by dendritic branch points. This </w:t>
      </w:r>
      <w:r w:rsidR="00954254">
        <w:t>points to a</w:t>
      </w:r>
      <w:r w:rsidR="00A32A32" w:rsidRPr="00C679D8">
        <w:t xml:space="preserve"> postsynaptic plasticity </w:t>
      </w:r>
      <w:r w:rsidR="00954254">
        <w:t xml:space="preserve">mechanism </w:t>
      </w:r>
      <w:r w:rsidR="00A32A32" w:rsidRPr="00C679D8">
        <w:t>in this behavior.</w:t>
      </w:r>
    </w:p>
    <w:p w14:paraId="1EABFEAD" w14:textId="353647BF" w:rsidR="00A32A32" w:rsidRPr="00C679D8" w:rsidRDefault="00A32A32" w:rsidP="00A32A32">
      <w:r w:rsidRPr="00C679D8">
        <w:t xml:space="preserve">A key constraint emerged from this work: subcellular imaging in behaving animals requires early commitment to a specific brain region and, within it, a particular subcellular compartment such as cortical lamina. These decisions are currently made without molecular readouts of where plasticity is most pronounced in the brain. To address this gap, I developed DELTA, a method that provides brain-wide maps of synaptic protein turnover to guide targeted </w:t>
      </w:r>
      <w:r w:rsidRPr="00C86137">
        <w:rPr>
          <w:i/>
          <w:iCs/>
        </w:rPr>
        <w:t>in vivo</w:t>
      </w:r>
      <w:r w:rsidRPr="00C679D8">
        <w:t xml:space="preserve"> experiments</w:t>
      </w:r>
      <w:r>
        <w:fldChar w:fldCharType="begin"/>
      </w:r>
      <w:r w:rsidR="00B511CE">
        <w:instrText xml:space="preserve"> ADDIN ZOTERO_ITEM CSL_CITATION {"citationID":"oDSx8puB","properties":{"formattedCitation":"\\super 8\\nosupersub{}","plainCitation":"8","noteIndex":0},"citationItems":[{"id":2834,"uris":["http://zotero.org/users/319690/items/383K9B4T"],"itemData":{"id":2834,"type":"article-journal","abstract":"Synaptic plasticity alters neuronal connections in response to experience, which is thought to underlie learning and memory. However, the loci of learning-related synaptic plasticity, and the degree to which plasticity is localized or distributed, remain largely unknown. Here we describe a new method, DELTA, for mapping brain-wide changes in synaptic protein turnover with single-synapse resolution, based on Janelia Fluor dyes and HaloTag knock-in mice. During associative learning, the turnover of the ionotropic glutamate receptor subunit GluA2, an indicator of synaptic plasticity, was enhanced in several brain regions, most markedly hippocampal area CA1. More broadly distributed increases in the turnover of synaptic proteins were observed in response to environmental enrichment. In CA1, GluA2 stability was regulated in an input-specific manner, with more turnover in layers containing input from CA3 compared to entorhinal cortex. DELTA will facilitate exploration of the molecular and circuit basis of learning and memory and other forms of plasticity at scales ranging from single synapses to the entire brain.","container-title":"Nature Neuroscience","DOI":"10.1038/s41593-025-01923-4","ISSN":"1546-1726","journalAbbreviation":"Nat Neurosci","language":"en","license":"2025 The Author(s)","page":"1-10","publisher":"Nature Publishing Group","source":"www.nature.com","title":"DELTA: a method for brain-wide measurement of synaptic protein turnover reveals localized plasticity during learning","title-short":"DELTA","author":[{"family":"Mohar","given":"Boaz"},{"family":"Michel","given":"Gabriela"},{"family":"Wang","given":"Yi-Zhi"},{"family":"Hernandez","given":"Veronica"},{"family":"Grimm","given":"Jonathan B."},{"family":"Park","given":"Jin-Yong"},{"family":"Patel","given":"Ronak"},{"family":"Clarke","given":"Morgan"},{"family":"Brown","given":"Timothy A."},{"family":"Bergmann","given":"Cornelius"},{"family":"Gebis","given":"Kamil K."},{"family":"Wilen","given":"Anika P."},{"family":"Liu","given":"Bian"},{"family":"Johnson","given":"Richard"},{"family":"Graves","given":"Austin"},{"family":"Tchumatchenko","given":"Tatjana"},{"family":"Savas","given":"Jeffrey N."},{"family":"Fornasiero","given":"Eugenio F."},{"family":"Huganir","given":"Richard L."},{"family":"Tillberg","given":"Paul W."},{"family":"Lavis","given":"Luke D."},{"family":"Svoboda","given":"Karel"},{"family":"Spruston","given":"Nelson"}],"issued":{"date-parts":[["2025",3,31]]}}}],"schema":"https://github.com/citation-style-language/schema/raw/master/csl-citation.json"} </w:instrText>
      </w:r>
      <w:r>
        <w:fldChar w:fldCharType="separate"/>
      </w:r>
      <w:r w:rsidR="00B511CE" w:rsidRPr="00B511CE">
        <w:rPr>
          <w:rFonts w:ascii="Aptos" w:hAnsi="Aptos" w:cs="Times New Roman"/>
          <w:kern w:val="0"/>
          <w:vertAlign w:val="superscript"/>
        </w:rPr>
        <w:t>8</w:t>
      </w:r>
      <w:r>
        <w:fldChar w:fldCharType="end"/>
      </w:r>
      <w:r w:rsidRPr="00C679D8">
        <w:t>. The method uses HaloTag knock-in animals and Janelia Fluor dyes, the same labeling system as PRISM. DELTA revealed stable spatial structure in synaptic receptor lifetimes across hippocampal and cortical layers over days, present in both animals that learned and animals that did not. This organization is inconsistent with a free diffusion-and-capture model that predicts a shared surface pool and spatially uniform lifetimes</w:t>
      </w:r>
      <w:r w:rsidR="00AD0678">
        <w:fldChar w:fldCharType="begin"/>
      </w:r>
      <w:r w:rsidR="00B511CE">
        <w:instrText xml:space="preserve"> ADDIN ZOTERO_ITEM CSL_CITATION {"citationID":"ycD2sVwY","properties":{"formattedCitation":"\\super 6\\nosupersub{}","plainCitation":"6","noteIndex":0},"citationItems":[{"id":2878,"uris":["http://zotero.org/users/319690/items/IV9W9CZY"],"itemData":{"id":2878,"type":"article-journal","container-title":"Nature","DOI":"10.1038/nature00780","journalAbbreviation":"Nature","page":"649-653","title":"Regulation of AMPA receptor lateral movements","volume":"417","author":[{"family":"Borgdorff","given":"Annette J."},{"family":"Choquet","given":"Daniel"}],"issued":{"date-parts":[["2002"]]}}}],"schema":"https://github.com/citation-style-language/schema/raw/master/csl-citation.json"} </w:instrText>
      </w:r>
      <w:r w:rsidR="00AD0678">
        <w:fldChar w:fldCharType="separate"/>
      </w:r>
      <w:r w:rsidR="00B511CE" w:rsidRPr="00B511CE">
        <w:rPr>
          <w:rFonts w:ascii="Aptos" w:hAnsi="Aptos" w:cs="Times New Roman"/>
          <w:kern w:val="0"/>
          <w:vertAlign w:val="superscript"/>
        </w:rPr>
        <w:t>6</w:t>
      </w:r>
      <w:r w:rsidR="00AD0678">
        <w:fldChar w:fldCharType="end"/>
      </w:r>
      <w:r w:rsidRPr="00C679D8">
        <w:t xml:space="preserve">. It also </w:t>
      </w:r>
      <w:r w:rsidRPr="00C92685">
        <w:t xml:space="preserve">revealed </w:t>
      </w:r>
      <w:r w:rsidRPr="00C679D8">
        <w:t>localized learning-induced plasticity in CA1 region of the hippocampus with laminar differences in magnitude that would guide PRISM experiments with unprecedented spatial resolution. </w:t>
      </w:r>
    </w:p>
    <w:p w14:paraId="54E0CEF7" w14:textId="77777777" w:rsidR="00220DA9" w:rsidRDefault="00220DA9" w:rsidP="00A32A32">
      <w:pPr>
        <w:rPr>
          <w:rFonts w:asciiTheme="majorHAnsi" w:eastAsia="Times New Roman" w:hAnsiTheme="majorHAnsi" w:cstheme="majorBidi"/>
          <w:color w:val="0F4761" w:themeColor="accent1" w:themeShade="BF"/>
          <w:sz w:val="32"/>
          <w:szCs w:val="32"/>
        </w:rPr>
      </w:pPr>
      <w:r w:rsidRPr="00220DA9">
        <w:rPr>
          <w:rFonts w:asciiTheme="majorHAnsi" w:eastAsia="Times New Roman" w:hAnsiTheme="majorHAnsi" w:cstheme="majorBidi"/>
          <w:color w:val="0F4761" w:themeColor="accent1" w:themeShade="BF"/>
          <w:sz w:val="32"/>
          <w:szCs w:val="32"/>
        </w:rPr>
        <w:t>Driving application: receptor counting during reversal learning</w:t>
      </w:r>
    </w:p>
    <w:p w14:paraId="49995FF9" w14:textId="1FC0CCC4" w:rsidR="00A32A32" w:rsidRDefault="00A32A32" w:rsidP="00A32A32">
      <w:r w:rsidRPr="00C679D8">
        <w:t>Together, these results establish where synaptic plasticity is most pronounced in the intact brain and rule out models in which AMPA receptors freely exchange across synapses, but they leave unresolved how receptor number</w:t>
      </w:r>
      <w:r w:rsidR="004E2001">
        <w:t>s</w:t>
      </w:r>
      <w:r w:rsidRPr="00C679D8">
        <w:t xml:space="preserve"> </w:t>
      </w:r>
      <w:r w:rsidR="004E2001">
        <w:t>are</w:t>
      </w:r>
      <w:r w:rsidRPr="00C679D8">
        <w:t xml:space="preserve"> adjusted at individual synapses during learning. Addressing this question requires tracking the same synapses repeatedly while plasticity is driven in defined directions by behavior. I will track AMPA receptor numbers at individual synapses during associative operant reversal learning, using this paradigm to drive platform development. Reversal learning imposes a defined switch in stimulus–reward contingencies, engaging synaptic strengthening for newly </w:t>
      </w:r>
      <w:r w:rsidRPr="00C679D8">
        <w:lastRenderedPageBreak/>
        <w:t>rewarded associations and weakening/extinction processes for previously rewarded ones over days—an ideal structure for validating longitudinal molecular tracking.</w:t>
      </w:r>
    </w:p>
    <w:p w14:paraId="3188FB01" w14:textId="4F28B990" w:rsidR="00220DA9" w:rsidRPr="00C679D8" w:rsidRDefault="00200C66" w:rsidP="00200C66">
      <w:pPr>
        <w:pStyle w:val="Heading2"/>
      </w:pPr>
      <w:r>
        <w:t>Broader impact: calibrated molecular imaging beyond synapses</w:t>
      </w:r>
    </w:p>
    <w:p w14:paraId="646EED04" w14:textId="77777777" w:rsidR="008714CC" w:rsidRDefault="00CE0FD4" w:rsidP="00A32A32">
      <w:pPr>
        <w:rPr>
          <w:b/>
          <w:bCs/>
        </w:rPr>
      </w:pPr>
      <w:r w:rsidRPr="00C679D8">
        <w:t xml:space="preserve">PRISM is </w:t>
      </w:r>
      <w:r>
        <w:t>broadly applicable to</w:t>
      </w:r>
      <w:r w:rsidRPr="00C679D8">
        <w:t xml:space="preserve"> questions beyond synaptic biology</w:t>
      </w:r>
      <w:r>
        <w:t>,</w:t>
      </w:r>
      <w:r w:rsidRPr="00C679D8">
        <w:t xml:space="preserve"> </w:t>
      </w:r>
      <w:r w:rsidR="00A32A32" w:rsidRPr="00C679D8">
        <w:t xml:space="preserve">wherever biological change is encoded in molecular </w:t>
      </w:r>
      <w:r w:rsidR="00807066">
        <w:t xml:space="preserve">abundance </w:t>
      </w:r>
      <w:r w:rsidR="00A32A32" w:rsidRPr="00C679D8">
        <w:t xml:space="preserve">and unfolds over time in intact tissue. Examples include receptor trafficking in addiction-related circuits, transcription factor dynamics during development, and antibody binding during immune responses. Across these domains, distinguishing </w:t>
      </w:r>
      <w:r w:rsidR="00AD0678">
        <w:t>measurement</w:t>
      </w:r>
      <w:r w:rsidR="00A32A32" w:rsidRPr="00C679D8">
        <w:t xml:space="preserve"> </w:t>
      </w:r>
      <w:r w:rsidR="00B349ED">
        <w:t>artifacts</w:t>
      </w:r>
      <w:r w:rsidR="00A32A32" w:rsidRPr="00C679D8">
        <w:t xml:space="preserve"> from temporal dynamics requires precise, repeated, </w:t>
      </w:r>
      <w:r w:rsidR="00A32A32" w:rsidRPr="00C679D8">
        <w:rPr>
          <w:i/>
          <w:iCs/>
        </w:rPr>
        <w:t>in vivo</w:t>
      </w:r>
      <w:r w:rsidR="00A32A32" w:rsidRPr="00C679D8">
        <w:t xml:space="preserve"> molecular measurement. </w:t>
      </w:r>
      <w:r w:rsidR="00A32A32" w:rsidRPr="00C679D8">
        <w:rPr>
          <w:b/>
          <w:bCs/>
        </w:rPr>
        <w:t>PRISM enables fluorescence to transition from a qualitative indicator to a calibrated molecular measurement with defined precision</w:t>
      </w:r>
      <w:r w:rsidR="00A32A32">
        <w:rPr>
          <w:b/>
          <w:bCs/>
        </w:rPr>
        <w:t xml:space="preserve">. </w:t>
      </w:r>
    </w:p>
    <w:p w14:paraId="1C03B697" w14:textId="143F88C7" w:rsidR="00A32A32" w:rsidRPr="00C679D8" w:rsidRDefault="00A32A32" w:rsidP="00A32A32">
      <w:r w:rsidRPr="00C679D8">
        <w:t>PRISM, like DELTA, is conceived as a Janelia project: a platform I will drive</w:t>
      </w:r>
      <w:r w:rsidR="003F2D43">
        <w:t xml:space="preserve"> and </w:t>
      </w:r>
      <w:r w:rsidRPr="00C679D8">
        <w:t xml:space="preserve">develop within an environment that supports deep technical integration and long-term tool building. The core components of PRISM—labeling, microscopy, and quantification—are each feasible and internally coherent, but their impact and rate of evolution are amplified when developed in close collaboration with </w:t>
      </w:r>
      <w:r w:rsidR="00256134">
        <w:t xml:space="preserve">others having </w:t>
      </w:r>
      <w:r w:rsidRPr="00C679D8">
        <w:t>complementary expertise.</w:t>
      </w:r>
    </w:p>
    <w:p w14:paraId="55807E3E" w14:textId="2BDC5D64" w:rsidR="00A32A32" w:rsidRPr="00C679D8" w:rsidRDefault="00A32A32" w:rsidP="00A32A32">
      <w:r w:rsidRPr="00C679D8">
        <w:t xml:space="preserve">At Janelia, continued advances in fluorophore chemistry in the Lavis laboratory provide a direct path to brighter, more photostable, and functionally diverse dyes that can be incorporated into PRISM as they emerge. T3's Infrastructure for </w:t>
      </w:r>
      <w:r w:rsidRPr="00C679D8">
        <w:rPr>
          <w:i/>
          <w:iCs/>
        </w:rPr>
        <w:t>in vivo</w:t>
      </w:r>
      <w:r w:rsidRPr="00C679D8">
        <w:t xml:space="preserve"> administration and characterization enables systematic evaluation of dye performance under physiological conditions. New microscope architectures developed in the Shroff laboratory, together with ongoing exploration of excitation regimes compatible with living tissue by Wong-Campos, offer opportunities to push acquisition speed, stability, and depth beyond current limits. Quantitative analysis approaches for super-resolution</w:t>
      </w:r>
      <w:r w:rsidR="00904B2F">
        <w:fldChar w:fldCharType="begin"/>
      </w:r>
      <w:r w:rsidR="00904B2F">
        <w:instrText xml:space="preserve"> ADDIN ZOTERO_ITEM CSL_CITATION {"citationID":"e1xYWAH6","properties":{"formattedCitation":"\\super 14,36\\nosupersub{}","plainCitation":"14,36","noteIndex":0},"citationItems":[{"id":2888,"uris":["http://zotero.org/users/319690/items/4YYXJ6SX"],"itemData":{"id":2888,"type":"article-journal","container-title":"Science","DOI":"10.1126/science.1127344","journalAbbreviation":"Science","page":"1642-1645","title":"Imaging intracellular fluorescent proteins at nanometer resolution","volume":"313","author":[{"family":"Betzig","given":"Eric"},{"family":"Patterson","given":"George H."},{"family":"Sougrat","given":"Rachid"},{"family":"Lindwasser","given":"Otto W."},{"family":"Olenych","given":"Scott"},{"family":"Bonifacino","given":"Juan S."},{"family":"Davidson","given":"Michael W."},{"family":"Lippincott-Schwartz","given":"Jennifer"},{"family":"Hess","given":"Harald F."}],"issued":{"date-parts":[["2006"]]}}},{"id":2936,"uris":["http://zotero.org/users/319690/items/F6Q8HPSK"],"itemData":{"id":2936,"type":"article-journal","abstract":"Understanding molecular-scale architecture of cells requires determination of 3D locations of specific proteins with accuracy matching their nanometer-length scale. Existing electron and light microscopy techniques are limited either in molecular specificity or resolution. Here, we introduce interferometric photoactivated localization microscopy (iPALM), the combination of photoactivated localization microscopy with single-photon, simultaneous multiphase interferometry that provides sub-20-nm 3D protein localization with optimal molecular specificity. We demonstrate measurement of the 25-nm microtubule diameter, resolve the dorsal and ventral plasma membranes, and visualize the arrangement of integrin receptors within endoplasmic reticulum and adhesion complexes, 3D protein organization previously resolved only by electron microscopy. iPALM thus closes the gap between electron tomography and light microscopy, enabling both molecular specification and resolution of cellular nanoarchitecture.","container-title":"Proceedings of the National Academy of Sciences","DOI":"10.1073/pnas.0813131106","issue":"9","page":"3125-3130","publisher":"Proceedings of the National Academy of Sciences","source":"pnas.org (Atypon)","title":"Interferometric fluorescent super-resolution microscopy resolves 3D cellular ultrastructure","volume":"106","author":[{"family":"Shtengel","given":"Gleb"},{"family":"Galbraith","given":"James A."},{"family":"Galbraith","given":"Catherine G."},{"family":"Lippincott-Schwartz","given":"Jennifer"},{"family":"Gillette","given":"Jennifer M."},{"family":"Manley","given":"Suliana"},{"family":"Sougrat","given":"Rachid"},{"family":"Waterman","given":"Clare M."},{"family":"Kanchanawong","given":"Pakorn"},{"family":"Davidson","given":"Michael W."},{"family":"Fetter","given":"Richard D."},{"family":"Hess","given":"Harald F."}],"issued":{"date-parts":[["2009",3,3]]}}}],"schema":"https://github.com/citation-style-language/schema/raw/master/csl-citation.json"} </w:instrText>
      </w:r>
      <w:r w:rsidR="00904B2F">
        <w:fldChar w:fldCharType="separate"/>
      </w:r>
      <w:r w:rsidR="00904B2F" w:rsidRPr="00904B2F">
        <w:rPr>
          <w:rFonts w:ascii="Aptos" w:cs="Times New Roman"/>
          <w:kern w:val="0"/>
          <w:vertAlign w:val="superscript"/>
        </w:rPr>
        <w:t>14,36</w:t>
      </w:r>
      <w:r w:rsidR="00904B2F">
        <w:fldChar w:fldCharType="end"/>
      </w:r>
      <w:r w:rsidRPr="00C679D8">
        <w:t xml:space="preserve"> and fluctuation-based imaging,</w:t>
      </w:r>
      <w:r w:rsidR="005F7C75">
        <w:t xml:space="preserve"> </w:t>
      </w:r>
      <w:r w:rsidRPr="00C679D8">
        <w:t xml:space="preserve">including </w:t>
      </w:r>
      <w:r w:rsidR="005F7C75">
        <w:t>recent AI tools</w:t>
      </w:r>
      <w:r w:rsidRPr="00C679D8">
        <w:t xml:space="preserve"> developed in the Turaga laboratory</w:t>
      </w:r>
      <w:r>
        <w:fldChar w:fldCharType="begin"/>
      </w:r>
      <w:r w:rsidR="00D61E3A">
        <w:instrText xml:space="preserve"> ADDIN ZOTERO_ITEM CSL_CITATION {"citationID":"77rUQk94","properties":{"formattedCitation":"\\super 24\\nosupersub{}","plainCitation":"24","noteIndex":0},"citationItems":[{"id":2912,"uris":["http://zotero.org/users/319690/items/SLSJQ27V"],"itemData":{"id":2912,"type":"article-journal","abstract":"Single-molecule localization microscopy (SMLM) has had remarkable success in imaging cellular structures with nanometer resolution, but standard analysis algorithms require sparse emitters, which limits imaging speed and labeling density. Here, we overcome this major limitation using deep learning. We developed DECODE (deep context dependent), a computational tool that can localize single emitters at high density in three dimensions with highest accuracy for a large range of imaging modalities and conditions. In a public software benchmark competition, it outperformed all other fitters on 12 out of 12 datasets when comparing both detection accuracy and localization error, often by a substantial margin. DECODE allowed us to acquire fast dynamic live-cell SMLM data with reduced light exposure and to image microtubules at ultra-high labeling density. Packaged for simple installation and use, DECODE will enable many laboratories to reduce imaging times and increase localization density in SMLM.","container-title":"Nature Methods","DOI":"10.1038/s41592-021-01236-x","ISSN":"1548-7105","issue":"9","journalAbbreviation":"Nat Methods","language":"en","license":"2021 The Author(s), under exclusive licence to Springer Nature America, Inc.","note":"publisher: Nature Publishing Group","page":"1082-1090","source":"www.nature.com","title":"Deep learning enables fast and dense single-molecule localization with high accuracy","volume":"18","author":[{"family":"Speiser","given":"Artur"},{"family":"Müller","given":"Lucas-Raphael"},{"family":"Hoess","given":"Philipp"},{"family":"Matti","given":"Ulf"},{"family":"Obara","given":"Christopher J."},{"family":"Legant","given":"Wesley R."},{"family":"Kreshuk","given":"Anna"},{"family":"Macke","given":"Jakob H."},{"family":"Ries","given":"Jonas"},{"family":"Turaga","given":"Srinivas C."}],"issued":{"date-parts":[["2021",9]]}}}],"schema":"https://github.com/citation-style-language/schema/raw/master/csl-citation.json"} </w:instrText>
      </w:r>
      <w:r>
        <w:fldChar w:fldCharType="separate"/>
      </w:r>
      <w:r w:rsidR="00D61E3A" w:rsidRPr="00D61E3A">
        <w:rPr>
          <w:rFonts w:ascii="Aptos" w:hAnsi="Aptos" w:cs="Times New Roman"/>
          <w:kern w:val="0"/>
          <w:vertAlign w:val="superscript"/>
        </w:rPr>
        <w:t>24</w:t>
      </w:r>
      <w:r>
        <w:fldChar w:fldCharType="end"/>
      </w:r>
      <w:r w:rsidRPr="00C679D8">
        <w:t>, enable increasingly rigorous conversion of optical signals into molecular measurements.</w:t>
      </w:r>
    </w:p>
    <w:p w14:paraId="3D7803FD" w14:textId="77777777" w:rsidR="00A32A32" w:rsidRPr="00C679D8" w:rsidRDefault="00A32A32" w:rsidP="00A32A32">
      <w:r w:rsidRPr="00C679D8">
        <w:t>My experience developing and disseminating DELTA within this environment—including adoption by six independent laboratories and hands-on transfer through the Janelia Visiting Scientist program—demonstrates how such collaborations function as force multipliers. They allow a platform to mature more rapidly, reach a higher performance ceiling, and be adopted more broadly than would be possible in other institutions. PRISM is designed to follow this same trajectory.</w:t>
      </w:r>
    </w:p>
    <w:p w14:paraId="4D991F87" w14:textId="14F53931" w:rsidR="004C4148" w:rsidRDefault="00804E0B" w:rsidP="006A7E9D">
      <w:pPr>
        <w:jc w:val="left"/>
      </w:pPr>
      <w:r>
        <w:t xml:space="preserve">Success is defined first by PRISM enabling me to make routine, repeated molecular quantification over time. In neuroscience, this will </w:t>
      </w:r>
      <w:r w:rsidRPr="00804E0B">
        <w:rPr>
          <w:b/>
          <w:bCs/>
        </w:rPr>
        <w:t>reveal key mechanisms of synaptic plasticity</w:t>
      </w:r>
      <w:r>
        <w:t xml:space="preserve"> in intact, functioning circuits—bringing the kind of mechanistic insight that came from observing the flagellar motor in its native context. In five to ten years, I expect </w:t>
      </w:r>
      <w:r w:rsidRPr="00804E0B">
        <w:rPr>
          <w:b/>
          <w:bCs/>
        </w:rPr>
        <w:t>PRISM’s impact to extend far beyond neuroscience</w:t>
      </w:r>
      <w:r>
        <w:t>, revealing mechanisms across fields such as developmental biology, immunology, and cancer biology, where repeated molecular measurements in intact systems remain out of reach.</w:t>
      </w:r>
    </w:p>
    <w:sectPr w:rsidR="004C4148" w:rsidSect="008C1C3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A32"/>
    <w:rsid w:val="00015540"/>
    <w:rsid w:val="00015D30"/>
    <w:rsid w:val="0003160F"/>
    <w:rsid w:val="0003520E"/>
    <w:rsid w:val="000436D3"/>
    <w:rsid w:val="000607AC"/>
    <w:rsid w:val="00066358"/>
    <w:rsid w:val="00075A2B"/>
    <w:rsid w:val="00076B98"/>
    <w:rsid w:val="00085F0D"/>
    <w:rsid w:val="000A4436"/>
    <w:rsid w:val="000A7D9E"/>
    <w:rsid w:val="000B1C1C"/>
    <w:rsid w:val="000B5893"/>
    <w:rsid w:val="000D3A30"/>
    <w:rsid w:val="000E3399"/>
    <w:rsid w:val="000E644D"/>
    <w:rsid w:val="000F4889"/>
    <w:rsid w:val="000F5FED"/>
    <w:rsid w:val="00100414"/>
    <w:rsid w:val="00101D44"/>
    <w:rsid w:val="00104E7E"/>
    <w:rsid w:val="00105295"/>
    <w:rsid w:val="001109D7"/>
    <w:rsid w:val="00112FDC"/>
    <w:rsid w:val="001137DC"/>
    <w:rsid w:val="001222E2"/>
    <w:rsid w:val="001303CC"/>
    <w:rsid w:val="0013074C"/>
    <w:rsid w:val="001310D9"/>
    <w:rsid w:val="00135621"/>
    <w:rsid w:val="00145711"/>
    <w:rsid w:val="001546F7"/>
    <w:rsid w:val="00156207"/>
    <w:rsid w:val="00160C65"/>
    <w:rsid w:val="00170D92"/>
    <w:rsid w:val="00172CE4"/>
    <w:rsid w:val="001764E3"/>
    <w:rsid w:val="00181BC1"/>
    <w:rsid w:val="001842C2"/>
    <w:rsid w:val="00184532"/>
    <w:rsid w:val="0018544E"/>
    <w:rsid w:val="0018664A"/>
    <w:rsid w:val="0018746A"/>
    <w:rsid w:val="00197442"/>
    <w:rsid w:val="001A0362"/>
    <w:rsid w:val="001A2573"/>
    <w:rsid w:val="001E2EA4"/>
    <w:rsid w:val="001E3425"/>
    <w:rsid w:val="001F3C96"/>
    <w:rsid w:val="00200C66"/>
    <w:rsid w:val="002042E8"/>
    <w:rsid w:val="00214AA2"/>
    <w:rsid w:val="00220DA9"/>
    <w:rsid w:val="002229A1"/>
    <w:rsid w:val="00226D72"/>
    <w:rsid w:val="00233E73"/>
    <w:rsid w:val="002444FE"/>
    <w:rsid w:val="00244A75"/>
    <w:rsid w:val="00256134"/>
    <w:rsid w:val="00256AA2"/>
    <w:rsid w:val="00272C9F"/>
    <w:rsid w:val="00274931"/>
    <w:rsid w:val="00285BE4"/>
    <w:rsid w:val="00290B24"/>
    <w:rsid w:val="002A3F33"/>
    <w:rsid w:val="002A7E57"/>
    <w:rsid w:val="002B1320"/>
    <w:rsid w:val="002C2946"/>
    <w:rsid w:val="002C4D6C"/>
    <w:rsid w:val="002D4C85"/>
    <w:rsid w:val="002D79DE"/>
    <w:rsid w:val="002D7FB1"/>
    <w:rsid w:val="00302482"/>
    <w:rsid w:val="00320646"/>
    <w:rsid w:val="003442F8"/>
    <w:rsid w:val="0034588B"/>
    <w:rsid w:val="00347E4E"/>
    <w:rsid w:val="00356D27"/>
    <w:rsid w:val="00362744"/>
    <w:rsid w:val="00364777"/>
    <w:rsid w:val="00375182"/>
    <w:rsid w:val="0037611E"/>
    <w:rsid w:val="0037619A"/>
    <w:rsid w:val="00377781"/>
    <w:rsid w:val="00383C8B"/>
    <w:rsid w:val="0039240F"/>
    <w:rsid w:val="003A30AE"/>
    <w:rsid w:val="003A5AFD"/>
    <w:rsid w:val="003A6092"/>
    <w:rsid w:val="003B6223"/>
    <w:rsid w:val="003B625F"/>
    <w:rsid w:val="003B72C4"/>
    <w:rsid w:val="003C2F4F"/>
    <w:rsid w:val="003C348E"/>
    <w:rsid w:val="003C3A98"/>
    <w:rsid w:val="003C7BA7"/>
    <w:rsid w:val="003D1176"/>
    <w:rsid w:val="003D4496"/>
    <w:rsid w:val="003E1B20"/>
    <w:rsid w:val="003E1BF7"/>
    <w:rsid w:val="003E48E5"/>
    <w:rsid w:val="003F2D43"/>
    <w:rsid w:val="00401726"/>
    <w:rsid w:val="00405CC8"/>
    <w:rsid w:val="00411E78"/>
    <w:rsid w:val="004149C5"/>
    <w:rsid w:val="00415FFA"/>
    <w:rsid w:val="004172D6"/>
    <w:rsid w:val="00420DE7"/>
    <w:rsid w:val="00427350"/>
    <w:rsid w:val="00437B79"/>
    <w:rsid w:val="00444FF5"/>
    <w:rsid w:val="0046033D"/>
    <w:rsid w:val="00463C56"/>
    <w:rsid w:val="00476978"/>
    <w:rsid w:val="004858F0"/>
    <w:rsid w:val="0048781F"/>
    <w:rsid w:val="00495A41"/>
    <w:rsid w:val="0049784E"/>
    <w:rsid w:val="004B2A7A"/>
    <w:rsid w:val="004B5BD5"/>
    <w:rsid w:val="004C050B"/>
    <w:rsid w:val="004C4148"/>
    <w:rsid w:val="004D40E4"/>
    <w:rsid w:val="004E2001"/>
    <w:rsid w:val="004E6791"/>
    <w:rsid w:val="004E6B33"/>
    <w:rsid w:val="004E6E9A"/>
    <w:rsid w:val="004E75C1"/>
    <w:rsid w:val="004F19F8"/>
    <w:rsid w:val="004F32E4"/>
    <w:rsid w:val="00500A01"/>
    <w:rsid w:val="005020E0"/>
    <w:rsid w:val="005162A7"/>
    <w:rsid w:val="005219FD"/>
    <w:rsid w:val="005227BC"/>
    <w:rsid w:val="00531847"/>
    <w:rsid w:val="00563432"/>
    <w:rsid w:val="00567181"/>
    <w:rsid w:val="0056795D"/>
    <w:rsid w:val="00567F5B"/>
    <w:rsid w:val="005712D2"/>
    <w:rsid w:val="00577341"/>
    <w:rsid w:val="00584440"/>
    <w:rsid w:val="00584AB2"/>
    <w:rsid w:val="005A045B"/>
    <w:rsid w:val="005C4246"/>
    <w:rsid w:val="005E2AAD"/>
    <w:rsid w:val="005E6570"/>
    <w:rsid w:val="005F6D5A"/>
    <w:rsid w:val="005F7C75"/>
    <w:rsid w:val="00605AD3"/>
    <w:rsid w:val="00614AFB"/>
    <w:rsid w:val="0063231B"/>
    <w:rsid w:val="00634A5B"/>
    <w:rsid w:val="006412B4"/>
    <w:rsid w:val="00644724"/>
    <w:rsid w:val="006621E8"/>
    <w:rsid w:val="006662E0"/>
    <w:rsid w:val="0066772B"/>
    <w:rsid w:val="006714E9"/>
    <w:rsid w:val="00693F38"/>
    <w:rsid w:val="006A7E9D"/>
    <w:rsid w:val="006C3D51"/>
    <w:rsid w:val="006D3009"/>
    <w:rsid w:val="006E2BF0"/>
    <w:rsid w:val="006E66C3"/>
    <w:rsid w:val="006E6CCB"/>
    <w:rsid w:val="006F2FB6"/>
    <w:rsid w:val="0070357E"/>
    <w:rsid w:val="00705567"/>
    <w:rsid w:val="00706624"/>
    <w:rsid w:val="007124B3"/>
    <w:rsid w:val="0071479F"/>
    <w:rsid w:val="00727301"/>
    <w:rsid w:val="007326C0"/>
    <w:rsid w:val="007400F4"/>
    <w:rsid w:val="007417B7"/>
    <w:rsid w:val="00744ECD"/>
    <w:rsid w:val="0074771B"/>
    <w:rsid w:val="0075060E"/>
    <w:rsid w:val="00753744"/>
    <w:rsid w:val="00761E6F"/>
    <w:rsid w:val="0077735F"/>
    <w:rsid w:val="00787709"/>
    <w:rsid w:val="007905BD"/>
    <w:rsid w:val="00794D71"/>
    <w:rsid w:val="007A2691"/>
    <w:rsid w:val="007C2126"/>
    <w:rsid w:val="007C26D2"/>
    <w:rsid w:val="007C4CA3"/>
    <w:rsid w:val="007F0052"/>
    <w:rsid w:val="007F74DD"/>
    <w:rsid w:val="008039C0"/>
    <w:rsid w:val="00804E0B"/>
    <w:rsid w:val="00807066"/>
    <w:rsid w:val="0084623A"/>
    <w:rsid w:val="0085041B"/>
    <w:rsid w:val="00854799"/>
    <w:rsid w:val="00862110"/>
    <w:rsid w:val="008714CC"/>
    <w:rsid w:val="00877EF6"/>
    <w:rsid w:val="008956B2"/>
    <w:rsid w:val="008A2C6F"/>
    <w:rsid w:val="008A6F0B"/>
    <w:rsid w:val="008B0CF5"/>
    <w:rsid w:val="008B3592"/>
    <w:rsid w:val="008B4F14"/>
    <w:rsid w:val="008C1C39"/>
    <w:rsid w:val="008C6746"/>
    <w:rsid w:val="008D33C3"/>
    <w:rsid w:val="008D655F"/>
    <w:rsid w:val="008D6D43"/>
    <w:rsid w:val="008E27F8"/>
    <w:rsid w:val="008F3B49"/>
    <w:rsid w:val="00904B2F"/>
    <w:rsid w:val="00930A20"/>
    <w:rsid w:val="00954254"/>
    <w:rsid w:val="0095663A"/>
    <w:rsid w:val="00966134"/>
    <w:rsid w:val="00966140"/>
    <w:rsid w:val="00966600"/>
    <w:rsid w:val="009712D9"/>
    <w:rsid w:val="00971FEA"/>
    <w:rsid w:val="009741F2"/>
    <w:rsid w:val="00982EE1"/>
    <w:rsid w:val="00990BB0"/>
    <w:rsid w:val="009A2112"/>
    <w:rsid w:val="009B1FCF"/>
    <w:rsid w:val="009B7CA2"/>
    <w:rsid w:val="009C28DB"/>
    <w:rsid w:val="009D047A"/>
    <w:rsid w:val="009D3587"/>
    <w:rsid w:val="009D3CC3"/>
    <w:rsid w:val="009E093D"/>
    <w:rsid w:val="009E6581"/>
    <w:rsid w:val="009F4464"/>
    <w:rsid w:val="00A027A3"/>
    <w:rsid w:val="00A3042E"/>
    <w:rsid w:val="00A308F7"/>
    <w:rsid w:val="00A31325"/>
    <w:rsid w:val="00A32A32"/>
    <w:rsid w:val="00A349D4"/>
    <w:rsid w:val="00A402FB"/>
    <w:rsid w:val="00A418FE"/>
    <w:rsid w:val="00A52E5E"/>
    <w:rsid w:val="00A8057A"/>
    <w:rsid w:val="00A83F28"/>
    <w:rsid w:val="00A91B04"/>
    <w:rsid w:val="00A94564"/>
    <w:rsid w:val="00A97CC4"/>
    <w:rsid w:val="00AA0A83"/>
    <w:rsid w:val="00AB6212"/>
    <w:rsid w:val="00AB762D"/>
    <w:rsid w:val="00AC7CC3"/>
    <w:rsid w:val="00AD02CD"/>
    <w:rsid w:val="00AD0678"/>
    <w:rsid w:val="00AD08CE"/>
    <w:rsid w:val="00AD5C38"/>
    <w:rsid w:val="00AD7076"/>
    <w:rsid w:val="00AD7B0B"/>
    <w:rsid w:val="00AE0FA5"/>
    <w:rsid w:val="00AE1F0A"/>
    <w:rsid w:val="00AE70F6"/>
    <w:rsid w:val="00AE7F01"/>
    <w:rsid w:val="00AF3B1C"/>
    <w:rsid w:val="00AF41EB"/>
    <w:rsid w:val="00B10ADF"/>
    <w:rsid w:val="00B10C9B"/>
    <w:rsid w:val="00B20DA7"/>
    <w:rsid w:val="00B30947"/>
    <w:rsid w:val="00B338EB"/>
    <w:rsid w:val="00B349ED"/>
    <w:rsid w:val="00B44A64"/>
    <w:rsid w:val="00B511CE"/>
    <w:rsid w:val="00B51479"/>
    <w:rsid w:val="00B62C08"/>
    <w:rsid w:val="00B658B1"/>
    <w:rsid w:val="00B7165E"/>
    <w:rsid w:val="00B72E57"/>
    <w:rsid w:val="00B74598"/>
    <w:rsid w:val="00B7712A"/>
    <w:rsid w:val="00B911BC"/>
    <w:rsid w:val="00BA4DF2"/>
    <w:rsid w:val="00BA5A8E"/>
    <w:rsid w:val="00BB07A1"/>
    <w:rsid w:val="00BB50FE"/>
    <w:rsid w:val="00BC5B91"/>
    <w:rsid w:val="00BC61EF"/>
    <w:rsid w:val="00BD3B50"/>
    <w:rsid w:val="00BE7FAA"/>
    <w:rsid w:val="00C01EF1"/>
    <w:rsid w:val="00C075BA"/>
    <w:rsid w:val="00C16F4E"/>
    <w:rsid w:val="00C24AF9"/>
    <w:rsid w:val="00C25044"/>
    <w:rsid w:val="00C2683A"/>
    <w:rsid w:val="00C26D43"/>
    <w:rsid w:val="00C42DB4"/>
    <w:rsid w:val="00C5385B"/>
    <w:rsid w:val="00C54868"/>
    <w:rsid w:val="00C6755D"/>
    <w:rsid w:val="00C87423"/>
    <w:rsid w:val="00C97C67"/>
    <w:rsid w:val="00CA7310"/>
    <w:rsid w:val="00CB7FF5"/>
    <w:rsid w:val="00CD3CE8"/>
    <w:rsid w:val="00CE0FD4"/>
    <w:rsid w:val="00CE2EA4"/>
    <w:rsid w:val="00D004EC"/>
    <w:rsid w:val="00D03E45"/>
    <w:rsid w:val="00D10640"/>
    <w:rsid w:val="00D13A16"/>
    <w:rsid w:val="00D232D6"/>
    <w:rsid w:val="00D2624C"/>
    <w:rsid w:val="00D321BB"/>
    <w:rsid w:val="00D3556C"/>
    <w:rsid w:val="00D53E65"/>
    <w:rsid w:val="00D61E3A"/>
    <w:rsid w:val="00D6312C"/>
    <w:rsid w:val="00D76E1C"/>
    <w:rsid w:val="00D8300B"/>
    <w:rsid w:val="00D844EC"/>
    <w:rsid w:val="00D848A6"/>
    <w:rsid w:val="00D865B8"/>
    <w:rsid w:val="00D90D0C"/>
    <w:rsid w:val="00D97207"/>
    <w:rsid w:val="00DA1290"/>
    <w:rsid w:val="00DB5658"/>
    <w:rsid w:val="00DE0420"/>
    <w:rsid w:val="00DE2E36"/>
    <w:rsid w:val="00DF0C83"/>
    <w:rsid w:val="00DF65E2"/>
    <w:rsid w:val="00E0012E"/>
    <w:rsid w:val="00E0066F"/>
    <w:rsid w:val="00E00BEC"/>
    <w:rsid w:val="00E174A2"/>
    <w:rsid w:val="00E30DB2"/>
    <w:rsid w:val="00E327EA"/>
    <w:rsid w:val="00E330FD"/>
    <w:rsid w:val="00E4727E"/>
    <w:rsid w:val="00E6421F"/>
    <w:rsid w:val="00E7409C"/>
    <w:rsid w:val="00E95874"/>
    <w:rsid w:val="00EB02C9"/>
    <w:rsid w:val="00EB2009"/>
    <w:rsid w:val="00EB74EC"/>
    <w:rsid w:val="00EC28AD"/>
    <w:rsid w:val="00EC587F"/>
    <w:rsid w:val="00EC5E1B"/>
    <w:rsid w:val="00ED6884"/>
    <w:rsid w:val="00EF644A"/>
    <w:rsid w:val="00EF7509"/>
    <w:rsid w:val="00F12807"/>
    <w:rsid w:val="00F144F3"/>
    <w:rsid w:val="00F314F0"/>
    <w:rsid w:val="00F32CF1"/>
    <w:rsid w:val="00F63036"/>
    <w:rsid w:val="00F66A16"/>
    <w:rsid w:val="00F677C2"/>
    <w:rsid w:val="00F87E4A"/>
    <w:rsid w:val="00F967EB"/>
    <w:rsid w:val="00FA1628"/>
    <w:rsid w:val="00FA492D"/>
    <w:rsid w:val="00FA75E3"/>
    <w:rsid w:val="00FB7733"/>
    <w:rsid w:val="00FD2AEE"/>
    <w:rsid w:val="00FE6A34"/>
    <w:rsid w:val="00FF119C"/>
    <w:rsid w:val="00FF26A3"/>
    <w:rsid w:val="011929B3"/>
    <w:rsid w:val="03F84BAB"/>
    <w:rsid w:val="06DA696C"/>
    <w:rsid w:val="0A591619"/>
    <w:rsid w:val="0A79727C"/>
    <w:rsid w:val="0B7A709E"/>
    <w:rsid w:val="0D65AE0C"/>
    <w:rsid w:val="115D1209"/>
    <w:rsid w:val="152E1073"/>
    <w:rsid w:val="15921FBE"/>
    <w:rsid w:val="1AB473DD"/>
    <w:rsid w:val="1C06CC67"/>
    <w:rsid w:val="1D6AD321"/>
    <w:rsid w:val="1DC988A0"/>
    <w:rsid w:val="1DF814EC"/>
    <w:rsid w:val="1F365971"/>
    <w:rsid w:val="20D50BEC"/>
    <w:rsid w:val="2200CD38"/>
    <w:rsid w:val="221B443E"/>
    <w:rsid w:val="22BD6A6C"/>
    <w:rsid w:val="25A050E4"/>
    <w:rsid w:val="25F6C494"/>
    <w:rsid w:val="27FEE410"/>
    <w:rsid w:val="2B92C3E4"/>
    <w:rsid w:val="31ABF7A4"/>
    <w:rsid w:val="33C1F992"/>
    <w:rsid w:val="33D0E8A6"/>
    <w:rsid w:val="34458222"/>
    <w:rsid w:val="39E671D4"/>
    <w:rsid w:val="3A50D2F4"/>
    <w:rsid w:val="42985522"/>
    <w:rsid w:val="43EF350D"/>
    <w:rsid w:val="44EFDC0E"/>
    <w:rsid w:val="45A8B67B"/>
    <w:rsid w:val="4A80FA41"/>
    <w:rsid w:val="4AA2F0DC"/>
    <w:rsid w:val="4DF75855"/>
    <w:rsid w:val="4E6EF14F"/>
    <w:rsid w:val="560A8CFD"/>
    <w:rsid w:val="56A400FF"/>
    <w:rsid w:val="58AF8192"/>
    <w:rsid w:val="5982FE18"/>
    <w:rsid w:val="5ED75087"/>
    <w:rsid w:val="5F8D0537"/>
    <w:rsid w:val="5F975D5E"/>
    <w:rsid w:val="5FC96660"/>
    <w:rsid w:val="6534464D"/>
    <w:rsid w:val="680CF4DB"/>
    <w:rsid w:val="6AF80A09"/>
    <w:rsid w:val="6B2ACB75"/>
    <w:rsid w:val="6CC3CC6F"/>
    <w:rsid w:val="6CC9CD41"/>
    <w:rsid w:val="703345D5"/>
    <w:rsid w:val="72378032"/>
    <w:rsid w:val="78549EBE"/>
    <w:rsid w:val="795ADC1E"/>
    <w:rsid w:val="79A74020"/>
    <w:rsid w:val="79E96762"/>
    <w:rsid w:val="7D1D2ED7"/>
    <w:rsid w:val="7D8388E5"/>
    <w:rsid w:val="7F8CD3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F3EA"/>
  <w15:chartTrackingRefBased/>
  <w15:docId w15:val="{0C179198-32E3-4FFD-84DC-DBD6637A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1EB"/>
    <w:pPr>
      <w:jc w:val="both"/>
    </w:pPr>
  </w:style>
  <w:style w:type="paragraph" w:styleId="Heading1">
    <w:name w:val="heading 1"/>
    <w:basedOn w:val="Normal"/>
    <w:next w:val="Normal"/>
    <w:link w:val="Heading1Char"/>
    <w:uiPriority w:val="9"/>
    <w:qFormat/>
    <w:rsid w:val="008D655F"/>
    <w:pPr>
      <w:keepNext/>
      <w:keepLines/>
      <w:spacing w:before="360" w:after="80"/>
      <w:jc w:val="left"/>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A32A32"/>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A32"/>
    <w:pPr>
      <w:keepNext/>
      <w:keepLines/>
      <w:spacing w:before="160" w:after="80"/>
      <w:jc w:val="lef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A32"/>
    <w:pPr>
      <w:keepNext/>
      <w:keepLines/>
      <w:spacing w:before="80" w:after="40"/>
      <w:jc w:val="lef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A32"/>
    <w:pPr>
      <w:keepNext/>
      <w:keepLines/>
      <w:spacing w:before="80" w:after="40"/>
      <w:jc w:val="lef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A32"/>
    <w:pPr>
      <w:keepNext/>
      <w:keepLines/>
      <w:spacing w:before="40" w:after="0"/>
      <w:jc w:val="lef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A32"/>
    <w:pPr>
      <w:keepNext/>
      <w:keepLines/>
      <w:spacing w:before="40" w:after="0"/>
      <w:jc w:val="lef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A32"/>
    <w:pPr>
      <w:keepNext/>
      <w:keepLines/>
      <w:spacing w:after="0"/>
      <w:jc w:val="lef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A32"/>
    <w:pPr>
      <w:keepNext/>
      <w:keepLines/>
      <w:spacing w:after="0"/>
      <w:jc w:val="lef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55F"/>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A32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A32"/>
    <w:rPr>
      <w:rFonts w:eastAsiaTheme="majorEastAsia" w:cstheme="majorBidi"/>
      <w:color w:val="272727" w:themeColor="text1" w:themeTint="D8"/>
    </w:rPr>
  </w:style>
  <w:style w:type="paragraph" w:styleId="Title">
    <w:name w:val="Title"/>
    <w:basedOn w:val="Normal"/>
    <w:next w:val="Normal"/>
    <w:link w:val="TitleChar"/>
    <w:uiPriority w:val="10"/>
    <w:qFormat/>
    <w:rsid w:val="00A32A32"/>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A32"/>
    <w:pPr>
      <w:numPr>
        <w:ilvl w:val="1"/>
      </w:numPr>
      <w:jc w:val="left"/>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A32"/>
    <w:pPr>
      <w:spacing w:before="160"/>
      <w:jc w:val="center"/>
    </w:pPr>
    <w:rPr>
      <w:i/>
      <w:iCs/>
      <w:color w:val="404040" w:themeColor="text1" w:themeTint="BF"/>
    </w:rPr>
  </w:style>
  <w:style w:type="character" w:customStyle="1" w:styleId="QuoteChar">
    <w:name w:val="Quote Char"/>
    <w:basedOn w:val="DefaultParagraphFont"/>
    <w:link w:val="Quote"/>
    <w:uiPriority w:val="29"/>
    <w:rsid w:val="00A32A32"/>
    <w:rPr>
      <w:i/>
      <w:iCs/>
      <w:color w:val="404040" w:themeColor="text1" w:themeTint="BF"/>
    </w:rPr>
  </w:style>
  <w:style w:type="paragraph" w:styleId="ListParagraph">
    <w:name w:val="List Paragraph"/>
    <w:basedOn w:val="Normal"/>
    <w:uiPriority w:val="34"/>
    <w:qFormat/>
    <w:rsid w:val="00A32A32"/>
    <w:pPr>
      <w:ind w:left="720"/>
      <w:contextualSpacing/>
      <w:jc w:val="left"/>
    </w:pPr>
  </w:style>
  <w:style w:type="character" w:styleId="IntenseEmphasis">
    <w:name w:val="Intense Emphasis"/>
    <w:basedOn w:val="DefaultParagraphFont"/>
    <w:uiPriority w:val="21"/>
    <w:qFormat/>
    <w:rsid w:val="00A32A32"/>
    <w:rPr>
      <w:i/>
      <w:iCs/>
      <w:color w:val="0F4761" w:themeColor="accent1" w:themeShade="BF"/>
    </w:rPr>
  </w:style>
  <w:style w:type="paragraph" w:styleId="IntenseQuote">
    <w:name w:val="Intense Quote"/>
    <w:basedOn w:val="Normal"/>
    <w:next w:val="Normal"/>
    <w:link w:val="IntenseQuoteChar"/>
    <w:uiPriority w:val="30"/>
    <w:qFormat/>
    <w:rsid w:val="00A32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A32"/>
    <w:rPr>
      <w:i/>
      <w:iCs/>
      <w:color w:val="0F4761" w:themeColor="accent1" w:themeShade="BF"/>
    </w:rPr>
  </w:style>
  <w:style w:type="character" w:styleId="IntenseReference">
    <w:name w:val="Intense Reference"/>
    <w:basedOn w:val="DefaultParagraphFont"/>
    <w:uiPriority w:val="32"/>
    <w:qFormat/>
    <w:rsid w:val="00A32A32"/>
    <w:rPr>
      <w:b/>
      <w:bCs/>
      <w:smallCaps/>
      <w:color w:val="0F4761" w:themeColor="accent1" w:themeShade="BF"/>
      <w:spacing w:val="5"/>
    </w:rPr>
  </w:style>
  <w:style w:type="character" w:styleId="Strong">
    <w:name w:val="Strong"/>
    <w:basedOn w:val="DefaultParagraphFont"/>
    <w:uiPriority w:val="22"/>
    <w:qFormat/>
    <w:rsid w:val="00A32A32"/>
    <w:rPr>
      <w:b/>
      <w:bCs/>
    </w:rPr>
  </w:style>
  <w:style w:type="character" w:styleId="Emphasis">
    <w:name w:val="Emphasis"/>
    <w:basedOn w:val="DefaultParagraphFont"/>
    <w:uiPriority w:val="20"/>
    <w:qFormat/>
    <w:rsid w:val="00A32A32"/>
    <w:rPr>
      <w:i/>
      <w:iCs/>
    </w:rPr>
  </w:style>
  <w:style w:type="table" w:styleId="PlainTable1">
    <w:name w:val="Plain Table 1"/>
    <w:basedOn w:val="TableNormal"/>
    <w:uiPriority w:val="41"/>
    <w:rsid w:val="00A32A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AD0678"/>
    <w:pPr>
      <w:tabs>
        <w:tab w:val="left" w:pos="384"/>
      </w:tabs>
      <w:spacing w:after="0" w:line="480" w:lineRule="auto"/>
      <w:ind w:left="384" w:hanging="384"/>
    </w:pPr>
  </w:style>
  <w:style w:type="paragraph" w:styleId="Revision">
    <w:name w:val="Revision"/>
    <w:hidden/>
    <w:uiPriority w:val="99"/>
    <w:semiHidden/>
    <w:rsid w:val="004149C5"/>
    <w:pPr>
      <w:spacing w:after="0" w:line="240" w:lineRule="auto"/>
    </w:pPr>
  </w:style>
  <w:style w:type="paragraph" w:styleId="CommentText">
    <w:name w:val="annotation text"/>
    <w:basedOn w:val="Normal"/>
    <w:link w:val="CommentTextChar"/>
    <w:uiPriority w:val="99"/>
    <w:semiHidden/>
    <w:unhideWhenUsed/>
    <w:rsid w:val="008039C0"/>
    <w:pPr>
      <w:spacing w:line="240" w:lineRule="auto"/>
    </w:pPr>
    <w:rPr>
      <w:sz w:val="20"/>
      <w:szCs w:val="20"/>
    </w:rPr>
  </w:style>
  <w:style w:type="character" w:customStyle="1" w:styleId="CommentTextChar">
    <w:name w:val="Comment Text Char"/>
    <w:basedOn w:val="DefaultParagraphFont"/>
    <w:link w:val="CommentText"/>
    <w:uiPriority w:val="99"/>
    <w:semiHidden/>
    <w:rsid w:val="008039C0"/>
    <w:rPr>
      <w:sz w:val="20"/>
      <w:szCs w:val="20"/>
    </w:rPr>
  </w:style>
  <w:style w:type="character" w:styleId="CommentReference">
    <w:name w:val="annotation reference"/>
    <w:basedOn w:val="DefaultParagraphFont"/>
    <w:uiPriority w:val="99"/>
    <w:semiHidden/>
    <w:unhideWhenUsed/>
    <w:rsid w:val="008039C0"/>
    <w:rPr>
      <w:sz w:val="16"/>
      <w:szCs w:val="16"/>
    </w:rPr>
  </w:style>
  <w:style w:type="paragraph" w:styleId="CommentSubject">
    <w:name w:val="annotation subject"/>
    <w:basedOn w:val="CommentText"/>
    <w:next w:val="CommentText"/>
    <w:link w:val="CommentSubjectChar"/>
    <w:uiPriority w:val="99"/>
    <w:semiHidden/>
    <w:unhideWhenUsed/>
    <w:rsid w:val="00B74598"/>
    <w:rPr>
      <w:b/>
      <w:bCs/>
    </w:rPr>
  </w:style>
  <w:style w:type="character" w:customStyle="1" w:styleId="CommentSubjectChar">
    <w:name w:val="Comment Subject Char"/>
    <w:basedOn w:val="CommentTextChar"/>
    <w:link w:val="CommentSubject"/>
    <w:uiPriority w:val="99"/>
    <w:semiHidden/>
    <w:rsid w:val="00B745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4417B-BFBB-C14F-B7B7-AC89ACB47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Pages>
  <Words>2778</Words>
  <Characters>17931</Characters>
  <Application>Microsoft Office Word</Application>
  <DocSecurity>0</DocSecurity>
  <Lines>271</Lines>
  <Paragraphs>71</Paragraphs>
  <ScaleCrop>false</ScaleCrop>
  <HeadingPairs>
    <vt:vector size="2" baseType="variant">
      <vt:variant>
        <vt:lpstr>Title</vt:lpstr>
      </vt:variant>
      <vt:variant>
        <vt:i4>1</vt:i4>
      </vt:variant>
    </vt:vector>
  </HeadingPairs>
  <TitlesOfParts>
    <vt:vector size="1" baseType="lpstr">
      <vt:lpstr/>
    </vt:vector>
  </TitlesOfParts>
  <Company>Howard Hughes Medical Institute</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Mohar, Boaz</dc:creator>
  <cp:keywords/>
  <dc:description/>
  <cp:lastModifiedBy>Mohar, Boaz</cp:lastModifiedBy>
  <cp:revision>198</cp:revision>
  <cp:lastPrinted>2026-02-02T01:03:00Z</cp:lastPrinted>
  <dcterms:created xsi:type="dcterms:W3CDTF">2026-02-03T00:59:00Z</dcterms:created>
  <dcterms:modified xsi:type="dcterms:W3CDTF">2026-03-18T19:45:00Z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id="Kk1yS0kM"/&gt;&lt;style id="http://www.zotero.org/styles/nature" hasBibliography="1" bibliographyStyleHasBeenSet="1"/&gt;&lt;prefs&gt;&lt;pref name="fieldType" value="Field"/&gt;&lt;/prefs&gt;&lt;/data&gt;</vt:lpwstr>
  </property>
  <property fmtid="{D5CDD505-2E9C-101B-9397-08002B2CF9AE}" pid="3" name="MSIP_Label_e8906ff0-52ec-452d-8c5e-cde77f900816_Enabled">
    <vt:lpwstr>true</vt:lpwstr>
  </property>
  <property fmtid="{D5CDD505-2E9C-101B-9397-08002B2CF9AE}" pid="4" name="MSIP_Label_e8906ff0-52ec-452d-8c5e-cde77f900816_SetDate">
    <vt:lpwstr>2026-02-03T00:59:01Z</vt:lpwstr>
  </property>
  <property fmtid="{D5CDD505-2E9C-101B-9397-08002B2CF9AE}" pid="5" name="MSIP_Label_e8906ff0-52ec-452d-8c5e-cde77f900816_Method">
    <vt:lpwstr>Privileged</vt:lpwstr>
  </property>
  <property fmtid="{D5CDD505-2E9C-101B-9397-08002B2CF9AE}" pid="6" name="MSIP_Label_e8906ff0-52ec-452d-8c5e-cde77f900816_Name">
    <vt:lpwstr>e8906ff0-52ec-452d-8c5e-cde77f900816</vt:lpwstr>
  </property>
  <property fmtid="{D5CDD505-2E9C-101B-9397-08002B2CF9AE}" pid="7" name="MSIP_Label_e8906ff0-52ec-452d-8c5e-cde77f900816_SiteId">
    <vt:lpwstr>dd8acbd0-ad85-4eb9-8a76-871027ad4a1b</vt:lpwstr>
  </property>
  <property fmtid="{D5CDD505-2E9C-101B-9397-08002B2CF9AE}" pid="8" name="MSIP_Label_e8906ff0-52ec-452d-8c5e-cde77f900816_ActionId">
    <vt:lpwstr>4d2108fe-5a66-4135-8c45-bc9820046080</vt:lpwstr>
  </property>
  <property fmtid="{D5CDD505-2E9C-101B-9397-08002B2CF9AE}" pid="9" name="MSIP_Label_e8906ff0-52ec-452d-8c5e-cde77f900816_ContentBits">
    <vt:lpwstr>0</vt:lpwstr>
  </property>
  <property fmtid="{D5CDD505-2E9C-101B-9397-08002B2CF9AE}" pid="10" name="MSIP_Label_e8906ff0-52ec-452d-8c5e-cde77f900816_Tag">
    <vt:lpwstr>50, 0, 1, 1</vt:lpwstr>
  </property>
</Properties>
</file>