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4826" w14:textId="77777777" w:rsidR="00B22C2E" w:rsidRDefault="00000000">
      <w:pPr>
        <w:spacing w:after="80"/>
        <w:jc w:val="center"/>
      </w:pPr>
      <w:r>
        <w:rPr>
          <w:b/>
          <w:bCs/>
          <w:sz w:val="40"/>
          <w:szCs w:val="40"/>
        </w:rPr>
        <w:t>Janelia Synapse Project</w:t>
      </w:r>
    </w:p>
    <w:p w14:paraId="0E7E7578" w14:textId="77777777" w:rsidR="00654FB0" w:rsidRDefault="00000000">
      <w:pPr>
        <w:spacing w:after="40"/>
        <w:jc w:val="center"/>
        <w:rPr>
          <w:i/>
          <w:iCs/>
          <w:sz w:val="24"/>
          <w:szCs w:val="24"/>
        </w:rPr>
      </w:pPr>
      <w:r>
        <w:rPr>
          <w:i/>
          <w:iCs/>
          <w:sz w:val="24"/>
          <w:szCs w:val="24"/>
        </w:rPr>
        <w:t>Imaging the molecular and structural basis of behavioral timescale synaptic plasticity,</w:t>
      </w:r>
    </w:p>
    <w:p w14:paraId="7F5B4827" w14:textId="2030E2EE" w:rsidR="00B22C2E" w:rsidRDefault="00000000">
      <w:pPr>
        <w:spacing w:after="40"/>
        <w:jc w:val="center"/>
      </w:pPr>
      <w:r>
        <w:rPr>
          <w:i/>
          <w:iCs/>
          <w:sz w:val="24"/>
          <w:szCs w:val="24"/>
        </w:rPr>
        <w:t>with AI-in-the-loop</w:t>
      </w:r>
    </w:p>
    <w:p w14:paraId="7F5B4828" w14:textId="77777777" w:rsidR="00B22C2E" w:rsidRDefault="00000000">
      <w:pPr>
        <w:spacing w:after="40"/>
        <w:jc w:val="center"/>
      </w:pPr>
      <w:r>
        <w:t>Jeff Magee &amp; Nelson Spruston</w:t>
      </w:r>
    </w:p>
    <w:p w14:paraId="7F5B4829" w14:textId="51D9EBAC" w:rsidR="00B22C2E" w:rsidRDefault="00000000">
      <w:pPr>
        <w:spacing w:after="240"/>
        <w:jc w:val="center"/>
      </w:pPr>
      <w:r>
        <w:rPr>
          <w:i/>
          <w:iCs/>
          <w:sz w:val="20"/>
          <w:szCs w:val="20"/>
        </w:rPr>
        <w:t>April 2026 — version 4</w:t>
      </w:r>
    </w:p>
    <w:p w14:paraId="7F5B482A" w14:textId="77777777" w:rsidR="00B22C2E" w:rsidRDefault="00000000">
      <w:pPr>
        <w:pStyle w:val="Heading1"/>
      </w:pPr>
      <w:r>
        <w:t>Summary</w:t>
      </w:r>
    </w:p>
    <w:p w14:paraId="3B229736" w14:textId="40500B43" w:rsidR="00F56214" w:rsidRDefault="00000000">
      <w:pPr>
        <w:spacing w:before="80" w:after="120" w:line="300" w:lineRule="auto"/>
      </w:pPr>
      <w:r>
        <w:t xml:space="preserve">We propose to combine advanced imaging, molecular labeling, and AI-in-the-loop experimentation to study the molecular and structural mechanisms underlying </w:t>
      </w:r>
      <w:r>
        <w:rPr>
          <w:b/>
          <w:bCs/>
        </w:rPr>
        <w:t>behavioral timescale synaptic plasticity</w:t>
      </w:r>
      <w:r>
        <w:t xml:space="preserve"> (BTSP) — the first-and-only form of synaptic plasticity that has been definitively identified as an underlying mechanism of learning in behaving mice. Since its discovery by the Magee lab at Janelia in 2015, much has been learned about the cellular rules that govern BTSP induction at CA3-to-CA1 synapses in the hippocampus. However, the </w:t>
      </w:r>
      <w:r>
        <w:rPr>
          <w:b/>
          <w:bCs/>
        </w:rPr>
        <w:t>molecular mechanisms</w:t>
      </w:r>
      <w:r>
        <w:t xml:space="preserve"> underlying induction, and especially those that distinguish stable from transient potentiation, remain open. Resolving them is now within reach because of a convergence of Janelia-developed tools — random-access mesoscopic two-photon imaging, dual-color genetically encoded indicators, Janelia Fluor (JF) dyes, DELTA, STAMP, iGluSnFR3 with the SLAP-2 microscope, expansion-microscopy-based light connectomics (LICONN), and Janelia’s analysis pipelines — combined with AI methods that are nearly mature enough to participate across the full scientific loop, from literature review through real-time experimental control to hypothesis generation.</w:t>
      </w:r>
    </w:p>
    <w:p w14:paraId="7F5B482B" w14:textId="72EB2D48" w:rsidR="00B22C2E" w:rsidRDefault="00F56214">
      <w:pPr>
        <w:spacing w:before="80" w:after="120" w:line="300" w:lineRule="auto"/>
      </w:pPr>
      <w:r>
        <w:t>All methods listed here are described in detail, with citations, in the body of this document.</w:t>
      </w:r>
    </w:p>
    <w:p w14:paraId="7F5B482C" w14:textId="26673DB1" w:rsidR="00B22C2E" w:rsidRDefault="00000000">
      <w:pPr>
        <w:spacing w:before="80" w:after="120" w:line="300" w:lineRule="auto"/>
      </w:pPr>
      <w:r>
        <w:t xml:space="preserve">The </w:t>
      </w:r>
      <w:r>
        <w:rPr>
          <w:b/>
          <w:bCs/>
        </w:rPr>
        <w:t>experimental design</w:t>
      </w:r>
      <w:r>
        <w:t xml:space="preserve"> is shaped by the realities of resolution and throughput. We image a population of CA1 pyramidal neurons and their CA3 axonal inputs in vivo as mice learn a virtual-reality task. AI detects plateau potentials online and triggers immediate adaptive zoom-in. Because thoroughly imaging the full dendritic arborization of a CA1 cell at the resolution required to resolve every synapse is itself a heroic undertaking, we focus each animal on a single CA1 pyramidal neuron in which a BTSP event has been observed and follow that one cell across multi-day sessions to distinguish stable from transient potentiation. The same brain is then processed for LICONN expansion microscopy on that focal cell, yielding ultrastructure and protein-level molecular composition for the entire dendritic tree. Several complementary sparse-labeling strategies — including viral-transduction and birthdate-matched approaches — will be used to enrich the dataset for functionally connected CA3-CA1 pairs.</w:t>
      </w:r>
    </w:p>
    <w:p w14:paraId="7F5B482D" w14:textId="0D346A32" w:rsidR="00B22C2E" w:rsidRDefault="00000000">
      <w:pPr>
        <w:spacing w:before="80" w:after="120" w:line="300" w:lineRule="auto"/>
      </w:pPr>
      <w:r>
        <w:t xml:space="preserve">The program’s primary objective is empirical: to compare the molecular and ultrastructural correlates of synapses whose pre- and post-synaptic activity made them likely versus unlikely participants in observed BTSP events, and to compare those that produce stable versus transient potentiation. Beyond these comparisons, the dataset will let us test specific hypotheses already in the literature — including the two-layer postsynaptic-density model that distinguishes synaptic weight from synaptic stability, and the </w:t>
      </w:r>
      <w:r>
        <w:lastRenderedPageBreak/>
        <w:t>hypothesis that spine-neck resistance is matched to synaptic strength to maintain spine-voltage homeostasis as weights change — but the program does not commit to either as the framing hypothesis. The dataset is informative across hypothesis outcomes and is the principal scientific deliverable in either case.</w:t>
      </w:r>
    </w:p>
    <w:p w14:paraId="7F5B4920" w14:textId="5094B53F" w:rsidR="00B22C2E" w:rsidRDefault="00000000">
      <w:pPr>
        <w:spacing w:before="80" w:after="120" w:line="300" w:lineRule="auto"/>
      </w:pPr>
      <w:r>
        <w:t>Per-animal yields, computed against published place-field fractions, CA3-CA1 connectivity estimates, and mouse-specific CA1 synapse counts, give roughly 10–200 functionally classified Schaffer-collateral synapses on the focal cell, with the full ~9,500 dendritic spines on that mouse CA1 cell available for ultrastructural and molecular characterization. Across a target cohort of ~100 animals, the dataset contains thousands of functionally classified synapses (BTSP-likely-stable, BTSP-likely-unstable, BTSP-unlikely active, baseline silent) and on the order of ~1 million synapses with full LICONN readout, of which hundreds of thousands are characterized at the molecular as well as ultrastructural level — a scale that is unprecedented and is enabled specifically by the one-cell-per-animal focus, by birthdate-matched labeling, and by AI-in-the-loop microscope control. Complementary glutamate-release imaging with iGluSnFR3 and SLAP-2 adds direct functional characterization of individual synapses, run in parallel by David Wong-Campos’s lab at Janelia. Slice and culture work in parallel (Magee lab at Baylor) adds dynamic imaging of synaptic proteins and develops the LICONN labeling pipeline and validates alpha-tag designs before knock-in mouse lines are committed.</w:t>
      </w:r>
    </w:p>
    <w:p w14:paraId="7F5B4940" w14:textId="77777777" w:rsidR="00B22C2E" w:rsidRDefault="00000000">
      <w:pPr>
        <w:spacing w:before="80" w:after="120" w:line="300" w:lineRule="auto"/>
      </w:pPr>
      <w:r>
        <w:t xml:space="preserve">The </w:t>
      </w:r>
      <w:r>
        <w:rPr>
          <w:b/>
          <w:bCs/>
        </w:rPr>
        <w:t>first deliverable is the dataset itself</w:t>
      </w:r>
      <w:r>
        <w:t>: a massive, multi-modal characterization of the molecular and ultrastructural composition of hundreds of thousands of synapses across ~100 mice, of which thousands will be classified as belonging to stable or unstable subtypes of synapses having undergone BTSP, and can be explicitly compared to synapses on the same neurons whose pre- and post-synaptic activity made them unlikely candidates for BTSP induction. No comparable dataset — per-synapse, behaviorally anchored, ultrastructurally resolved, and molecularly characterized at this scale — exists anywhere in the literature, and producing it is the program’s primary scientific output.</w:t>
      </w:r>
    </w:p>
    <w:p w14:paraId="41A6EDC2" w14:textId="459A7BB3" w:rsidR="00B22C2E" w:rsidRDefault="00000000">
      <w:pPr>
        <w:spacing w:before="80" w:after="120" w:line="300" w:lineRule="auto"/>
      </w:pPr>
      <w:r>
        <w:t xml:space="preserve">A </w:t>
      </w:r>
      <w:r>
        <w:rPr>
          <w:b/>
          <w:bCs/>
        </w:rPr>
        <w:t>second deliverable</w:t>
      </w:r>
      <w:r>
        <w:t xml:space="preserve"> is methodological: a </w:t>
      </w:r>
      <w:r>
        <w:rPr>
          <w:b/>
          <w:bCs/>
        </w:rPr>
        <w:t>sophisticated AI co-scientist</w:t>
      </w:r>
      <w:r>
        <w:t>, fine-tuned on the program’s growing body of literature, data, and protocols, that participates across the full scientific loop — literature analysis, hypothesis generation, experimental design, real-time microscope control, multi-modal data analysis and simulation, interpretation, and inference of plasticity rules from observed pre/post/modulator activity. AI is essential — without it, multi-modal multi-scale data fusion at this scale would be infeasible — but the goal is not just to use AI as a tool; it is to develop, test, and publish a co-scientist whose capabilities are themselves an advance. This dual focus on biology and on AI-augmented science distinguishes the program from any single-aim proposal and makes it an unusually high-leverage investment for Janelia.</w:t>
      </w:r>
    </w:p>
    <w:p w14:paraId="7F5B4921" w14:textId="6B3F373C" w:rsidR="00B22C2E" w:rsidRDefault="00000000">
      <w:pPr>
        <w:spacing w:before="80" w:after="120" w:line="300" w:lineRule="auto"/>
      </w:pPr>
      <w:r>
        <w:t xml:space="preserve">The </w:t>
      </w:r>
      <w:r>
        <w:rPr>
          <w:b/>
          <w:bCs/>
        </w:rPr>
        <w:t>team</w:t>
      </w:r>
      <w:r>
        <w:t xml:space="preserve"> is led by Jeff Magee (Baylor College of Medicine), in close partnership with Nelson Spruston, Josh Dudman, and Luke Lavis (Janelia). David Wong-Campos, and Sandro Romani constitute additional Janelia partners and external partners are envisioned. All those involved have committed significant time and effort from themselves and their lab members. Together, the team encompasses crucial </w:t>
      </w:r>
      <w:r>
        <w:lastRenderedPageBreak/>
        <w:t xml:space="preserve">expertise ranging from in vivo and in vitro circuit and synaptic biology (Magee, Spruston, Dudman); chemistry, JF dyes, and STAMP (Lavis), optical physics and iGluSnFR3/SLAP-2 imaging (Wong-Campos), and biophysical modeling (Romani). Possible external collaborators include Na Ji (UC Berkeley), Steven </w:t>
      </w:r>
      <w:proofErr w:type="spellStart"/>
      <w:r>
        <w:t>Boeynaems</w:t>
      </w:r>
      <w:proofErr w:type="spellEnd"/>
      <w:r>
        <w:t xml:space="preserve"> (Baylor), Kaspar Podgorski (Allen Institute), and Anthropic and Google as collaborative AI partners. A Principal Scientist (TBD) will serve as Project Coordinator across the participating groups.</w:t>
      </w:r>
    </w:p>
    <w:p w14:paraId="7F5B4922" w14:textId="4D3E7A70" w:rsidR="00B22C2E" w:rsidRDefault="00000000">
      <w:pPr>
        <w:spacing w:before="80" w:after="120" w:line="300" w:lineRule="auto"/>
        <w:rPr>
          <w:i/>
          <w:iCs/>
        </w:rPr>
      </w:pPr>
      <w:r>
        <w:rPr>
          <w:i/>
          <w:iCs/>
        </w:rPr>
        <w:t>The remainder of this document expands on each of the points above with the experimental detail and literature support that justifies the design and will inform a budget. A reader who is satisfied with this Summary need not read further; the body of the document is for those who want to evaluate the technical plan in depth or who will be involved in executing it.</w:t>
      </w:r>
    </w:p>
    <w:p w14:paraId="7F5B482E" w14:textId="77777777" w:rsidR="00B22C2E" w:rsidRDefault="00000000">
      <w:pPr>
        <w:pStyle w:val="Heading1"/>
      </w:pPr>
      <w:r>
        <w:t>The central scientific question</w:t>
      </w:r>
    </w:p>
    <w:p w14:paraId="7F5B482F" w14:textId="6739B763" w:rsidR="00B22C2E" w:rsidRDefault="00000000">
      <w:pPr>
        <w:spacing w:before="80" w:after="120" w:line="300" w:lineRule="auto"/>
      </w:pPr>
      <w:r>
        <w:t xml:space="preserve">How does a complex dendritic tree, receiving thousands of synaptic inputs from multiple presynaptic populations, integrate that input to produce output — and what molecular and structural changes at individual synapses encode the learning that drives behavior? Decades of work have established that synaptic plasticity supports learning, but the field has never measured, at the same identified synapses, all the variables that </w:t>
      </w:r>
      <w:proofErr w:type="gramStart"/>
      <w:r>
        <w:t>matter:</w:t>
      </w:r>
      <w:proofErr w:type="gramEnd"/>
      <w:r>
        <w:t xml:space="preserve"> pre- and post-synaptic activity during behavior, anatomical connectivity, ultrastructure, and molecular composition. We propose to do exactly that.</w:t>
      </w:r>
    </w:p>
    <w:p w14:paraId="7F5B4830" w14:textId="3207217A" w:rsidR="00B22C2E" w:rsidRDefault="00000000">
      <w:pPr>
        <w:spacing w:before="80" w:after="120" w:line="300" w:lineRule="auto"/>
      </w:pPr>
      <w:r>
        <w:t xml:space="preserve">The dataset will additionally let us test specific hypotheses that have been proposed in the literature about the molecular logic of synaptic plasticity. The most prominent of these is the suggestion that synaptic weight and synaptic stability are mechanistically dissociable in the architecture of the postsynaptic density: that weight is set rapidly via upper-layer scaffold rearrangement (PSD-95 and TARP γ-8 anchoring AMPA receptors) while stability is established more slowly via lower-layer gelation (Shank polymerization, Homer crosslinking, and Homer–IP3R coupling to the spine apparatus). This two-layer organization has been articulated through structural and biochemical work over the past two decades (reviewed in Sheng &amp; </w:t>
      </w:r>
      <w:proofErr w:type="spellStart"/>
      <w:r>
        <w:t>Hoogenraad</w:t>
      </w:r>
      <w:proofErr w:type="spellEnd"/>
      <w:r>
        <w:t xml:space="preserve"> 2007; Sheng &amp; Kim 2011). There should be an inverse correlation between how gel-like the lower-layer PSD state is and how easy it is to change the weight-determining elements in the upper layer. Furthermore, the lower layer provides a stable scaffold over the long term, into and out of which individual proteins can move without changing the synaptic weight itself, thus providing a stable synaptic weight for months even though </w:t>
      </w:r>
      <w:proofErr w:type="gramStart"/>
      <w:r>
        <w:t>all of</w:t>
      </w:r>
      <w:proofErr w:type="gramEnd"/>
      <w:r>
        <w:t xml:space="preserve"> the individual proteins have turned over. If this dissociation holds, four classes of synapses are predicted after a learning episode:</w:t>
      </w:r>
    </w:p>
    <w:p w14:paraId="7F5B4831" w14:textId="77777777" w:rsidR="00B22C2E" w:rsidRDefault="00000000" w:rsidP="004D4334">
      <w:pPr>
        <w:pStyle w:val="Heading2"/>
      </w:pPr>
      <w:r>
        <w:lastRenderedPageBreak/>
        <w:t>Predicted synaptic classes (testable, not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2840"/>
        <w:gridCol w:w="3400"/>
      </w:tblGrid>
      <w:tr w:rsidR="00B22C2E" w14:paraId="7F5B4836" w14:textId="77777777">
        <w:trPr>
          <w:tblHeader/>
        </w:trPr>
        <w:tc>
          <w:tcPr>
            <w:tcW w:w="156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7F5B4832" w14:textId="77777777" w:rsidR="00B22C2E" w:rsidRDefault="00000000" w:rsidP="004D4334">
            <w:pPr>
              <w:keepNext/>
            </w:pPr>
            <w:r>
              <w:rPr>
                <w:b/>
                <w:bCs/>
                <w:sz w:val="20"/>
                <w:szCs w:val="20"/>
              </w:rPr>
              <w:t>Weight (γ-8 / AMPAR)</w:t>
            </w:r>
          </w:p>
        </w:tc>
        <w:tc>
          <w:tcPr>
            <w:tcW w:w="156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7F5B4833" w14:textId="77777777" w:rsidR="00B22C2E" w:rsidRDefault="00000000" w:rsidP="004D4334">
            <w:pPr>
              <w:keepNext/>
            </w:pPr>
            <w:r>
              <w:rPr>
                <w:b/>
                <w:bCs/>
                <w:sz w:val="20"/>
                <w:szCs w:val="20"/>
              </w:rPr>
              <w:t>Stability (Shank / Homer)</w:t>
            </w:r>
          </w:p>
        </w:tc>
        <w:tc>
          <w:tcPr>
            <w:tcW w:w="284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7F5B4834" w14:textId="77777777" w:rsidR="00B22C2E" w:rsidRDefault="00000000" w:rsidP="004D4334">
            <w:pPr>
              <w:keepNext/>
            </w:pPr>
            <w:r>
              <w:rPr>
                <w:b/>
                <w:bCs/>
                <w:sz w:val="20"/>
                <w:szCs w:val="20"/>
              </w:rPr>
              <w:t>Predicted state</w:t>
            </w:r>
          </w:p>
        </w:tc>
        <w:tc>
          <w:tcPr>
            <w:tcW w:w="340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7F5B4835" w14:textId="77777777" w:rsidR="00B22C2E" w:rsidRDefault="00000000" w:rsidP="004D4334">
            <w:pPr>
              <w:keepNext/>
            </w:pPr>
            <w:r>
              <w:rPr>
                <w:b/>
                <w:bCs/>
                <w:sz w:val="20"/>
                <w:szCs w:val="20"/>
              </w:rPr>
              <w:t>Functional signature</w:t>
            </w:r>
          </w:p>
        </w:tc>
      </w:tr>
      <w:tr w:rsidR="00B22C2E" w14:paraId="7F5B483B" w14:textId="77777777">
        <w:tc>
          <w:tcPr>
            <w:tcW w:w="1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37" w14:textId="77777777" w:rsidR="00B22C2E" w:rsidRDefault="00000000" w:rsidP="004D4334">
            <w:pPr>
              <w:keepNext/>
            </w:pPr>
            <w:r>
              <w:rPr>
                <w:sz w:val="20"/>
                <w:szCs w:val="20"/>
              </w:rPr>
              <w:t>High</w:t>
            </w:r>
          </w:p>
        </w:tc>
        <w:tc>
          <w:tcPr>
            <w:tcW w:w="1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38" w14:textId="77777777" w:rsidR="00B22C2E" w:rsidRDefault="00000000" w:rsidP="004D4334">
            <w:pPr>
              <w:keepNext/>
            </w:pPr>
            <w:r>
              <w:rPr>
                <w:sz w:val="20"/>
                <w:szCs w:val="20"/>
              </w:rPr>
              <w:t>High</w:t>
            </w:r>
          </w:p>
        </w:tc>
        <w:tc>
          <w:tcPr>
            <w:tcW w:w="28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39" w14:textId="77777777" w:rsidR="00B22C2E" w:rsidRDefault="00000000" w:rsidP="004D4334">
            <w:pPr>
              <w:keepNext/>
            </w:pPr>
            <w:r>
              <w:rPr>
                <w:sz w:val="20"/>
                <w:szCs w:val="20"/>
              </w:rPr>
              <w:t>Strong AND stable</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3A" w14:textId="77777777" w:rsidR="00B22C2E" w:rsidRDefault="00000000" w:rsidP="004D4334">
            <w:pPr>
              <w:keepNext/>
            </w:pPr>
            <w:r>
              <w:rPr>
                <w:sz w:val="20"/>
                <w:szCs w:val="20"/>
              </w:rPr>
              <w:t>Consolidated; persistent place field across days</w:t>
            </w:r>
          </w:p>
        </w:tc>
      </w:tr>
      <w:tr w:rsidR="00B22C2E" w14:paraId="7F5B4840" w14:textId="77777777">
        <w:tc>
          <w:tcPr>
            <w:tcW w:w="1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3C" w14:textId="77777777" w:rsidR="00B22C2E" w:rsidRDefault="00000000">
            <w:pPr>
              <w:spacing w:line="260" w:lineRule="auto"/>
            </w:pPr>
            <w:r>
              <w:rPr>
                <w:sz w:val="20"/>
                <w:szCs w:val="20"/>
              </w:rPr>
              <w:t>High</w:t>
            </w:r>
          </w:p>
        </w:tc>
        <w:tc>
          <w:tcPr>
            <w:tcW w:w="1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3D" w14:textId="77777777" w:rsidR="00B22C2E" w:rsidRDefault="00000000">
            <w:pPr>
              <w:spacing w:line="260" w:lineRule="auto"/>
            </w:pPr>
            <w:r>
              <w:rPr>
                <w:sz w:val="20"/>
                <w:szCs w:val="20"/>
              </w:rPr>
              <w:t>Low</w:t>
            </w:r>
          </w:p>
        </w:tc>
        <w:tc>
          <w:tcPr>
            <w:tcW w:w="28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3E" w14:textId="77777777" w:rsidR="00B22C2E" w:rsidRDefault="00000000">
            <w:pPr>
              <w:spacing w:line="260" w:lineRule="auto"/>
            </w:pPr>
            <w:r>
              <w:rPr>
                <w:sz w:val="20"/>
                <w:szCs w:val="20"/>
              </w:rPr>
              <w:t>Strong but unstable</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3F" w14:textId="080D0EF1" w:rsidR="00B22C2E" w:rsidRDefault="00000000">
            <w:pPr>
              <w:spacing w:line="260" w:lineRule="auto"/>
            </w:pPr>
            <w:r>
              <w:rPr>
                <w:sz w:val="20"/>
                <w:szCs w:val="20"/>
              </w:rPr>
              <w:t>Recently potentiated; place field at risk of decay</w:t>
            </w:r>
          </w:p>
        </w:tc>
      </w:tr>
      <w:tr w:rsidR="00B22C2E" w14:paraId="7F5B4845" w14:textId="77777777">
        <w:tc>
          <w:tcPr>
            <w:tcW w:w="1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41" w14:textId="77777777" w:rsidR="00B22C2E" w:rsidRDefault="00000000">
            <w:pPr>
              <w:spacing w:line="260" w:lineRule="auto"/>
            </w:pPr>
            <w:r>
              <w:rPr>
                <w:sz w:val="20"/>
                <w:szCs w:val="20"/>
              </w:rPr>
              <w:t>Low</w:t>
            </w:r>
          </w:p>
        </w:tc>
        <w:tc>
          <w:tcPr>
            <w:tcW w:w="1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42" w14:textId="77777777" w:rsidR="00B22C2E" w:rsidRDefault="00000000">
            <w:pPr>
              <w:spacing w:line="260" w:lineRule="auto"/>
            </w:pPr>
            <w:r>
              <w:rPr>
                <w:sz w:val="20"/>
                <w:szCs w:val="20"/>
              </w:rPr>
              <w:t>High</w:t>
            </w:r>
          </w:p>
        </w:tc>
        <w:tc>
          <w:tcPr>
            <w:tcW w:w="28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43" w14:textId="77777777" w:rsidR="00B22C2E" w:rsidRDefault="00000000">
            <w:pPr>
              <w:spacing w:line="260" w:lineRule="auto"/>
            </w:pPr>
            <w:r>
              <w:rPr>
                <w:sz w:val="20"/>
                <w:szCs w:val="20"/>
              </w:rPr>
              <w:t>Weak but maintained</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44" w14:textId="77777777" w:rsidR="00B22C2E" w:rsidRDefault="00000000">
            <w:pPr>
              <w:spacing w:line="260" w:lineRule="auto"/>
            </w:pPr>
            <w:r>
              <w:rPr>
                <w:sz w:val="20"/>
                <w:szCs w:val="20"/>
              </w:rPr>
              <w:t>Decayed weight; structural template preserved for re-potentiation</w:t>
            </w:r>
          </w:p>
        </w:tc>
      </w:tr>
      <w:tr w:rsidR="00B22C2E" w14:paraId="7F5B484A" w14:textId="77777777">
        <w:tc>
          <w:tcPr>
            <w:tcW w:w="1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46" w14:textId="77777777" w:rsidR="00B22C2E" w:rsidRDefault="00000000">
            <w:pPr>
              <w:spacing w:line="260" w:lineRule="auto"/>
            </w:pPr>
            <w:r>
              <w:rPr>
                <w:sz w:val="20"/>
                <w:szCs w:val="20"/>
              </w:rPr>
              <w:t>Low</w:t>
            </w:r>
          </w:p>
        </w:tc>
        <w:tc>
          <w:tcPr>
            <w:tcW w:w="15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47" w14:textId="77777777" w:rsidR="00B22C2E" w:rsidRDefault="00000000">
            <w:pPr>
              <w:spacing w:line="260" w:lineRule="auto"/>
            </w:pPr>
            <w:r>
              <w:rPr>
                <w:sz w:val="20"/>
                <w:szCs w:val="20"/>
              </w:rPr>
              <w:t>Low</w:t>
            </w:r>
          </w:p>
        </w:tc>
        <w:tc>
          <w:tcPr>
            <w:tcW w:w="28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48" w14:textId="77777777" w:rsidR="00B22C2E" w:rsidRDefault="00000000">
            <w:pPr>
              <w:spacing w:line="260" w:lineRule="auto"/>
            </w:pPr>
            <w:r>
              <w:rPr>
                <w:sz w:val="20"/>
                <w:szCs w:val="20"/>
              </w:rPr>
              <w:t>Weak and unstable</w:t>
            </w:r>
          </w:p>
        </w:tc>
        <w:tc>
          <w:tcPr>
            <w:tcW w:w="3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49" w14:textId="77777777" w:rsidR="00B22C2E" w:rsidRDefault="00000000">
            <w:pPr>
              <w:spacing w:line="260" w:lineRule="auto"/>
            </w:pPr>
            <w:r>
              <w:rPr>
                <w:sz w:val="20"/>
                <w:szCs w:val="20"/>
              </w:rPr>
              <w:t>Naive or failed synapse; baseline reference</w:t>
            </w:r>
          </w:p>
        </w:tc>
      </w:tr>
    </w:tbl>
    <w:p w14:paraId="7F5B484B" w14:textId="5B98132C" w:rsidR="00B22C2E" w:rsidRDefault="00000000">
      <w:pPr>
        <w:spacing w:before="80" w:after="120" w:line="300" w:lineRule="auto"/>
      </w:pPr>
      <w:r>
        <w:t>The strong-but-unstable category, if observed, would be the diagnostic finding for the two-layer model: it would establish at molecular resolution that BTSP-driven weight changes precede the slower processes that consolidate them.</w:t>
      </w:r>
    </w:p>
    <w:p w14:paraId="7F5B4B01" w14:textId="77777777" w:rsidR="00B22C2E" w:rsidRDefault="00000000">
      <w:pPr>
        <w:pStyle w:val="Heading1"/>
      </w:pPr>
      <w:r>
        <w:t>Why mice, why now</w:t>
      </w:r>
    </w:p>
    <w:p w14:paraId="7F5B4B02" w14:textId="04D72B74" w:rsidR="00B22C2E" w:rsidRDefault="00000000">
      <w:pPr>
        <w:spacing w:before="80" w:after="120" w:line="300" w:lineRule="auto"/>
      </w:pPr>
      <w:r>
        <w:t>Mice are not the simplest model organism at Janelia, and the choice of mouse for this program is a deliberate one. Larval zebrafish and Danionella offer optical access to the entire brain in living animals; flies offer unrivaled genetic tractability, well-cataloged circuits at single-cell resolution, and short generation times that enable rapid hypothesis cycling. The fly and fish programs are the foundation of Janelia’s modern systems neuroscience, and the rapid progress of those programs is the reason the field can now ask circuit-level questions at brain-wide scale. The mouse project proposed here builds on this work.</w:t>
      </w:r>
    </w:p>
    <w:p w14:paraId="7F5B4B03" w14:textId="77777777" w:rsidR="00B22C2E" w:rsidRDefault="00000000">
      <w:pPr>
        <w:spacing w:before="80" w:after="120" w:line="300" w:lineRule="auto"/>
      </w:pPr>
      <w:r>
        <w:t>What mice uniquely offer is the combination that this program needs. First, BTSP itself was observed and characterized in the intact mouse brain in behaving animals: the discovery system and the target system are the same, and the experimental and computational frameworks for studying it have been built in mouse. Second, mammalian neurons are large enough to support patch-clamp recording from individual dendrites and subcellular imaging of individual synapses in behaving animals at the per-spine resolution that this analysis requires; this is not yet practical in flies or fish at the same scale. Third, the mammalian postsynaptic density is more complex than the fly or zebrafish counterpart, and over 130 human disorders involve mutations in PSD proteins, making mouse work directly informative for translation in a way that smaller-organism work cannot yet match.</w:t>
      </w:r>
    </w:p>
    <w:p w14:paraId="7F5B4B04" w14:textId="77777777" w:rsidR="00B22C2E" w:rsidRDefault="00000000">
      <w:pPr>
        <w:spacing w:before="80" w:after="120" w:line="300" w:lineRule="auto"/>
      </w:pPr>
      <w:r>
        <w:t xml:space="preserve">The disadvantages of mice are real: a larger and less optically accessible brain, longer behavioral timescales, and a slower iteration cycle than in fly or fish. These are precisely the constraints that have, until now, made programs at the resolution and scale proposed here infeasible in mammals. What changes that is the convergence of two things, both now in place at Janelia. First, the tooling stack: JF </w:t>
      </w:r>
      <w:r>
        <w:lastRenderedPageBreak/>
        <w:t>dyes, multiplexed Ca²⁺ and glutamate indicators, viral and transgenic toolkits, the 2P-RAM mesoscope, SLAP-2, head-mounted miniscopes, LICONN expansion microscopy, and super-resolution methods are all operational, and continue to develop. Second, the AI-in-the-loop methods described in this document — closed-loop microscope control, real-time event detection, multi-modal data fusion, and a fine-tuned co-scientist that participates across the full scientific loop — are what make the analytical complexity of an experiment in mouse brain tractable for the first time. The mouse program described here was not feasible five years ago; it is feasible now, specifically because the tooling and the AI methods have matured together. The window is open and will widen as both continue to develop, and Janelia is uniquely positioned to take advantage of it.</w:t>
      </w:r>
    </w:p>
    <w:p w14:paraId="7F5B4854" w14:textId="77777777" w:rsidR="00B22C2E" w:rsidRDefault="00000000">
      <w:pPr>
        <w:pStyle w:val="Heading1"/>
      </w:pPr>
      <w:r>
        <w:t>The core experiment</w:t>
      </w:r>
    </w:p>
    <w:p w14:paraId="7F5B4855" w14:textId="2F0170A5" w:rsidR="00B22C2E" w:rsidRDefault="00000000">
      <w:pPr>
        <w:spacing w:before="80" w:after="120" w:line="300" w:lineRule="auto"/>
      </w:pPr>
      <w:r>
        <w:t>The core experimental design follows five steps that produce, on the same physical tissue, functional, anatomical, ultrastructural, and molecular descriptions of every synapse that participated in observed BTSP events.</w:t>
      </w:r>
    </w:p>
    <w:p w14:paraId="7F5B4856" w14:textId="77777777" w:rsidR="00B22C2E" w:rsidRDefault="00000000">
      <w:pPr>
        <w:pStyle w:val="ListParagraph"/>
        <w:numPr>
          <w:ilvl w:val="0"/>
          <w:numId w:val="2"/>
        </w:numPr>
        <w:spacing w:before="40" w:after="80" w:line="280" w:lineRule="auto"/>
      </w:pPr>
      <w:r>
        <w:rPr>
          <w:b/>
          <w:bCs/>
        </w:rPr>
        <w:t xml:space="preserve">Population imaging in vivo. </w:t>
      </w:r>
      <w:r>
        <w:t>Image a sparse population of CA1 pyramidal neurons (red Ca2+ indicator) and their CA3 axonal inputs (green Ca2+ indicator) using Janelia’s two-photon random-access mesoscope (2P-RAM; Sofroniew et al. 2016) as head-fixed mice learn a virtual-reality navigation task. Suite2p and related Janelia pipelines extract activity from thousands of cells and axons in parallel.</w:t>
      </w:r>
    </w:p>
    <w:p w14:paraId="7F5B4857" w14:textId="77777777" w:rsidR="00B22C2E" w:rsidRDefault="00000000">
      <w:pPr>
        <w:pStyle w:val="ListParagraph"/>
        <w:numPr>
          <w:ilvl w:val="0"/>
          <w:numId w:val="2"/>
        </w:numPr>
        <w:spacing w:before="40" w:after="80" w:line="280" w:lineRule="auto"/>
      </w:pPr>
      <w:r>
        <w:rPr>
          <w:b/>
          <w:bCs/>
        </w:rPr>
        <w:t xml:space="preserve">Real-time detection of plateau potentials and adaptive zoom-in. </w:t>
      </w:r>
      <w:r>
        <w:t>AI identifies plateau-like Ca2+ transients online in CA1 somas and triggers immediate higher-resolution imaging of those neurons, their dendrites, and their candidate presynaptic axons. The microscope is held on these cells for either single sessions or multiple sessions across days, which lets us distinguish BTSP events that produce enduring (stable) or transient (unstable) place fields.</w:t>
      </w:r>
    </w:p>
    <w:p w14:paraId="7F5B4858" w14:textId="63840C1C" w:rsidR="00B22C2E" w:rsidRDefault="00000000">
      <w:pPr>
        <w:pStyle w:val="ListParagraph"/>
        <w:numPr>
          <w:ilvl w:val="0"/>
          <w:numId w:val="2"/>
        </w:numPr>
        <w:spacing w:before="40" w:after="80" w:line="280" w:lineRule="auto"/>
      </w:pPr>
      <w:r>
        <w:rPr>
          <w:b/>
          <w:bCs/>
        </w:rPr>
        <w:t xml:space="preserve">Functional sorting of presynaptic axons. </w:t>
      </w:r>
      <w:r>
        <w:t>For each putative CA1 place field, we classify candidate CA3 axons by the temporal coactivity of their activity with the postsynaptic plateau (within a ~3-second window for likely BTSP participation; well outside that window for unlikely participation; unspecific or silent for baseline reference). This produces, for every recorded synaptic pair, a predicted weight class.</w:t>
      </w:r>
    </w:p>
    <w:p w14:paraId="7F5B4859" w14:textId="39D1D8C0" w:rsidR="00B22C2E" w:rsidRDefault="00000000">
      <w:pPr>
        <w:pStyle w:val="ListParagraph"/>
        <w:numPr>
          <w:ilvl w:val="0"/>
          <w:numId w:val="2"/>
        </w:numPr>
        <w:spacing w:before="40" w:after="80" w:line="280" w:lineRule="auto"/>
      </w:pPr>
      <w:r>
        <w:rPr>
          <w:b/>
          <w:bCs/>
        </w:rPr>
        <w:t xml:space="preserve">LICONN expansion microscopy. </w:t>
      </w:r>
      <w:r>
        <w:t>After in vivo imaging, brains are fixed (with 2-photon photoconverted fiducials at the imaging volume to anchor co-registration), processed for LICONN at 4 to 16-fold expansion, and imaged at near-EM resolution. The same volumes simultaneously yield connectivity, ultrastructure (spine head volume and shape, neck geometry, spine apparatus, ER, vesicle pools, active zones, astrocyte coverage), and protein-level molecular composition through post-expansion immunolabeling and CRISPR knock-in tag fluorophores.</w:t>
      </w:r>
    </w:p>
    <w:p w14:paraId="7F5B485A" w14:textId="77777777" w:rsidR="00B22C2E" w:rsidRDefault="00000000">
      <w:pPr>
        <w:pStyle w:val="ListParagraph"/>
        <w:numPr>
          <w:ilvl w:val="0"/>
          <w:numId w:val="2"/>
        </w:numPr>
        <w:spacing w:before="40" w:after="80" w:line="280" w:lineRule="auto"/>
      </w:pPr>
      <w:r>
        <w:rPr>
          <w:b/>
          <w:bCs/>
        </w:rPr>
        <w:t xml:space="preserve">Multi-modal analysis of identified synapses. </w:t>
      </w:r>
      <w:r>
        <w:t xml:space="preserve">We compare the size, ultrastructure, and molecular composition of synapses that putatively participated in BTSP induction with those that did not, with baseline (silent) synapses on the same neurons, and with a within-pair control: </w:t>
      </w:r>
      <w:r>
        <w:lastRenderedPageBreak/>
        <w:t>the cases where one CA3 axon makes two synapses on the same CA1 cell. Within-pair comparisons resolve whether weight is set at the synapse level or the cell-pair level — a question the field has been unable to answer at scale.</w:t>
      </w:r>
    </w:p>
    <w:p w14:paraId="7F5B485B" w14:textId="77777777" w:rsidR="00B22C2E" w:rsidRDefault="00000000">
      <w:pPr>
        <w:pStyle w:val="Heading2"/>
      </w:pPr>
      <w:r>
        <w:t>Quantitative scale and statistical power</w:t>
      </w:r>
    </w:p>
    <w:p w14:paraId="7F5B485C" w14:textId="77777777" w:rsidR="00B22C2E" w:rsidRDefault="00000000">
      <w:pPr>
        <w:spacing w:before="80" w:after="120" w:line="300" w:lineRule="auto"/>
      </w:pPr>
      <w:r>
        <w:t xml:space="preserve">The numbers below replace the per-volume estimates in earlier drafts of this proposal with a per-animal calculation that reflects the realistic structure of the experiment: thoroughly imaging the full dendritic arborization of a CA1 cell at the resolution required to resolve every spine is itself a heroic undertaking, so we focus each animal on a single CA1 pyramidal neuron in which a BTSP event has been observed. Multi-animal aggregation is what produces the statistical power. The place-field fraction (~0.35) is anchored to </w:t>
      </w:r>
      <w:proofErr w:type="spellStart"/>
      <w:r>
        <w:t>Hainmueller</w:t>
      </w:r>
      <w:proofErr w:type="spellEnd"/>
      <w:r>
        <w:t xml:space="preserve"> &amp; Bartos (2018) and is consistent with the broader two-photon CA1 literature when conditioned on active cells; the choice of place-cell criterion materially affects this number (</w:t>
      </w:r>
      <w:proofErr w:type="spellStart"/>
      <w:r>
        <w:t>Grijseels</w:t>
      </w:r>
      <w:proofErr w:type="spellEnd"/>
      <w:r>
        <w:t xml:space="preserve"> et al. 2021), so we will state our criterion explicitly when reporting. The CA3→CA1 connection probability (~0.1) is anchored to anatomy (</w:t>
      </w:r>
      <w:proofErr w:type="spellStart"/>
      <w:r>
        <w:t>Bezaire</w:t>
      </w:r>
      <w:proofErr w:type="spellEnd"/>
      <w:r>
        <w:t xml:space="preserve"> &amp; Soltesz 2013; Le </w:t>
      </w:r>
      <w:proofErr w:type="spellStart"/>
      <w:r>
        <w:t>Duigou</w:t>
      </w:r>
      <w:proofErr w:type="spellEnd"/>
      <w:r>
        <w:t xml:space="preserve"> et al. 2014) and is at the upper end of acute-slice paired-recording yields (Sayer et al. 1990; Bolshakov &amp; Siegelbaum 1995); birthdate-matched sparse labeling (Deguchi et al. 2011) is the strategy by which we expect to substantially exceed this baseline within the labeled subset.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FB4E7E" w14:paraId="257FCF39" w14:textId="77777777">
        <w:tc>
          <w:tcPr>
            <w:tcW w:w="520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20" w:type="dxa"/>
              <w:bottom w:w="80" w:type="dxa"/>
              <w:right w:w="120" w:type="dxa"/>
            </w:tcMar>
          </w:tcPr>
          <w:p w14:paraId="6B8A3F7C" w14:textId="77777777" w:rsidR="00FB4E7E" w:rsidRDefault="00000000">
            <w:pPr>
              <w:spacing w:line="260" w:lineRule="auto"/>
            </w:pPr>
            <w:r>
              <w:rPr>
                <w:b/>
                <w:bCs/>
                <w:sz w:val="20"/>
                <w:szCs w:val="20"/>
              </w:rPr>
              <w:t>Per-animal yield (one focal CA1 cell)</w:t>
            </w:r>
          </w:p>
        </w:tc>
        <w:tc>
          <w:tcPr>
            <w:tcW w:w="416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20" w:type="dxa"/>
              <w:bottom w:w="80" w:type="dxa"/>
              <w:right w:w="120" w:type="dxa"/>
            </w:tcMar>
          </w:tcPr>
          <w:p w14:paraId="31B27002" w14:textId="77777777" w:rsidR="00FB4E7E" w:rsidRDefault="00000000">
            <w:pPr>
              <w:spacing w:line="260" w:lineRule="auto"/>
            </w:pPr>
            <w:r>
              <w:rPr>
                <w:b/>
                <w:bCs/>
                <w:sz w:val="20"/>
                <w:szCs w:val="20"/>
              </w:rPr>
              <w:t>Estimate</w:t>
            </w:r>
          </w:p>
        </w:tc>
      </w:tr>
      <w:tr w:rsidR="00FB4E7E" w14:paraId="539A008F"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33D9706" w14:textId="77777777" w:rsidR="00FB4E7E" w:rsidRDefault="00000000">
            <w:pPr>
              <w:spacing w:line="260" w:lineRule="auto"/>
            </w:pPr>
            <w:r>
              <w:rPr>
                <w:sz w:val="20"/>
                <w:szCs w:val="20"/>
              </w:rPr>
              <w:t>CA3 axons sparsely labeled and imaged in radiatum volume</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CD7886F" w14:textId="77777777" w:rsidR="00FB4E7E" w:rsidRDefault="00000000">
            <w:pPr>
              <w:spacing w:line="260" w:lineRule="auto"/>
            </w:pPr>
            <w:r>
              <w:rPr>
                <w:sz w:val="20"/>
                <w:szCs w:val="20"/>
              </w:rPr>
              <w:t>~1,000</w:t>
            </w:r>
          </w:p>
        </w:tc>
      </w:tr>
      <w:tr w:rsidR="00FB4E7E" w14:paraId="1B083D46"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6145FEA" w14:textId="77777777" w:rsidR="00FB4E7E" w:rsidRDefault="00000000">
            <w:pPr>
              <w:spacing w:line="260" w:lineRule="auto"/>
            </w:pPr>
            <w:r>
              <w:rPr>
                <w:sz w:val="20"/>
                <w:szCs w:val="20"/>
              </w:rPr>
              <w:t xml:space="preserve">Active CA3 axons with place fields (≈35%; </w:t>
            </w:r>
            <w:proofErr w:type="spellStart"/>
            <w:r>
              <w:rPr>
                <w:sz w:val="20"/>
                <w:szCs w:val="20"/>
              </w:rPr>
              <w:t>Hainmueller</w:t>
            </w:r>
            <w:proofErr w:type="spellEnd"/>
            <w:r>
              <w:rPr>
                <w:sz w:val="20"/>
                <w:szCs w:val="20"/>
              </w:rPr>
              <w:t xml:space="preserve"> &amp; Bartos 2018)</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6B07869" w14:textId="77777777" w:rsidR="00FB4E7E" w:rsidRDefault="00000000">
            <w:pPr>
              <w:spacing w:line="260" w:lineRule="auto"/>
            </w:pPr>
            <w:r>
              <w:rPr>
                <w:sz w:val="20"/>
                <w:szCs w:val="20"/>
              </w:rPr>
              <w:t>~350</w:t>
            </w:r>
          </w:p>
        </w:tc>
      </w:tr>
      <w:tr w:rsidR="00FB4E7E" w14:paraId="18C6EAE4"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62353D7" w14:textId="77777777" w:rsidR="00FB4E7E" w:rsidRDefault="00000000">
            <w:pPr>
              <w:spacing w:line="260" w:lineRule="auto"/>
            </w:pPr>
            <w:r>
              <w:rPr>
                <w:sz w:val="20"/>
                <w:szCs w:val="20"/>
              </w:rPr>
              <w:t>Anatomical CA3→CA1 connection probability (</w:t>
            </w:r>
            <w:proofErr w:type="spellStart"/>
            <w:r>
              <w:rPr>
                <w:sz w:val="20"/>
                <w:szCs w:val="20"/>
              </w:rPr>
              <w:t>Bezaire</w:t>
            </w:r>
            <w:proofErr w:type="spellEnd"/>
            <w:r>
              <w:rPr>
                <w:sz w:val="20"/>
                <w:szCs w:val="20"/>
              </w:rPr>
              <w:t xml:space="preserve"> &amp; Soltesz 2013; Sayer et al. 1990)</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454156E" w14:textId="77777777" w:rsidR="00FB4E7E" w:rsidRDefault="00000000">
            <w:pPr>
              <w:spacing w:line="260" w:lineRule="auto"/>
            </w:pPr>
            <w:r>
              <w:rPr>
                <w:sz w:val="20"/>
                <w:szCs w:val="20"/>
              </w:rPr>
              <w:t>~0.1 baseline</w:t>
            </w:r>
          </w:p>
        </w:tc>
      </w:tr>
      <w:tr w:rsidR="00FB4E7E" w14:paraId="3D71655D"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22DDCB6" w14:textId="77777777" w:rsidR="00FB4E7E" w:rsidRDefault="00000000">
            <w:pPr>
              <w:spacing w:line="260" w:lineRule="auto"/>
            </w:pPr>
            <w:r>
              <w:rPr>
                <w:sz w:val="20"/>
                <w:szCs w:val="20"/>
              </w:rPr>
              <w:t>Imaged CA3 axons that synapse onto the focal CA1 cell</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478E837" w14:textId="77777777" w:rsidR="00FB4E7E" w:rsidRDefault="00000000">
            <w:pPr>
              <w:spacing w:line="260" w:lineRule="auto"/>
            </w:pPr>
            <w:r>
              <w:rPr>
                <w:sz w:val="20"/>
                <w:szCs w:val="20"/>
              </w:rPr>
              <w:t>~100</w:t>
            </w:r>
          </w:p>
        </w:tc>
      </w:tr>
      <w:tr w:rsidR="00FB4E7E" w14:paraId="626559B4"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24A8364" w14:textId="77777777" w:rsidR="00FB4E7E" w:rsidRDefault="00000000">
            <w:pPr>
              <w:spacing w:line="260" w:lineRule="auto"/>
            </w:pPr>
            <w:r>
              <w:rPr>
                <w:sz w:val="20"/>
                <w:szCs w:val="20"/>
              </w:rPr>
              <w:t>…of which are active and place-field-classified (BTSP-likely vs unlikely)</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F9F6EAB" w14:textId="77777777" w:rsidR="00FB4E7E" w:rsidRDefault="00000000">
            <w:pPr>
              <w:spacing w:line="260" w:lineRule="auto"/>
            </w:pPr>
            <w:r>
              <w:rPr>
                <w:sz w:val="20"/>
                <w:szCs w:val="20"/>
              </w:rPr>
              <w:t>~35</w:t>
            </w:r>
          </w:p>
        </w:tc>
      </w:tr>
      <w:tr w:rsidR="00FB4E7E" w14:paraId="7DD98F2E"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52F4872" w14:textId="77777777" w:rsidR="00FB4E7E" w:rsidRDefault="00000000">
            <w:pPr>
              <w:spacing w:line="260" w:lineRule="auto"/>
            </w:pPr>
            <w:r>
              <w:rPr>
                <w:sz w:val="20"/>
                <w:szCs w:val="20"/>
              </w:rPr>
              <w:t>Mean synapses per connection (~25% of connections multi-synaptic)</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1FB397E" w14:textId="77777777" w:rsidR="00FB4E7E" w:rsidRDefault="00000000">
            <w:pPr>
              <w:spacing w:line="260" w:lineRule="auto"/>
            </w:pPr>
            <w:r>
              <w:rPr>
                <w:sz w:val="20"/>
                <w:szCs w:val="20"/>
              </w:rPr>
              <w:t>~1.25</w:t>
            </w:r>
          </w:p>
        </w:tc>
      </w:tr>
      <w:tr w:rsidR="00FB4E7E" w14:paraId="1A6DE966"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E56D3F2" w14:textId="77777777" w:rsidR="00FB4E7E" w:rsidRDefault="00000000">
            <w:pPr>
              <w:spacing w:line="260" w:lineRule="auto"/>
            </w:pPr>
            <w:r>
              <w:rPr>
                <w:sz w:val="20"/>
                <w:szCs w:val="20"/>
              </w:rPr>
              <w:t>Functionally classified Schaffer synapses on the focal cell</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40DA48A" w14:textId="77777777" w:rsidR="00FB4E7E" w:rsidRDefault="00000000">
            <w:pPr>
              <w:spacing w:line="260" w:lineRule="auto"/>
            </w:pPr>
            <w:r>
              <w:rPr>
                <w:sz w:val="20"/>
                <w:szCs w:val="20"/>
              </w:rPr>
              <w:t>~44</w:t>
            </w:r>
          </w:p>
        </w:tc>
      </w:tr>
      <w:tr w:rsidR="00FB4E7E" w14:paraId="6831D698"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59FA86D" w14:textId="77777777" w:rsidR="00FB4E7E" w:rsidRDefault="00000000">
            <w:pPr>
              <w:spacing w:line="260" w:lineRule="auto"/>
            </w:pPr>
            <w:r>
              <w:rPr>
                <w:sz w:val="20"/>
                <w:szCs w:val="20"/>
              </w:rPr>
              <w:t>Within-pair comparisons (same axon → same target, two synapses)</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90D242E" w14:textId="77777777" w:rsidR="00FB4E7E" w:rsidRDefault="00000000">
            <w:pPr>
              <w:spacing w:line="260" w:lineRule="auto"/>
            </w:pPr>
            <w:r>
              <w:rPr>
                <w:sz w:val="20"/>
                <w:szCs w:val="20"/>
              </w:rPr>
              <w:t>~9</w:t>
            </w:r>
          </w:p>
        </w:tc>
      </w:tr>
      <w:tr w:rsidR="00FB4E7E" w14:paraId="23F46B4E"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B0275E9" w14:textId="77777777" w:rsidR="00FB4E7E" w:rsidRDefault="00000000">
            <w:pPr>
              <w:spacing w:line="260" w:lineRule="auto"/>
            </w:pPr>
            <w:r>
              <w:rPr>
                <w:sz w:val="20"/>
                <w:szCs w:val="20"/>
              </w:rPr>
              <w:t>Total dendritic spines on the focal mouse CA1 cell (Bloss et al. 2016, Fig. 5)</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8724CAE" w14:textId="77777777" w:rsidR="00FB4E7E" w:rsidRDefault="00000000">
            <w:pPr>
              <w:spacing w:line="260" w:lineRule="auto"/>
            </w:pPr>
            <w:r>
              <w:rPr>
                <w:sz w:val="20"/>
                <w:szCs w:val="20"/>
              </w:rPr>
              <w:t>~9,500</w:t>
            </w:r>
          </w:p>
        </w:tc>
      </w:tr>
    </w:tbl>
    <w:p w14:paraId="7F5B4930" w14:textId="77777777" w:rsidR="00B22C2E" w:rsidRDefault="00000000" w:rsidP="00515925">
      <w:pPr>
        <w:keepNext/>
        <w:spacing w:before="80" w:after="120"/>
      </w:pPr>
      <w:r>
        <w:lastRenderedPageBreak/>
        <w:t>Aggregating across the planned cohort: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FB4E7E" w14:paraId="0964B05C" w14:textId="77777777">
        <w:tc>
          <w:tcPr>
            <w:tcW w:w="520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20" w:type="dxa"/>
              <w:bottom w:w="80" w:type="dxa"/>
              <w:right w:w="120" w:type="dxa"/>
            </w:tcMar>
          </w:tcPr>
          <w:p w14:paraId="72C55CBC" w14:textId="77777777" w:rsidR="00FB4E7E" w:rsidRDefault="00000000" w:rsidP="00515925">
            <w:pPr>
              <w:keepNext/>
            </w:pPr>
            <w:r>
              <w:rPr>
                <w:b/>
                <w:bCs/>
                <w:sz w:val="20"/>
                <w:szCs w:val="20"/>
              </w:rPr>
              <w:t>Cohort total (~100 animals)</w:t>
            </w:r>
          </w:p>
        </w:tc>
        <w:tc>
          <w:tcPr>
            <w:tcW w:w="416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20" w:type="dxa"/>
              <w:bottom w:w="80" w:type="dxa"/>
              <w:right w:w="120" w:type="dxa"/>
            </w:tcMar>
          </w:tcPr>
          <w:p w14:paraId="18838A7E" w14:textId="77777777" w:rsidR="00FB4E7E" w:rsidRDefault="00000000" w:rsidP="00515925">
            <w:pPr>
              <w:keepNext/>
            </w:pPr>
            <w:r>
              <w:rPr>
                <w:b/>
                <w:bCs/>
                <w:sz w:val="20"/>
                <w:szCs w:val="20"/>
              </w:rPr>
              <w:t>Estimate</w:t>
            </w:r>
          </w:p>
        </w:tc>
      </w:tr>
      <w:tr w:rsidR="00FB4E7E" w14:paraId="0EA1FD46"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6CE6FD1" w14:textId="77777777" w:rsidR="00FB4E7E" w:rsidRDefault="00000000">
            <w:pPr>
              <w:spacing w:line="260" w:lineRule="auto"/>
            </w:pPr>
            <w:r>
              <w:rPr>
                <w:sz w:val="20"/>
                <w:szCs w:val="20"/>
              </w:rPr>
              <w:t>Functionally classified Schaffer synapses (BTSP-likely vs unlikely vs baseline)</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8A4A02E" w14:textId="77777777" w:rsidR="00FB4E7E" w:rsidRDefault="00000000">
            <w:pPr>
              <w:spacing w:line="260" w:lineRule="auto"/>
            </w:pPr>
            <w:r>
              <w:rPr>
                <w:sz w:val="20"/>
                <w:szCs w:val="20"/>
              </w:rPr>
              <w:t>~4,400</w:t>
            </w:r>
          </w:p>
        </w:tc>
      </w:tr>
      <w:tr w:rsidR="00FB4E7E" w14:paraId="67A42F90"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77E23DE" w14:textId="77777777" w:rsidR="00FB4E7E" w:rsidRDefault="00000000">
            <w:pPr>
              <w:spacing w:line="260" w:lineRule="auto"/>
            </w:pPr>
            <w:r>
              <w:rPr>
                <w:sz w:val="20"/>
                <w:szCs w:val="20"/>
              </w:rPr>
              <w:t>Within-pair comparisons (~130 pairs, 260 paired synapses)</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D32F9C1" w14:textId="77777777" w:rsidR="00FB4E7E" w:rsidRDefault="00000000">
            <w:pPr>
              <w:spacing w:line="260" w:lineRule="auto"/>
            </w:pPr>
            <w:r>
              <w:rPr>
                <w:sz w:val="20"/>
                <w:szCs w:val="20"/>
              </w:rPr>
              <w:t>~1,800</w:t>
            </w:r>
          </w:p>
        </w:tc>
      </w:tr>
      <w:tr w:rsidR="00FB4E7E" w14:paraId="3C3D638C"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0C187F9" w14:textId="77777777" w:rsidR="00FB4E7E" w:rsidRDefault="00000000">
            <w:pPr>
              <w:spacing w:line="260" w:lineRule="auto"/>
            </w:pPr>
            <w:r>
              <w:rPr>
                <w:sz w:val="20"/>
                <w:szCs w:val="20"/>
              </w:rPr>
              <w:t>Synapses with full LICONN ultrastructural + molecular characterization</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B8A1B12" w14:textId="77777777" w:rsidR="00FB4E7E" w:rsidRDefault="00000000">
            <w:pPr>
              <w:spacing w:line="260" w:lineRule="auto"/>
            </w:pPr>
            <w:r>
              <w:rPr>
                <w:sz w:val="20"/>
                <w:szCs w:val="20"/>
              </w:rPr>
              <w:t>~950,000 ultrastructure + LICONN molecular; thousands at super-resolution</w:t>
            </w:r>
          </w:p>
        </w:tc>
      </w:tr>
      <w:tr w:rsidR="00FB4E7E" w14:paraId="3734F299" w14:textId="77777777">
        <w:tc>
          <w:tcPr>
            <w:tcW w:w="5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A20BBD1" w14:textId="77777777" w:rsidR="00FB4E7E" w:rsidRDefault="00000000">
            <w:pPr>
              <w:spacing w:line="260" w:lineRule="auto"/>
            </w:pPr>
            <w:r>
              <w:rPr>
                <w:sz w:val="20"/>
                <w:szCs w:val="20"/>
              </w:rPr>
              <w:t>Animals required for statistical power (Cohen’s d ≈ 0.5, α = 0.01, multi-comp corrected)</w:t>
            </w:r>
          </w:p>
        </w:tc>
        <w:tc>
          <w:tcPr>
            <w:tcW w:w="416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4D1FF1D" w14:textId="77777777" w:rsidR="00FB4E7E" w:rsidRDefault="00000000">
            <w:pPr>
              <w:spacing w:line="260" w:lineRule="auto"/>
            </w:pPr>
            <w:r>
              <w:rPr>
                <w:sz w:val="20"/>
                <w:szCs w:val="20"/>
              </w:rPr>
              <w:t>8–15 (primary tests); ~100 (full dataset)</w:t>
            </w:r>
          </w:p>
        </w:tc>
      </w:tr>
    </w:tbl>
    <w:p w14:paraId="7F5B4931" w14:textId="77777777" w:rsidR="00B22C2E" w:rsidRDefault="00000000">
      <w:pPr>
        <w:spacing w:before="80" w:after="120" w:line="300" w:lineRule="auto"/>
      </w:pPr>
      <w:r>
        <w:t>Two sensitivity-analysis scenarios bracket these numbers. In the conservative case (place-field fraction 0.25, connection probability 0.05), a 100-animal cohort yields ~1,100 functionally classified synapses — still amply sufficient for the primary tests of the program. In the favorable case — place-field fraction 0.5 across multi-day learning, and effective connection probability 0.2 within the birthdate-matched labeled subset (Deguchi et al. 2011) — the cohort yields ~25,000 functionally classified synapses. The realistic plan threads the middle: ~4,400 functionally classified Schaffer synapses with full per-synapse functional, ultrastructural, and molecular characterization, drawn from the ~950,000 dendritic spines distributed across the 100 focal cells (Bloss et al. 2016 reports ~9,500 spines per mouse CA1 pyramidal cell — substantially fewer than the ~30,000 number widely cited from rat) that will be reconstructed at LICONN ultrastructural resolution. A subset of those synapses (thousands, selected adaptively for the most informative cases) will additionally receive super-resolution imaging for nanocluster-level detail on the relevant synaptic proteins. This per-synapse, behaviorally anchored, multi-modal dataset has no precedent in the literature.</w:t>
      </w:r>
    </w:p>
    <w:p w14:paraId="7F5B4932" w14:textId="77777777" w:rsidR="00B22C2E" w:rsidRDefault="00000000">
      <w:pPr>
        <w:pStyle w:val="Heading2"/>
      </w:pPr>
      <w:r>
        <w:t>Complementary glutamate-release imaging (iGluSnFR3 / SLAP-2)</w:t>
      </w:r>
    </w:p>
    <w:p w14:paraId="7F5B4933" w14:textId="37452DB6" w:rsidR="00B22C2E" w:rsidRDefault="00000000">
      <w:pPr>
        <w:spacing w:before="80" w:after="120" w:line="300" w:lineRule="auto"/>
      </w:pPr>
      <w:r>
        <w:t xml:space="preserve">In parallel with the core experiment, David Wong-Campos will lead a complementary line of work using iGluSnFR3 with the SLAP-2 microscope to directly measure glutamate release at hundreds to thousands of identified synapses on the focal CA1 cell. iGluSnFR3 (Aggarwal et al. 2023, Nature Methods) and its tailored-deactivation variants (Aggarwal et al. 2025; demonstrated in hippocampal CA1 dendrites) report synaptic glutamate release with rapid, non-saturating activation kinetics and decreased extrasynaptic signal, enabling per-synapse readouts of which presynaptic terminals are active and how reliably they release. SLAP-2 (built on the SLAP framework; </w:t>
      </w:r>
      <w:proofErr w:type="spellStart"/>
      <w:r>
        <w:t>Kazemipour</w:t>
      </w:r>
      <w:proofErr w:type="spellEnd"/>
      <w:r>
        <w:t xml:space="preserve"> et al. 2019) reads out hundreds of synapses on a single dendritic arbor at hundreds of frames per second by random-access scanning, and Kaspar Podgorski (Allen Institute for Neural Dynamics) has demonstrated this combination at scale in cortical dendrites. We will adapt this approach to the focal CA1 cell, with Podgorski advising on the imaging and analysis pipeline. These data are not part of the primary BTSP-induction experiment but provide an independent functional validation of the upstream activity-classification step (which presynaptic axons reliably release onto which spines) and a higher-fidelity readout of release probability </w:t>
      </w:r>
      <w:r>
        <w:lastRenderedPageBreak/>
        <w:t>than can be inferred from Ca2+ imaging of the parent axon alone. They also broaden the program’s technological footprint at Janelia by fully exercising the SLAP-2 platform in a hippocampal-plasticity context.</w:t>
      </w:r>
    </w:p>
    <w:p w14:paraId="7F5B4873" w14:textId="77777777" w:rsidR="00B22C2E" w:rsidRDefault="00000000">
      <w:pPr>
        <w:pStyle w:val="Heading1"/>
      </w:pPr>
      <w:r>
        <w:t>The critical role of AI</w:t>
      </w:r>
    </w:p>
    <w:p w14:paraId="7F5B4874" w14:textId="5C6D4467" w:rsidR="00B22C2E" w:rsidRDefault="00000000">
      <w:pPr>
        <w:spacing w:before="80" w:after="120" w:line="300" w:lineRule="auto"/>
      </w:pPr>
      <w:r>
        <w:t>AI participates in this program not as a tool for any one step, but as a collaborator that operates across the full scientific loop: reading the literature, developing hypotheses, designing experiments, executing them with real-time control, analyzing the resulting data, interpreting it, and generating the next round of hypotheses. At every stage there is a specific task on which machine intelligence either outperforms humans or does work at a scale that humans cannot match. A single agentic AI co-scientist — trained and continuously updated on the project’s evolving corpus of literature, protocols, and data — is the thread that runs through all these stages, so that knowledge gained at one step compounds into the next iteration.</w:t>
      </w:r>
    </w:p>
    <w:p w14:paraId="7F5B4875" w14:textId="77777777" w:rsidR="00B22C2E" w:rsidRDefault="00000000">
      <w:pPr>
        <w:pStyle w:val="Heading2"/>
      </w:pPr>
      <w:r>
        <w:t>Eight places AI enters the loop</w:t>
      </w:r>
    </w:p>
    <w:p w14:paraId="7F5B4876" w14:textId="77777777" w:rsidR="00B22C2E" w:rsidRDefault="00000000">
      <w:pPr>
        <w:pStyle w:val="ListParagraph"/>
        <w:numPr>
          <w:ilvl w:val="0"/>
          <w:numId w:val="3"/>
        </w:numPr>
        <w:spacing w:before="40" w:after="40" w:line="280" w:lineRule="auto"/>
      </w:pPr>
      <w:r>
        <w:rPr>
          <w:b/>
          <w:bCs/>
        </w:rPr>
        <w:t xml:space="preserve">Reading the literature. </w:t>
      </w:r>
      <w:r>
        <w:t>The co-scientist ingests and synthesizes the synaptic-plasticity and BTSP literature — together with team commentary on key papers — so that every experimental choice is made with the relevant precedent in view. Janelia’s collaboration with Google on AI-assisted literature analysis is a natural home for this layer.</w:t>
      </w:r>
    </w:p>
    <w:p w14:paraId="7F5B4877" w14:textId="77777777" w:rsidR="00B22C2E" w:rsidRDefault="00000000">
      <w:pPr>
        <w:pStyle w:val="ListParagraph"/>
        <w:numPr>
          <w:ilvl w:val="0"/>
          <w:numId w:val="3"/>
        </w:numPr>
        <w:spacing w:before="40" w:after="40" w:line="280" w:lineRule="auto"/>
      </w:pPr>
      <w:r>
        <w:rPr>
          <w:b/>
          <w:bCs/>
        </w:rPr>
        <w:t xml:space="preserve">Developing hypotheses. </w:t>
      </w:r>
      <w:r>
        <w:t>The co-scientist proposes testable mechanistic claims that are consistent with existing data and with the program’s own accumulating measurements, flags conflicts with published findings, and surfaces the candidates most worth pursuing next — a function no single human group has time to do comprehensively.</w:t>
      </w:r>
    </w:p>
    <w:p w14:paraId="7F5B4878" w14:textId="77777777" w:rsidR="00B22C2E" w:rsidRDefault="00000000">
      <w:pPr>
        <w:pStyle w:val="ListParagraph"/>
        <w:numPr>
          <w:ilvl w:val="0"/>
          <w:numId w:val="3"/>
        </w:numPr>
        <w:spacing w:before="40" w:after="40" w:line="280" w:lineRule="auto"/>
      </w:pPr>
      <w:r>
        <w:rPr>
          <w:b/>
          <w:bCs/>
        </w:rPr>
        <w:t xml:space="preserve">Designing experiments. </w:t>
      </w:r>
      <w:r>
        <w:t>The co-scientist suggests labeling strategies, recommends targets and controls, calculates statistical power, and — in partnership with the Lavis/Baker and Tebo/Turaga AI@HHMI projects — optimizes alpha-tag insertion sites for synaptic proteins and proposes JF-binder designs for multiplexed labeling.</w:t>
      </w:r>
    </w:p>
    <w:p w14:paraId="7F5B4879" w14:textId="77777777" w:rsidR="00B22C2E" w:rsidRDefault="00000000">
      <w:pPr>
        <w:pStyle w:val="ListParagraph"/>
        <w:numPr>
          <w:ilvl w:val="0"/>
          <w:numId w:val="3"/>
        </w:numPr>
        <w:spacing w:before="40" w:after="40" w:line="280" w:lineRule="auto"/>
      </w:pPr>
      <w:r>
        <w:rPr>
          <w:b/>
          <w:bCs/>
        </w:rPr>
        <w:t xml:space="preserve">Executing experiments with real-time control. </w:t>
      </w:r>
      <w:r>
        <w:t xml:space="preserve">Low-latency AI controls the 2P-RAM/SLAP-2 mesoscope in collaboration with Anthropic: continuously segmenting cells (Suite2p, </w:t>
      </w:r>
      <w:proofErr w:type="spellStart"/>
      <w:r>
        <w:t>Cellpose</w:t>
      </w:r>
      <w:proofErr w:type="spellEnd"/>
      <w:r>
        <w:t>-derived models), detecting plateau potentials online, identifying candidate active synapses, reconfiguring the microscope to follow them at increasing resolution, and flagging motion, drift, and acquisition failures for adaptive intervention — all faster than a human operator can, and without the cognitive load of managing a complex system on the fly.</w:t>
      </w:r>
    </w:p>
    <w:p w14:paraId="7F5B4C01" w14:textId="15E7AED1" w:rsidR="00B22C2E" w:rsidRDefault="00000000">
      <w:pPr>
        <w:pStyle w:val="ListParagraph"/>
        <w:numPr>
          <w:ilvl w:val="0"/>
          <w:numId w:val="3"/>
        </w:numPr>
        <w:spacing w:before="40" w:after="40" w:line="280" w:lineRule="auto"/>
      </w:pPr>
      <w:r>
        <w:rPr>
          <w:b/>
          <w:bCs/>
        </w:rPr>
        <w:t xml:space="preserve">Intelligent recording-condition selection. </w:t>
      </w:r>
      <w:r>
        <w:t xml:space="preserve">The same closed-loop AI agent will, over time, be trained to choose the initial recording conditions — which in vivo activity-imaging fields are best, at what scan rates, and which will be most amenable to downstream LICONN reconstruction and super-resolution protein imaging. By keeping the AI agent aware of the results from LICONN reconstruction and super-resolution imaging on previous animals as well as the in vivo activity recordings that produced them, the microscope can learn which in vivo </w:t>
      </w:r>
      <w:r>
        <w:lastRenderedPageBreak/>
        <w:t>recording conditions yield the most informative downstream multi-modal data sets. In this way an intelligent microscope finds the best recording conditions for the subsequent LICONN and protein-quantification steps, rather than treating each step as an independent optimization.</w:t>
      </w:r>
    </w:p>
    <w:p w14:paraId="7F5B487A" w14:textId="5CE5AC5F" w:rsidR="00B22C2E" w:rsidRDefault="00000000">
      <w:pPr>
        <w:pStyle w:val="ListParagraph"/>
        <w:numPr>
          <w:ilvl w:val="0"/>
          <w:numId w:val="3"/>
        </w:numPr>
        <w:spacing w:before="40" w:after="40" w:line="280" w:lineRule="auto"/>
      </w:pPr>
      <w:r>
        <w:rPr>
          <w:b/>
          <w:bCs/>
        </w:rPr>
        <w:t xml:space="preserve">Analyzing the data. </w:t>
      </w:r>
      <w:r>
        <w:t>Multi-modal registration networks align in vivo functional imaging with subsequent LICONN; deep-learning synapse detection in expanded tissue compresses what would otherwise be weeks of manual annotation into roughly a day per imaging volume; machine-learning models for super-resolution imaging and expansion microscopy quantify nanocluster organization of upper- and lower-layer scaffold proteins and correct for blinking artifacts. A unified database links every synapse to its functional history, anatomical context, ultrastructure, and molecular composition.</w:t>
      </w:r>
    </w:p>
    <w:p w14:paraId="7F5B487B" w14:textId="77777777" w:rsidR="00B22C2E" w:rsidRDefault="00000000">
      <w:pPr>
        <w:pStyle w:val="ListParagraph"/>
        <w:numPr>
          <w:ilvl w:val="0"/>
          <w:numId w:val="3"/>
        </w:numPr>
        <w:spacing w:before="40" w:after="40" w:line="280" w:lineRule="auto"/>
      </w:pPr>
      <w:r>
        <w:rPr>
          <w:b/>
          <w:bCs/>
        </w:rPr>
        <w:t xml:space="preserve">Interpreting results. </w:t>
      </w:r>
      <w:r>
        <w:t>Retrieval-augmented tools let the team query the integrated dataset in natural language — e.g. “show me synapses with high γ-8 but low Shank that came from CA3 axons with newly formed place fields” — and simultaneously relate each finding to the literature in real time, so that emerging patterns are contextualized as they appear rather than months later.</w:t>
      </w:r>
    </w:p>
    <w:p w14:paraId="7F5B487C" w14:textId="77777777" w:rsidR="00B22C2E" w:rsidRDefault="00000000">
      <w:pPr>
        <w:pStyle w:val="ListParagraph"/>
        <w:numPr>
          <w:ilvl w:val="0"/>
          <w:numId w:val="3"/>
        </w:numPr>
        <w:spacing w:before="40" w:after="40" w:line="280" w:lineRule="auto"/>
      </w:pPr>
      <w:r>
        <w:rPr>
          <w:b/>
          <w:bCs/>
        </w:rPr>
        <w:t xml:space="preserve">Generating new hypotheses. </w:t>
      </w:r>
      <w:r>
        <w:t>Following the approach Josh Dudman has piloted, the co-scientist uses observed pre-, post-, and modulator-release activity to propose families of plasticity rules consistent with the data and to design distinguishing experiments. It also runs hundreds to thousands of compartmental simulations of CA1 pyramidal neurons (including plateau generation) and per-spine NEURON simulations driven by LICONN-measured geometry and predicted molecular composition — producing predictions for the number of strong potentiated inputs needed to support observed receptive fields and for spine voltage as a function of synaptic conductance and neck resistance. This turns BTSP from a single rule into a hypothesis space the program can systematically narrow.</w:t>
      </w:r>
    </w:p>
    <w:p w14:paraId="7F5B487F" w14:textId="77777777" w:rsidR="00B22C2E" w:rsidRDefault="00000000">
      <w:pPr>
        <w:spacing w:before="80" w:after="120" w:line="300" w:lineRule="auto"/>
      </w:pPr>
      <w:r>
        <w:t>A defining characteristic of this program is that the same co-scientist participates in every step, with persistent access to the project’s evolving corpus of literature, protocols, and data. That access can be achieved through several complementary mechanisms — fine-tuning of a base model on project-specific material, retrieval-augmented generation over an indexed corpus, long-context prompting with hierarchical summaries, and tool use for direct queries against the database — and the program will use whichever combination performs best for each task. The compounding advantage of a single agent across the full scientific loop is what distinguishes the co-scientist from any assembly of stand-alone tools, regardless of how that persistence is implemented. No AI co-scientist of this depth has been demonstrated, and developing one is itself a deliverable advance — useful at Janelia and exportable as a model for AI-experimental partnership in other domains.</w:t>
      </w:r>
    </w:p>
    <w:p w14:paraId="7F5B484C" w14:textId="77777777" w:rsidR="00B22C2E" w:rsidRDefault="00000000" w:rsidP="0025060A">
      <w:pPr>
        <w:pStyle w:val="Heading1"/>
      </w:pPr>
      <w:r>
        <w:t>Personnel</w:t>
      </w:r>
    </w:p>
    <w:p w14:paraId="7F5B4901" w14:textId="68ED04B1" w:rsidR="00B22C2E" w:rsidRDefault="00000000">
      <w:pPr>
        <w:spacing w:before="80" w:after="120" w:line="300" w:lineRule="auto"/>
      </w:pPr>
      <w:r>
        <w:t xml:space="preserve">The project is led by Jeff Magee in partnership with Nelson Spruston, with Josh Dudman, Luke Lavis, David Wong-Campos, and Sandro Romani as extended-team partners at Janelia. The structure below reflects the people on whom the program depends across the molecule-to-behavior stack, the lab-level </w:t>
      </w:r>
      <w:r>
        <w:lastRenderedPageBreak/>
        <w:t>personnel commitments that have already been made, and the cross-Janelia and external collaborations that round out the program.</w:t>
      </w:r>
    </w:p>
    <w:p w14:paraId="7F5B4906" w14:textId="77777777" w:rsidR="00B22C2E" w:rsidRDefault="00000000">
      <w:pPr>
        <w:pStyle w:val="Heading2"/>
      </w:pPr>
      <w:r>
        <w:t>Janelia / HHMI lab heads</w:t>
      </w:r>
    </w:p>
    <w:p w14:paraId="6B36555B" w14:textId="77777777" w:rsidR="00B528A3" w:rsidRDefault="00B528A3" w:rsidP="00B528A3">
      <w:pPr>
        <w:pStyle w:val="ListParagraph"/>
        <w:numPr>
          <w:ilvl w:val="0"/>
          <w:numId w:val="3"/>
        </w:numPr>
        <w:spacing w:before="40" w:after="40" w:line="280" w:lineRule="auto"/>
      </w:pPr>
      <w:r>
        <w:rPr>
          <w:b/>
          <w:bCs/>
        </w:rPr>
        <w:t xml:space="preserve">Jeff Magee </w:t>
      </w:r>
      <w:r>
        <w:t>(Project Lead) — BTSP, in vivo electrophysiology, dendritic integration.</w:t>
      </w:r>
    </w:p>
    <w:p w14:paraId="1E757FEB" w14:textId="77777777" w:rsidR="00B528A3" w:rsidRDefault="00B528A3" w:rsidP="00B528A3">
      <w:pPr>
        <w:pStyle w:val="ListParagraph"/>
        <w:numPr>
          <w:ilvl w:val="0"/>
          <w:numId w:val="3"/>
        </w:numPr>
        <w:spacing w:before="40" w:after="40" w:line="280" w:lineRule="auto"/>
      </w:pPr>
      <w:r>
        <w:rPr>
          <w:b/>
          <w:bCs/>
        </w:rPr>
        <w:t>Nelson Spruston</w:t>
      </w:r>
      <w:r>
        <w:t xml:space="preserve"> — synaptic plasticity, hippocampal physiology, dendritic integration, DELTA.</w:t>
      </w:r>
    </w:p>
    <w:p w14:paraId="1CB91797" w14:textId="77777777" w:rsidR="00B528A3" w:rsidRDefault="00B528A3" w:rsidP="00B528A3">
      <w:pPr>
        <w:pStyle w:val="ListParagraph"/>
        <w:numPr>
          <w:ilvl w:val="0"/>
          <w:numId w:val="3"/>
        </w:numPr>
        <w:spacing w:before="40" w:after="40" w:line="280" w:lineRule="auto"/>
      </w:pPr>
      <w:r>
        <w:rPr>
          <w:b/>
          <w:bCs/>
        </w:rPr>
        <w:t>Josh Dudman</w:t>
      </w:r>
      <w:r>
        <w:t xml:space="preserve"> — neuromodulation, AI-driven inference of plasticity rules, behavior.</w:t>
      </w:r>
    </w:p>
    <w:p w14:paraId="7F5B4907" w14:textId="77777777" w:rsidR="00B22C2E" w:rsidRDefault="00000000">
      <w:pPr>
        <w:pStyle w:val="ListParagraph"/>
        <w:numPr>
          <w:ilvl w:val="0"/>
          <w:numId w:val="3"/>
        </w:numPr>
        <w:spacing w:before="40" w:after="40" w:line="280" w:lineRule="auto"/>
      </w:pPr>
      <w:r>
        <w:rPr>
          <w:b/>
          <w:bCs/>
        </w:rPr>
        <w:t xml:space="preserve">Luke Lavis </w:t>
      </w:r>
      <w:r>
        <w:t>— JF dyes, STAMP, chemical biology, alpha-tag and binder design.</w:t>
      </w:r>
    </w:p>
    <w:p w14:paraId="7F5B4908" w14:textId="77777777" w:rsidR="00B22C2E" w:rsidRDefault="00000000">
      <w:pPr>
        <w:pStyle w:val="ListParagraph"/>
        <w:numPr>
          <w:ilvl w:val="0"/>
          <w:numId w:val="3"/>
        </w:numPr>
        <w:spacing w:before="40" w:after="40" w:line="280" w:lineRule="auto"/>
      </w:pPr>
      <w:r>
        <w:rPr>
          <w:b/>
          <w:bCs/>
        </w:rPr>
        <w:t xml:space="preserve">David Wong-Campos </w:t>
      </w:r>
      <w:r>
        <w:t>— in vivo voltage, Ca2+, and neurotransmitter imaging; leads the complementary iGluSnFR3 / SLAP-2 line of work.</w:t>
      </w:r>
    </w:p>
    <w:p w14:paraId="7F5B4909" w14:textId="77777777" w:rsidR="00B22C2E" w:rsidRDefault="00000000">
      <w:pPr>
        <w:pStyle w:val="ListParagraph"/>
        <w:numPr>
          <w:ilvl w:val="0"/>
          <w:numId w:val="3"/>
        </w:numPr>
        <w:spacing w:before="40" w:after="40" w:line="280" w:lineRule="auto"/>
      </w:pPr>
      <w:r>
        <w:rPr>
          <w:b/>
          <w:bCs/>
        </w:rPr>
        <w:t xml:space="preserve">Sandro Romani </w:t>
      </w:r>
      <w:r>
        <w:t>— biophysical modeling, BTSP theory, multi-scale simulation.</w:t>
      </w:r>
    </w:p>
    <w:p w14:paraId="7F5B490A" w14:textId="77777777" w:rsidR="00B22C2E" w:rsidRDefault="00000000">
      <w:pPr>
        <w:pStyle w:val="Heading2"/>
      </w:pPr>
      <w:r>
        <w:t>Lab personnel commitments</w:t>
      </w:r>
    </w:p>
    <w:p w14:paraId="7F5B490B" w14:textId="77777777" w:rsidR="00B22C2E" w:rsidRDefault="00000000">
      <w:pPr>
        <w:spacing w:before="80" w:after="120" w:line="300" w:lineRule="auto"/>
      </w:pPr>
      <w:r>
        <w:t>Real, named commitments of lab personnel are already in place from the core participants:</w:t>
      </w:r>
    </w:p>
    <w:p w14:paraId="7F5B49B0" w14:textId="77777777" w:rsidR="00B22C2E" w:rsidRDefault="00000000">
      <w:pPr>
        <w:pStyle w:val="ListParagraph"/>
        <w:numPr>
          <w:ilvl w:val="0"/>
          <w:numId w:val="3"/>
        </w:numPr>
        <w:spacing w:before="40" w:after="40" w:line="280" w:lineRule="auto"/>
      </w:pPr>
      <w:r>
        <w:rPr>
          <w:b/>
          <w:bCs/>
        </w:rPr>
        <w:t xml:space="preserve">Spruston lab: </w:t>
      </w:r>
      <w:r>
        <w:t>2–3 postdocs committed to the core in vivo experiment (mesoscope imaging, plateau-detection-and-zoom workflow, multi-day tracking, LICONN preparation).</w:t>
      </w:r>
    </w:p>
    <w:p w14:paraId="7F5B49B1" w14:textId="5D88BFAF" w:rsidR="00B22C2E" w:rsidRDefault="00000000">
      <w:pPr>
        <w:pStyle w:val="ListParagraph"/>
        <w:numPr>
          <w:ilvl w:val="0"/>
          <w:numId w:val="3"/>
        </w:numPr>
        <w:spacing w:before="40" w:after="40" w:line="280" w:lineRule="auto"/>
      </w:pPr>
      <w:r>
        <w:rPr>
          <w:b/>
          <w:bCs/>
        </w:rPr>
        <w:t xml:space="preserve">Magee lab: </w:t>
      </w:r>
      <w:r>
        <w:t>one postdoc will travel to Janelia to work on the core in vivo experiment, and a second Magee postdoc at Baylor committed to optimizing alpha-tag labeling using cultured cells, which directly de-risks the protein-tagging pipeline before knock-in mouse lines are made.</w:t>
      </w:r>
    </w:p>
    <w:p w14:paraId="7F5B49B2" w14:textId="1A456E30" w:rsidR="00B22C2E" w:rsidRDefault="00000000">
      <w:pPr>
        <w:pStyle w:val="ListParagraph"/>
        <w:numPr>
          <w:ilvl w:val="0"/>
          <w:numId w:val="3"/>
        </w:numPr>
        <w:spacing w:before="40" w:after="40" w:line="280" w:lineRule="auto"/>
      </w:pPr>
      <w:r>
        <w:rPr>
          <w:b/>
          <w:bCs/>
        </w:rPr>
        <w:t xml:space="preserve">Dudman </w:t>
      </w:r>
      <w:proofErr w:type="gramStart"/>
      <w:r>
        <w:rPr>
          <w:b/>
          <w:bCs/>
        </w:rPr>
        <w:t>lab:</w:t>
      </w:r>
      <w:proofErr w:type="gramEnd"/>
      <w:r>
        <w:rPr>
          <w:b/>
          <w:bCs/>
        </w:rPr>
        <w:t xml:space="preserve"> </w:t>
      </w:r>
      <w:r>
        <w:t>commits lab members to a parallel approach in freely moving mice using two-photon miniscopes. Dudman’s lab has preliminary evidence that this approach can identify BTSP events in freely moving animals (Grima et al. 2024), which extends the program’s behavioral footprint beyond head-fixed virtual-reality and tests whether the molecular and ultrastructural correlates we identify generalize across induction conditions. While the Dudman lab’s focus has been on circuit-level mechanisms in recent years, Dudman has explicitly committed to bringing the lab’s rapid-learning work back to the synaptic and molecular level for this program.</w:t>
      </w:r>
    </w:p>
    <w:p w14:paraId="7F5B49B3" w14:textId="33D3FC9C" w:rsidR="00B22C2E" w:rsidRDefault="00000000">
      <w:pPr>
        <w:pStyle w:val="ListParagraph"/>
        <w:numPr>
          <w:ilvl w:val="0"/>
          <w:numId w:val="3"/>
        </w:numPr>
        <w:spacing w:before="40" w:after="40" w:line="280" w:lineRule="auto"/>
      </w:pPr>
      <w:r>
        <w:rPr>
          <w:b/>
          <w:bCs/>
        </w:rPr>
        <w:t xml:space="preserve">Lavis </w:t>
      </w:r>
      <w:proofErr w:type="gramStart"/>
      <w:r>
        <w:rPr>
          <w:b/>
          <w:bCs/>
        </w:rPr>
        <w:t>lab:</w:t>
      </w:r>
      <w:proofErr w:type="gramEnd"/>
      <w:r>
        <w:rPr>
          <w:b/>
          <w:bCs/>
        </w:rPr>
        <w:t xml:space="preserve"> </w:t>
      </w:r>
      <w:r>
        <w:t>commits a lab member to designing fluorescent labels for alpha-tag antibodies; to applying STAMP-based labeling of synaptic proteins; and, in partnership with David Baker through the Lavis/Baker AI@HHMI project, to exploring AI-assisted approaches for designing new binders to label synaptic proteins. This package is the chemistry backbone of the molecular-characterization pipeline.</w:t>
      </w:r>
    </w:p>
    <w:p w14:paraId="7F5B49B4" w14:textId="77777777" w:rsidR="00B22C2E" w:rsidRDefault="00000000">
      <w:pPr>
        <w:pStyle w:val="ListParagraph"/>
        <w:numPr>
          <w:ilvl w:val="0"/>
          <w:numId w:val="3"/>
        </w:numPr>
        <w:spacing w:before="40" w:after="40" w:line="280" w:lineRule="auto"/>
      </w:pPr>
      <w:r>
        <w:rPr>
          <w:b/>
          <w:bCs/>
        </w:rPr>
        <w:t xml:space="preserve">Wong-Campos and Romani labs: </w:t>
      </w:r>
      <w:r>
        <w:t>contributions are scoped at the project-task level rather than as fixed FTE commitments. Wong-Campos leads the complementary iGluSnFR3 / SLAP-2 line of work; Romani contributes biophysical modeling and BTSP theory.</w:t>
      </w:r>
    </w:p>
    <w:p w14:paraId="7F5B490C" w14:textId="77777777" w:rsidR="00B22C2E" w:rsidRDefault="00000000">
      <w:pPr>
        <w:pStyle w:val="Heading2"/>
      </w:pPr>
      <w:r>
        <w:t>Project Coordinator (Principal Scientist, TBD)</w:t>
      </w:r>
    </w:p>
    <w:p w14:paraId="7F5B490D" w14:textId="77669721" w:rsidR="00B22C2E" w:rsidRDefault="00000000">
      <w:pPr>
        <w:spacing w:before="80" w:after="120" w:line="300" w:lineRule="auto"/>
      </w:pPr>
      <w:r>
        <w:t xml:space="preserve">A Principal Scientist will be hired or assigned to serve as Project Coordinator across the participating Janelia groups and the external collaborations. The role is responsible for cross-lab scheduling, milestone tracking, dataset and protocol stewardship, and acting as the single point of contact for the </w:t>
      </w:r>
      <w:r>
        <w:lastRenderedPageBreak/>
        <w:t>Anthropic and Google partnerships and for the Project Coordinator’s own day-to-day interaction with the AI co-scientist. This role is essential for a multi-lab program of this complexity and is the single most important hiring decision in Year 1. This person will be a scientist who participates in execution of experiments, not just management.</w:t>
      </w:r>
    </w:p>
    <w:p w14:paraId="7F5B490E" w14:textId="7ADEA555" w:rsidR="00B22C2E" w:rsidRDefault="00F50E60">
      <w:pPr>
        <w:pStyle w:val="Heading2"/>
      </w:pPr>
      <w:r>
        <w:t>Potential external collaborators</w:t>
      </w:r>
    </w:p>
    <w:p w14:paraId="7F5B490F" w14:textId="77777777" w:rsidR="00B22C2E" w:rsidRDefault="00000000">
      <w:pPr>
        <w:pStyle w:val="ListParagraph"/>
        <w:numPr>
          <w:ilvl w:val="0"/>
          <w:numId w:val="3"/>
        </w:numPr>
        <w:spacing w:before="40" w:after="40" w:line="280" w:lineRule="auto"/>
      </w:pPr>
      <w:r>
        <w:rPr>
          <w:b/>
          <w:bCs/>
        </w:rPr>
        <w:t xml:space="preserve">Na Ji </w:t>
      </w:r>
      <w:r>
        <w:t>(UC Berkeley) — adaptive optics for deep-tissue two-photon imaging.</w:t>
      </w:r>
    </w:p>
    <w:p w14:paraId="7F5B4910" w14:textId="77777777" w:rsidR="00B22C2E" w:rsidRDefault="00000000">
      <w:pPr>
        <w:pStyle w:val="ListParagraph"/>
        <w:numPr>
          <w:ilvl w:val="0"/>
          <w:numId w:val="3"/>
        </w:numPr>
        <w:spacing w:before="40" w:after="40" w:line="280" w:lineRule="auto"/>
      </w:pPr>
      <w:r>
        <w:rPr>
          <w:b/>
          <w:bCs/>
        </w:rPr>
        <w:t xml:space="preserve">Steven </w:t>
      </w:r>
      <w:proofErr w:type="spellStart"/>
      <w:r>
        <w:rPr>
          <w:b/>
          <w:bCs/>
        </w:rPr>
        <w:t>Boeynaems</w:t>
      </w:r>
      <w:proofErr w:type="spellEnd"/>
      <w:r>
        <w:rPr>
          <w:b/>
          <w:bCs/>
        </w:rPr>
        <w:t xml:space="preserve"> </w:t>
      </w:r>
      <w:r>
        <w:t>(Baylor) — biomolecular condensates, scaffold gelation, lower-layer PSD biology.</w:t>
      </w:r>
    </w:p>
    <w:p w14:paraId="7F5B491F" w14:textId="77777777" w:rsidR="00B22C2E" w:rsidRDefault="00000000">
      <w:pPr>
        <w:pStyle w:val="ListParagraph"/>
        <w:numPr>
          <w:ilvl w:val="0"/>
          <w:numId w:val="3"/>
        </w:numPr>
        <w:spacing w:before="40" w:after="40" w:line="280" w:lineRule="auto"/>
      </w:pPr>
      <w:r>
        <w:rPr>
          <w:b/>
          <w:bCs/>
        </w:rPr>
        <w:t xml:space="preserve">Kaspar Podgorski </w:t>
      </w:r>
      <w:r>
        <w:t>(Allen Institute for Neural Dynamics) — SLAP-2 microscopy and iGluSnFR3 imaging of dendritic glutamate release; advisor on the complementary functional-imaging line of work that David Wong-Campos will lead.</w:t>
      </w:r>
    </w:p>
    <w:p w14:paraId="2AAE6519" w14:textId="0C0CB232" w:rsidR="00F50E60" w:rsidRDefault="00F50E60" w:rsidP="00F50E60">
      <w:pPr>
        <w:pStyle w:val="Heading2"/>
      </w:pPr>
      <w:r>
        <w:t>AI partners</w:t>
      </w:r>
    </w:p>
    <w:p w14:paraId="7F5B491A" w14:textId="77777777" w:rsidR="00B22C2E" w:rsidRDefault="00000000">
      <w:pPr>
        <w:pStyle w:val="ListParagraph"/>
        <w:numPr>
          <w:ilvl w:val="0"/>
          <w:numId w:val="3"/>
        </w:numPr>
        <w:spacing w:before="40" w:after="40" w:line="280" w:lineRule="auto"/>
      </w:pPr>
      <w:r>
        <w:rPr>
          <w:b/>
          <w:bCs/>
        </w:rPr>
        <w:t xml:space="preserve">Anthropic </w:t>
      </w:r>
      <w:r>
        <w:t>(collaboration) — agentic experimental control, fine-tuned scientific LLMs, AI co-scientist development.</w:t>
      </w:r>
    </w:p>
    <w:p w14:paraId="7F5B491B" w14:textId="77777777" w:rsidR="00B22C2E" w:rsidRDefault="00000000">
      <w:pPr>
        <w:pStyle w:val="ListParagraph"/>
        <w:numPr>
          <w:ilvl w:val="0"/>
          <w:numId w:val="3"/>
        </w:numPr>
        <w:spacing w:before="40" w:after="40" w:line="280" w:lineRule="auto"/>
      </w:pPr>
      <w:r>
        <w:rPr>
          <w:b/>
          <w:bCs/>
        </w:rPr>
        <w:t xml:space="preserve">Google </w:t>
      </w:r>
      <w:r>
        <w:t>(collaboration) — multi-scale simulation, AI-assisted literature integration.</w:t>
      </w:r>
    </w:p>
    <w:p w14:paraId="7F5B4881" w14:textId="77777777" w:rsidR="00B22C2E" w:rsidRDefault="00000000">
      <w:pPr>
        <w:pStyle w:val="Heading1"/>
      </w:pPr>
      <w:r>
        <w:t>Complementary experiments in slices and cultured neurons</w:t>
      </w:r>
    </w:p>
    <w:p w14:paraId="7F5B4882" w14:textId="48CB91C1" w:rsidR="00B22C2E" w:rsidRDefault="00000000">
      <w:pPr>
        <w:spacing w:before="80" w:after="120" w:line="300" w:lineRule="auto"/>
      </w:pPr>
      <w:r>
        <w:t>Slice physiology and culture work runs in parallel with the in vivo program for three reasons. First, BTSP can be induced reliably in CA1 pyramidal neurons in slice using current-injected plateau potentials, providing a high-throughput testbed for developing the LICONN imaging, alignment, and labeling protocols before they are deployed on harder-won in vivo tissue. Second, cultured cells are the right systems in which to optimize alpha-tag insertion sites, compare alpha-tag labeling against commercial antibodies for the same proteins. Cultured cells and slices are the best systems to evaluate strategies to label synaptic proteins with HaloTag/SNAP tags for super-resolution microscopy and receptor counting, including in live cells. Third, although molecular mechanisms in vivo and in vitro need not be identical, the cross-validation between systems is itself informative — concordance increases confidence in the findings, while discrepancies identify where context-dependent biology is operating.</w:t>
      </w:r>
    </w:p>
    <w:p w14:paraId="7F5B4883" w14:textId="77777777" w:rsidR="00B22C2E" w:rsidRDefault="00000000">
      <w:pPr>
        <w:spacing w:before="80" w:after="120" w:line="300" w:lineRule="auto"/>
      </w:pPr>
      <w:r>
        <w:t>Determining which proteins should be made into knock-in mouse lines, and where in the protein the tag should go, is best decided after exhaustive testing in cultured neurons. We will not commit to a knock-in line until the cultured-cell validation is complete.</w:t>
      </w:r>
    </w:p>
    <w:p w14:paraId="7F5B4C10" w14:textId="7487D051" w:rsidR="00B22C2E" w:rsidRDefault="00000000">
      <w:pPr>
        <w:spacing w:before="80" w:after="120" w:line="300" w:lineRule="auto"/>
      </w:pPr>
      <w:r>
        <w:t xml:space="preserve">A fourth reason to run slice and culture work in parallel is that it adds a temporal dimension to the molecular characterization. The expansion of in vivo-recorded tissue followed by super-resolution imaging of that fixed tissue provides a high-resolution snapshot of the synaptic elements that set weight and stability, but only at a single time point. Slice and culture experiments can complement this with movies of the same identified, tagged proteins before, during, and after BTSP induction. With those </w:t>
      </w:r>
      <w:r>
        <w:lastRenderedPageBreak/>
        <w:t>movies we can track the movement of identified proteins in and out of synapses over time, quantifying the dynamics of the system at the level of individual molecules. The dynamic in vitro picture is an excellent complement to the static, in vivo-anchored snapshot.</w:t>
      </w:r>
    </w:p>
    <w:p w14:paraId="7F5B4884" w14:textId="77777777" w:rsidR="00B22C2E" w:rsidRDefault="00000000">
      <w:pPr>
        <w:pStyle w:val="Heading1"/>
      </w:pPr>
      <w:r>
        <w:t>Coordination with related projects at Janelia</w:t>
      </w:r>
    </w:p>
    <w:p w14:paraId="7F5B4885" w14:textId="77777777" w:rsidR="00B22C2E" w:rsidRDefault="00000000">
      <w:pPr>
        <w:spacing w:before="80" w:after="120" w:line="300" w:lineRule="auto"/>
      </w:pPr>
      <w:r>
        <w:t>The program is designed to extract maximum value from work happening elsewhere on campus. Methodology for tagging synaptic proteins benefits from parallel fly work; LICONN tissue preparation and imaging benefits from optimization being done for fly and fish; alpha-tag design benefits from the AI@HHMI projects mentioned above. Once key BTSP-related molecules are identified, we will collaborate with the AI@HHMI cryo-ET project to determine the structure of the relevant complexes using gold-labeled synaptic proteins. Janelia’s mesoscale analysis pipelines (Suite2p; the Stringer/Pachitariu group’s 100,000-cell cortical recordings; the Dudman/Hermundstad group’s navigational-goal-inference work) provide both tools and shared infrastructure.</w:t>
      </w:r>
    </w:p>
    <w:p w14:paraId="7F5B4886" w14:textId="77777777" w:rsidR="00B22C2E" w:rsidRDefault="00000000">
      <w:pPr>
        <w:spacing w:before="80" w:after="120" w:line="300" w:lineRule="auto"/>
      </w:pPr>
      <w:r>
        <w:t>Strategically, the mouse program is the bridge that completes Janelia’s broader plan: between Danionella and translation, between tool development and biology, and between Janelia and the wider neuroscience community. Many of the sensors, dyes, viruses, and microscopes built at Janelia are validated in mice first and ported elsewhere; tools and methods developed here therefore have an outsized chance of broad adoption.</w:t>
      </w:r>
    </w:p>
    <w:p w14:paraId="7F5B4887" w14:textId="77777777" w:rsidR="00B22C2E" w:rsidRDefault="00000000" w:rsidP="00E80C86">
      <w:pPr>
        <w:pStyle w:val="Heading1"/>
      </w:pPr>
      <w:r>
        <w:t>Core experiment details</w:t>
      </w:r>
    </w:p>
    <w:p w14:paraId="7F5B4888" w14:textId="77777777" w:rsidR="00B22C2E" w:rsidRDefault="00000000">
      <w:pPr>
        <w:pStyle w:val="Heading2"/>
      </w:pPr>
      <w:r>
        <w:t>Sparse, connection-biased labeling</w:t>
      </w:r>
    </w:p>
    <w:p w14:paraId="7F5B4889" w14:textId="77777777" w:rsidR="00B22C2E" w:rsidRDefault="00000000">
      <w:pPr>
        <w:spacing w:before="80" w:after="120" w:line="300" w:lineRule="auto"/>
      </w:pPr>
      <w:r>
        <w:t>Sparse labeling of CA1 pyramidal neurons and CA3 axons can be approached in several complementary ways, and the program will combine them rather than rely on any single strategy. The Year-1 connection-probability pilot (above) will quantify the per-strategy boost so that the cohort uses whichever combination performs best in our specific imaging volume.</w:t>
      </w:r>
    </w:p>
    <w:p w14:paraId="7F5B4A80" w14:textId="77777777" w:rsidR="00B22C2E" w:rsidRDefault="00000000">
      <w:pPr>
        <w:pStyle w:val="ListParagraph"/>
        <w:numPr>
          <w:ilvl w:val="0"/>
          <w:numId w:val="3"/>
        </w:numPr>
        <w:spacing w:before="40" w:after="40" w:line="280" w:lineRule="auto"/>
      </w:pPr>
      <w:r>
        <w:rPr>
          <w:b/>
          <w:bCs/>
        </w:rPr>
        <w:t xml:space="preserve">Birthdate-matched labeling. </w:t>
      </w:r>
      <w:r>
        <w:t>Hippocampal principal neurons consist of temporally matched subpopulations whose nonoverlapping schedules of synaptogenesis produce selectively interconnected channels at DG-CA3 and CA3-CA1 synapses (Deguchi et al. 2011). Sparsely labeling birthdate-matched CA3 and CA1 cohorts therefore transforms the population-wide 0.1 connection probability into something materially higher in the labeled subset.</w:t>
      </w:r>
    </w:p>
    <w:p w14:paraId="7F5B4A81" w14:textId="77777777" w:rsidR="00B22C2E" w:rsidRDefault="00000000">
      <w:pPr>
        <w:pStyle w:val="ListParagraph"/>
        <w:numPr>
          <w:ilvl w:val="0"/>
          <w:numId w:val="3"/>
        </w:numPr>
        <w:spacing w:before="40" w:after="40" w:line="280" w:lineRule="auto"/>
      </w:pPr>
      <w:r>
        <w:rPr>
          <w:b/>
          <w:bCs/>
        </w:rPr>
        <w:t xml:space="preserve">Viral transduction strategies. </w:t>
      </w:r>
      <w:r>
        <w:t xml:space="preserve">Diluted AAV-Cre paired with Cre-dependent reporters provides a tunable level of sparse expression in CA3 and CA1, with the labeling density set by titer rather than by birthdate. </w:t>
      </w:r>
      <w:proofErr w:type="spellStart"/>
      <w:r>
        <w:t>Pseudotyped</w:t>
      </w:r>
      <w:proofErr w:type="spellEnd"/>
      <w:r>
        <w:t>, monosynaptic-input-tracing rabies approaches (e.g. TVA/</w:t>
      </w:r>
      <w:proofErr w:type="spellStart"/>
      <w:r>
        <w:t>EnvA</w:t>
      </w:r>
      <w:proofErr w:type="spellEnd"/>
      <w:r>
        <w:t xml:space="preserve">-based tracing on birthdate- or position-defined starter cells; Jacobsen et al. 2022) further enrich the dataset for confirmed connected pairs by retrogradely labeling presynaptic CA3 cells from a </w:t>
      </w:r>
      <w:r>
        <w:lastRenderedPageBreak/>
        <w:t>chosen postsynaptic CA1 starter. Combinatorial multi-fluorophore reporters (</w:t>
      </w:r>
      <w:proofErr w:type="spellStart"/>
      <w:r>
        <w:t>Brainbow</w:t>
      </w:r>
      <w:proofErr w:type="spellEnd"/>
      <w:r>
        <w:t>-style) can additionally disambiguate adjacent labeled axons within the imaging volume.</w:t>
      </w:r>
    </w:p>
    <w:p w14:paraId="7F5B4A82" w14:textId="77777777" w:rsidR="00B22C2E" w:rsidRDefault="00000000">
      <w:pPr>
        <w:pStyle w:val="ListParagraph"/>
        <w:numPr>
          <w:ilvl w:val="0"/>
          <w:numId w:val="3"/>
        </w:numPr>
        <w:spacing w:before="40" w:after="40" w:line="280" w:lineRule="auto"/>
      </w:pPr>
      <w:r>
        <w:rPr>
          <w:b/>
          <w:bCs/>
        </w:rPr>
        <w:t xml:space="preserve">Anatomical priors. </w:t>
      </w:r>
      <w:r>
        <w:t>The recent characterization of sparse and structured developmental connectivity in CA3 (Vargas-Barroso et al. 2026) provides priors for the expected wiring patterns and informs the choice of which CA3 sub-population to label preferentially. Bloss et al. (2018) further documented that single CA3 axons can form spatially clustered compound synapses onto CA1 dendrites, an additional structural feature directly relevant to the within-pair analysis described in the quantitative-scale section.</w:t>
      </w:r>
    </w:p>
    <w:p w14:paraId="7F5B4A83" w14:textId="77777777" w:rsidR="00B22C2E" w:rsidRDefault="00000000">
      <w:pPr>
        <w:spacing w:before="80" w:after="120" w:line="300" w:lineRule="auto"/>
      </w:pPr>
      <w:r>
        <w:t>The combination of birthdate-matched and viral approaches is what underlies the favorable-case scenario in the quantitative-scale section, where the effective connection probability within the labeled subset reaches ~0.2; the conservative case assumes only the population-level baseline of ~0.1.</w:t>
      </w:r>
    </w:p>
    <w:p w14:paraId="7F5B488A" w14:textId="77777777" w:rsidR="00B22C2E" w:rsidRDefault="00000000">
      <w:pPr>
        <w:pStyle w:val="Heading2"/>
      </w:pPr>
      <w:r>
        <w:t>In vivo imaging</w:t>
      </w:r>
    </w:p>
    <w:p w14:paraId="7F5B488B" w14:textId="15A1924B" w:rsidR="00B22C2E" w:rsidRDefault="00000000">
      <w:pPr>
        <w:spacing w:before="80" w:after="120" w:line="300" w:lineRule="auto"/>
      </w:pPr>
      <w:r>
        <w:t xml:space="preserve">The 2P-RAM mesoscope (Sofroniew et al. 2016) enables simultaneous multi-plane dual-color imaging of CA1 pyramidal cells and CA3 axons at frame rates sufficient to resolve coactivity at sub-second offsets. </w:t>
      </w:r>
      <w:proofErr w:type="spellStart"/>
      <w:r>
        <w:t>PinkyCaMP</w:t>
      </w:r>
      <w:proofErr w:type="spellEnd"/>
      <w:r>
        <w:t xml:space="preserve"> and GCaMP6f (or the relevant Janelia-developed multiplexed indicator pair) provide spectral separation. The </w:t>
      </w:r>
      <w:proofErr w:type="spellStart"/>
      <w:r>
        <w:t>mesoscope’s</w:t>
      </w:r>
      <w:proofErr w:type="spellEnd"/>
      <w:r>
        <w:t xml:space="preserve"> adaptive zoom-in capability (triggered by AI on plateau-potential detection, as described above) drops to subcellular resolution on the focal CA1 cell, resolving individual dendrites, dendritic spines, and identified presynaptic axon segments in vivo. SLAP-2 (</w:t>
      </w:r>
      <w:proofErr w:type="spellStart"/>
      <w:r>
        <w:t>Kazemipour</w:t>
      </w:r>
      <w:proofErr w:type="spellEnd"/>
      <w:r>
        <w:t xml:space="preserve"> et al. 2019), used in the complementary glutamate-release line of work, extends this to per-synapse functional readout in the same animals. Two-photon photoconversion at the boundaries of the imaging volume creates permanent fiducial markers that anchor downstream LICONN registration. Head-mounted miniscopes are available for follow-up experiments in </w:t>
      </w:r>
      <w:r w:rsidR="00D54860">
        <w:t>freely moving</w:t>
      </w:r>
      <w:r>
        <w:t xml:space="preserve"> animals where appropriate, including the Dudman-lab parallel approach. The behavioral substrate is a head-fixed virtual-reality linear track with random reward, run over multi-day training to expose stable, transient, and newly forming place fields.</w:t>
      </w:r>
    </w:p>
    <w:p w14:paraId="7F5B488C" w14:textId="77777777" w:rsidR="00B22C2E" w:rsidRDefault="00000000">
      <w:pPr>
        <w:pStyle w:val="Heading2"/>
      </w:pPr>
      <w:r>
        <w:t>Plateau detection and BTSP induction tracking</w:t>
      </w:r>
    </w:p>
    <w:p w14:paraId="7F5B488D" w14:textId="344B4F6E" w:rsidR="00B22C2E" w:rsidRDefault="00000000">
      <w:pPr>
        <w:spacing w:before="80" w:after="120" w:line="300" w:lineRule="auto"/>
      </w:pPr>
      <w:r>
        <w:t xml:space="preserve">Plateau-like Ca2+ events are detected online by an AI classifier; this triggers automated repeated high-resolution imaging of the cell and its inputs across the relevant minutes-to-days window so that the trajectory of newly induced place fields can be followed. Across many cells and animals, this resolves whether a given BTSP event produced an enduring or transient potentiation. Magee lab data already show that many CA1 cells exhibit BTSP events under standard in vivo conditions, so finding events should not be a yield bottleneck. As a deliberate backup, BTSP can also be induced artificially using Carmine, a depolarizing tool that drives plateau potentials on demand; this is held in reserve for cases where natural BTSP yield in any specific animal is </w:t>
      </w:r>
      <w:r w:rsidR="00D54860">
        <w:t>low and</w:t>
      </w:r>
      <w:r>
        <w:t xml:space="preserve"> can also be used to expand the cohort of BTSP-induced cells if needed. Optogenetic perturbation experiments — driven by AI-in-the-loop, </w:t>
      </w:r>
      <w:r>
        <w:lastRenderedPageBreak/>
        <w:t>following the approach Dudman’s group has piloted for adaptive perturbation design — will be added in later phases to test predicted plasticity rules.</w:t>
      </w:r>
    </w:p>
    <w:p w14:paraId="7F5B488E" w14:textId="77777777" w:rsidR="00B22C2E" w:rsidRDefault="00000000">
      <w:pPr>
        <w:pStyle w:val="Heading2"/>
      </w:pPr>
      <w:r>
        <w:t>LICONN protocol and downstream readouts</w:t>
      </w:r>
    </w:p>
    <w:p w14:paraId="7F5B488F" w14:textId="77777777" w:rsidR="00B22C2E" w:rsidRDefault="00000000">
      <w:pPr>
        <w:spacing w:before="80" w:after="120" w:line="300" w:lineRule="auto"/>
      </w:pPr>
      <w:r>
        <w:t xml:space="preserve">Tissue is fixed immediately after the final imaging session, vibratome-sectioned at 100 </w:t>
      </w:r>
      <w:proofErr w:type="spellStart"/>
      <w:r>
        <w:t>μm</w:t>
      </w:r>
      <w:proofErr w:type="spellEnd"/>
      <w:r>
        <w:t xml:space="preserve"> to capture the imaged volume, expanded 4-fold (with optional 16-fold iterative expansion for highest-priority synapses), immunolabeled post-expansion, and imaged on a light-sheet microscope. The same volumes yield (</w:t>
      </w:r>
      <w:proofErr w:type="spellStart"/>
      <w:r>
        <w:t>i</w:t>
      </w:r>
      <w:proofErr w:type="spellEnd"/>
      <w:r>
        <w:t>) anatomical confirmation of CA3-to-CA1 contacts identified by in vivo imaging, (ii) ultrastructural feature extraction (spine head volume and shape, spine apparatus presence and elaboration, smooth ER distribution, neck length and minimum cross-section, polyribosome and mitochondrial content, active zone and vesicle organization, astrocytic coverage, perisynaptic ECM density), and (iii) molecular composition through post-expansion antibodies and CRISPR knock-in tag fluorophores. Strategic super-resolution follow-up on a subset of functionally classified synapses (selected adaptively by the AI co-scientist) provides nanocluster-level detail on synaptic proteins of interest.</w:t>
      </w:r>
    </w:p>
    <w:p w14:paraId="7F5B4970" w14:textId="77777777" w:rsidR="00B22C2E" w:rsidRDefault="00000000">
      <w:pPr>
        <w:pStyle w:val="Heading1"/>
      </w:pPr>
      <w:r>
        <w:t>Year 1 milestones and risk reduction</w:t>
      </w:r>
    </w:p>
    <w:p w14:paraId="7F5B4971" w14:textId="77777777" w:rsidR="00B22C2E" w:rsidRDefault="00000000">
      <w:pPr>
        <w:spacing w:before="80" w:after="120" w:line="300" w:lineRule="auto"/>
      </w:pPr>
      <w:r>
        <w:t>Year 1 of the program is structured around four parallel risk-reduction milestones. Each is sized so that the program can decide whether to scale to the full ~100-animal cohort with confidence, or to revise the design before committing further resources. The team and tooling at Janelia make all four feasible in the first 12–18 months.</w:t>
      </w:r>
    </w:p>
    <w:p w14:paraId="7F5B4972" w14:textId="77777777" w:rsidR="00B22C2E" w:rsidRDefault="00000000">
      <w:pPr>
        <w:pStyle w:val="ListParagraph"/>
        <w:numPr>
          <w:ilvl w:val="0"/>
          <w:numId w:val="3"/>
        </w:numPr>
        <w:spacing w:before="40" w:after="40" w:line="280" w:lineRule="auto"/>
      </w:pPr>
      <w:r>
        <w:rPr>
          <w:b/>
          <w:bCs/>
        </w:rPr>
        <w:t xml:space="preserve">Generate 4–6 transgenic mouse lines. </w:t>
      </w:r>
      <w:r>
        <w:t>Knock-in lines for the highest-priority synaptic proteins (likely starting with TARP γ-8, Shank3, Synaptopodin, and 1–3 additional candidates selected by the AI co-scientist from the protein-selection table). Janelia’s transgenic mouse facility and the team’s combined experience with knock-in design make this feasible in the first year. The Magee Baylor postdoc’s cultured-cell alpha-tag optimization (above) feeds directly into knock-in tag-site selection.</w:t>
      </w:r>
    </w:p>
    <w:p w14:paraId="7AEB58E8" w14:textId="1162591E" w:rsidR="002B7A3D" w:rsidRDefault="002B7A3D" w:rsidP="002B7A3D">
      <w:pPr>
        <w:pStyle w:val="ListParagraph"/>
        <w:numPr>
          <w:ilvl w:val="0"/>
          <w:numId w:val="3"/>
        </w:numPr>
        <w:spacing w:before="40" w:after="40" w:line="280" w:lineRule="auto"/>
      </w:pPr>
      <w:r>
        <w:rPr>
          <w:b/>
          <w:bCs/>
        </w:rPr>
        <w:t xml:space="preserve">Complete AI control of the 2P-RAM mesoscope. </w:t>
      </w:r>
      <w:r>
        <w:t xml:space="preserve">In partnership with Anthropic, complete the AI-in-the-loop closed-loop control system for the 2P-RAM mesoscope: real-time cell segmentation (Suite2p, </w:t>
      </w:r>
      <w:proofErr w:type="spellStart"/>
      <w:r>
        <w:t>Cellpose</w:t>
      </w:r>
      <w:proofErr w:type="spellEnd"/>
      <w:r>
        <w:t xml:space="preserve">-derived models), online plateau-potential detection, automated zoom-in to the focal CA1 cell on a detected event, and adaptive intervention against motion, drift, and acquisition failures. This converts the mesoscope from a human-operated instrument to one whose throughput is set by biology rather than by operator </w:t>
      </w:r>
      <w:proofErr w:type="gramStart"/>
      <w:r>
        <w:t>attention, and</w:t>
      </w:r>
      <w:proofErr w:type="gramEnd"/>
      <w:r>
        <w:t xml:space="preserve"> is the technical prerequisite for the cohort-scale plan.</w:t>
      </w:r>
    </w:p>
    <w:p w14:paraId="7F5B4973" w14:textId="77777777" w:rsidR="00B22C2E" w:rsidRDefault="00000000">
      <w:pPr>
        <w:pStyle w:val="ListParagraph"/>
        <w:numPr>
          <w:ilvl w:val="0"/>
          <w:numId w:val="3"/>
        </w:numPr>
        <w:spacing w:before="40" w:after="40" w:line="280" w:lineRule="auto"/>
      </w:pPr>
      <w:r>
        <w:rPr>
          <w:b/>
          <w:bCs/>
        </w:rPr>
        <w:t xml:space="preserve">Pilot the within-volume CA3→CA1 connection probability. </w:t>
      </w:r>
      <w:r>
        <w:t xml:space="preserve">The 0.1 baseline used in the quantitative-scale calculation is a population-wide anatomical estimate; in a small radiatum imaging volume the within-volume conditional probability could be lower, and the boost from birthdate-matched labeling is unquantified. A pilot of N=3 mice will measure both directly and </w:t>
      </w:r>
      <w:r>
        <w:lastRenderedPageBreak/>
        <w:t>pin down the realistic yield before the cohort scales. Go/no-go: within-volume connection probability of at least 0.05 in the labeled subset.</w:t>
      </w:r>
    </w:p>
    <w:p w14:paraId="7F5B4974" w14:textId="77777777" w:rsidR="00B22C2E" w:rsidRDefault="00000000">
      <w:pPr>
        <w:pStyle w:val="ListParagraph"/>
        <w:numPr>
          <w:ilvl w:val="0"/>
          <w:numId w:val="3"/>
        </w:numPr>
        <w:spacing w:before="40" w:after="40" w:line="280" w:lineRule="auto"/>
      </w:pPr>
      <w:r>
        <w:rPr>
          <w:b/>
          <w:bCs/>
        </w:rPr>
        <w:t xml:space="preserve">Pilot per-spine functional-to-LICONN co-registration. </w:t>
      </w:r>
      <w:r>
        <w:t xml:space="preserve">The lynchpin technical step is identifying, in LICONN, the specific spines that received imaged presynaptic axonal input in vivo. Photoconverted fiducials at imaging-volume boundaries anchor coarse alignment; the within-volume per-spine correspondence requires sub-micrometer alignment after expansion-induced tissue </w:t>
      </w:r>
      <w:proofErr w:type="gramStart"/>
      <w:r>
        <w:t>deformation, and</w:t>
      </w:r>
      <w:proofErr w:type="gramEnd"/>
      <w:r>
        <w:t xml:space="preserve"> has not been demonstrated at synapse resolution in mouse hippocampus. A pilot in 1–2 mice will establish the protocol and quantify per-spine correspondence rates. Go/no-go: per-spine correspondence accuracy ≥90% on the labeled subset.</w:t>
      </w:r>
    </w:p>
    <w:p w14:paraId="7F5B4975" w14:textId="77777777" w:rsidR="00B22C2E" w:rsidRDefault="00000000">
      <w:pPr>
        <w:pStyle w:val="ListParagraph"/>
        <w:numPr>
          <w:ilvl w:val="0"/>
          <w:numId w:val="3"/>
        </w:numPr>
        <w:spacing w:before="40" w:after="40" w:line="280" w:lineRule="auto"/>
      </w:pPr>
      <w:r>
        <w:rPr>
          <w:b/>
          <w:bCs/>
        </w:rPr>
        <w:t xml:space="preserve">Validate alpha-tag designs in cultured cells. </w:t>
      </w:r>
      <w:r>
        <w:t>The Magee Baylor postdoc, in collaboration with the Lavis lab, validates alpha-tag insertion sites and labeling chemistry in cultured neurons before knock-in lines are committed. This converts a Year-2 risk into a Year-1 measurement and preserves the option to iterate tag-site choices.</w:t>
      </w:r>
    </w:p>
    <w:p w14:paraId="7F5B4976" w14:textId="71D57D19" w:rsidR="00B22C2E" w:rsidRDefault="00000000">
      <w:pPr>
        <w:spacing w:before="80" w:after="120" w:line="300" w:lineRule="auto"/>
      </w:pPr>
      <w:r>
        <w:t>The Dudman lab’s parallel freely-moving-mouse approach with head-mounted, two-photon miniscopes runs in parallel through Year 1 and serves both as a behavioral-generality complement to the head-fixed virtual-reality cohort and as a hedge against unexpected attrition in the head-fixed pipeline.</w:t>
      </w:r>
    </w:p>
    <w:p w14:paraId="7F5B4890" w14:textId="77777777" w:rsidR="00B22C2E" w:rsidRDefault="00000000">
      <w:pPr>
        <w:pStyle w:val="Heading1"/>
      </w:pPr>
      <w:r>
        <w:t>Selection of proteins to be assessed for a role in BTSP</w:t>
      </w:r>
    </w:p>
    <w:p w14:paraId="7F5B4891" w14:textId="77777777" w:rsidR="00B22C2E" w:rsidRDefault="00000000">
      <w:pPr>
        <w:spacing w:before="80" w:after="120" w:line="300" w:lineRule="auto"/>
      </w:pPr>
      <w:r>
        <w:t>The selection below is grouped by the predicted functional role each molecule plays. The list is a starting point and will be iterated by the AI co-scientist against the literature and against the data as it accumulates.</w:t>
      </w:r>
    </w:p>
    <w:p w14:paraId="7F5B4A01" w14:textId="77777777" w:rsidR="00B22C2E" w:rsidRDefault="00000000">
      <w:pPr>
        <w:pStyle w:val="Heading2"/>
      </w:pPr>
      <w:r>
        <w:t>Postsynaptic — upper-layer scaffold (weight)</w:t>
      </w:r>
    </w:p>
    <w:p w14:paraId="7F5B4A02" w14:textId="77777777" w:rsidR="00B22C2E" w:rsidRDefault="00000000">
      <w:pPr>
        <w:spacing w:before="80" w:after="120" w:line="300" w:lineRule="auto"/>
      </w:pPr>
      <w:r>
        <w:t>AMPA receptor subunits; TARP γ-8; PSD-95 (especially the SH3-GK domain that engages SAPAP/GKAP); SAP family. These set rapid, BTSP-induced changes in synaptic conductance.</w:t>
      </w:r>
    </w:p>
    <w:p w14:paraId="7F5B4A03" w14:textId="77777777" w:rsidR="00B22C2E" w:rsidRDefault="00000000">
      <w:pPr>
        <w:pStyle w:val="Heading2"/>
      </w:pPr>
      <w:r>
        <w:t>Postsynaptic — lower-layer scaffold (stability)</w:t>
      </w:r>
    </w:p>
    <w:p w14:paraId="7F5B4A04" w14:textId="77777777" w:rsidR="00B22C2E" w:rsidRDefault="00000000">
      <w:pPr>
        <w:spacing w:before="80" w:after="120" w:line="300" w:lineRule="auto"/>
      </w:pPr>
      <w:r>
        <w:t xml:space="preserve">Shank (especially Shank3, with established roles in homeostatic plasticity and human disease; </w:t>
      </w:r>
      <w:proofErr w:type="spellStart"/>
      <w:r>
        <w:t>Tatavarty</w:t>
      </w:r>
      <w:proofErr w:type="spellEnd"/>
      <w:r>
        <w:t xml:space="preserve"> et al. 2020); Homer (cross-linker, IP3R coupling); SAPAP/GKAP (links upper and lower layers). These mediate the slower gelation and consolidation of potentiated synapses.</w:t>
      </w:r>
    </w:p>
    <w:p w14:paraId="7F5B4A05" w14:textId="77777777" w:rsidR="00B22C2E" w:rsidRDefault="00000000">
      <w:pPr>
        <w:pStyle w:val="Heading2"/>
      </w:pPr>
      <w:r>
        <w:t>Postsynaptic — coupling to local Ca²⁺ stores</w:t>
      </w:r>
    </w:p>
    <w:p w14:paraId="7F5B4A06" w14:textId="77777777" w:rsidR="00B22C2E" w:rsidRDefault="00000000">
      <w:pPr>
        <w:spacing w:before="80" w:after="120" w:line="300" w:lineRule="auto"/>
      </w:pPr>
      <w:proofErr w:type="spellStart"/>
      <w:r>
        <w:t>mGluRs</w:t>
      </w:r>
      <w:proofErr w:type="spellEnd"/>
      <w:r>
        <w:t>; IP3R; Synaptopodin (spine apparatus marker). Test of the Homer–IP3R–ER coupling hypothesis.</w:t>
      </w:r>
    </w:p>
    <w:p w14:paraId="7F5B4A07" w14:textId="77777777" w:rsidR="00B22C2E" w:rsidRDefault="00000000">
      <w:pPr>
        <w:pStyle w:val="Heading2"/>
      </w:pPr>
      <w:r>
        <w:t>Spine-neck cytoskeleton (electrical homeostasis)</w:t>
      </w:r>
    </w:p>
    <w:p w14:paraId="7F5B4A08" w14:textId="77777777" w:rsidR="00B22C2E" w:rsidRDefault="00000000">
      <w:pPr>
        <w:spacing w:before="80" w:after="120" w:line="300" w:lineRule="auto"/>
      </w:pPr>
      <w:proofErr w:type="spellStart"/>
      <w:r>
        <w:t>Drebrin</w:t>
      </w:r>
      <w:proofErr w:type="spellEnd"/>
      <w:r>
        <w:t xml:space="preserve">, α-actinin (actin mesh density); </w:t>
      </w:r>
      <w:proofErr w:type="spellStart"/>
      <w:r>
        <w:t>septins</w:t>
      </w:r>
      <w:proofErr w:type="spellEnd"/>
      <w:r>
        <w:t xml:space="preserve"> (neck-base diffusion barrier). Test of whether neck resistance is co-tuned with conductance.</w:t>
      </w:r>
    </w:p>
    <w:p w14:paraId="7F5B4A09" w14:textId="77777777" w:rsidR="00B22C2E" w:rsidRDefault="00000000">
      <w:pPr>
        <w:pStyle w:val="Heading2"/>
      </w:pPr>
      <w:r>
        <w:lastRenderedPageBreak/>
        <w:t>Presynaptic</w:t>
      </w:r>
    </w:p>
    <w:p w14:paraId="7F5B4A0A" w14:textId="77777777" w:rsidR="00B22C2E" w:rsidRDefault="00000000">
      <w:pPr>
        <w:spacing w:before="80" w:after="120" w:line="300" w:lineRule="auto"/>
      </w:pPr>
      <w:r>
        <w:t>Bassoon, RIM, Munc13 (active zone); Synaptotagmin family (release probability); vesicular markers for total/docked vesicle counts. Test of trans-synaptic coordination.</w:t>
      </w:r>
    </w:p>
    <w:p w14:paraId="7F5B4A0B" w14:textId="77777777" w:rsidR="00B22C2E" w:rsidRDefault="00000000">
      <w:pPr>
        <w:pStyle w:val="Heading2"/>
      </w:pPr>
      <w:r>
        <w:t>Trans-synaptic and perisynaptic</w:t>
      </w:r>
    </w:p>
    <w:p w14:paraId="7F5B4A0C" w14:textId="77777777" w:rsidR="00B22C2E" w:rsidRDefault="00000000">
      <w:pPr>
        <w:spacing w:before="80" w:after="120" w:line="300" w:lineRule="auto"/>
      </w:pPr>
      <w:r>
        <w:t>Neurexin/neuroligin family; brevican/aggrecan (perineuronal ECM); astrocytic coverage markers. Tripartite synapse maturation correlates of stability.</w:t>
      </w:r>
    </w:p>
    <w:p w14:paraId="7F5B48A7" w14:textId="77777777" w:rsidR="00B22C2E" w:rsidRDefault="00000000">
      <w:pPr>
        <w:spacing w:before="80" w:after="120" w:line="300" w:lineRule="auto"/>
      </w:pPr>
      <w:r>
        <w:t xml:space="preserve">In addition to molecular composition, we will quantify synapse size, PSD perforation status, spine apparatus elaboration, ER volume, mitochondrial presence, vesicle pool organization, active zone area, and astrocytic coverage. AI-driven dimensionality reduction (UMAP/autoencoders) will be used to identify the empirical groupings of synapses across these many features, without committing in advance to any </w:t>
      </w:r>
      <w:proofErr w:type="gramStart"/>
      <w:r>
        <w:t>particular partitioning</w:t>
      </w:r>
      <w:proofErr w:type="gramEnd"/>
      <w:r>
        <w:t xml:space="preserve"> of the data.</w:t>
      </w:r>
    </w:p>
    <w:p w14:paraId="7F5B48A8" w14:textId="0749A207" w:rsidR="00B22C2E" w:rsidRDefault="00000000">
      <w:pPr>
        <w:pStyle w:val="Heading1"/>
      </w:pPr>
      <w:r>
        <w:t>Ultrastructure and electrical homeostasis (a bonus dividend of LICONN)</w:t>
      </w:r>
    </w:p>
    <w:p w14:paraId="7F5B48A9" w14:textId="2E669713" w:rsidR="00B22C2E" w:rsidRDefault="00000000">
      <w:pPr>
        <w:spacing w:before="80" w:after="120" w:line="300" w:lineRule="auto"/>
      </w:pPr>
      <w:r>
        <w:t>Because LICONN already captures structural detail at near-EM resolution, ultrastructural analysis costs us nothing beyond computation. We will extract it on the same volumes used for connectivity and molecular readout. If the two-layer-PSD hypothesis is borne out, the four predicted synaptic classes should map onto specific ultrastructural and electrical signatures, summarized in the table below; the table is presented as a hypothesis to be tested against the data, not as the framing for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380"/>
        <w:gridCol w:w="2380"/>
      </w:tblGrid>
      <w:tr w:rsidR="00B22C2E" w14:paraId="7F5B48AE" w14:textId="77777777">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20" w:type="dxa"/>
              <w:bottom w:w="80" w:type="dxa"/>
              <w:right w:w="120" w:type="dxa"/>
            </w:tcMar>
          </w:tcPr>
          <w:p w14:paraId="7F5B48AA" w14:textId="77777777" w:rsidR="00B22C2E" w:rsidRDefault="00000000">
            <w:pPr>
              <w:spacing w:line="260" w:lineRule="auto"/>
            </w:pPr>
            <w:r>
              <w:rPr>
                <w:b/>
                <w:bCs/>
                <w:sz w:val="20"/>
                <w:szCs w:val="20"/>
              </w:rPr>
              <w:t>Predicted state</w:t>
            </w:r>
          </w:p>
        </w:tc>
        <w:tc>
          <w:tcPr>
            <w:tcW w:w="240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20" w:type="dxa"/>
              <w:bottom w:w="80" w:type="dxa"/>
              <w:right w:w="120" w:type="dxa"/>
            </w:tcMar>
          </w:tcPr>
          <w:p w14:paraId="7F5B48AB" w14:textId="77777777" w:rsidR="00B22C2E" w:rsidRDefault="00000000">
            <w:pPr>
              <w:spacing w:line="260" w:lineRule="auto"/>
            </w:pPr>
            <w:r>
              <w:rPr>
                <w:b/>
                <w:bCs/>
                <w:sz w:val="20"/>
                <w:szCs w:val="20"/>
              </w:rPr>
              <w:t>Molecular</w:t>
            </w:r>
          </w:p>
        </w:tc>
        <w:tc>
          <w:tcPr>
            <w:tcW w:w="238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20" w:type="dxa"/>
              <w:bottom w:w="80" w:type="dxa"/>
              <w:right w:w="120" w:type="dxa"/>
            </w:tcMar>
          </w:tcPr>
          <w:p w14:paraId="7F5B48AC" w14:textId="77777777" w:rsidR="00B22C2E" w:rsidRDefault="00000000">
            <w:pPr>
              <w:spacing w:line="260" w:lineRule="auto"/>
            </w:pPr>
            <w:r>
              <w:rPr>
                <w:b/>
                <w:bCs/>
                <w:sz w:val="20"/>
                <w:szCs w:val="20"/>
              </w:rPr>
              <w:t>Ultrastructure</w:t>
            </w:r>
          </w:p>
        </w:tc>
        <w:tc>
          <w:tcPr>
            <w:tcW w:w="2380" w:type="dxa"/>
            <w:tcBorders>
              <w:top w:val="single" w:sz="4" w:space="0" w:color="B0B0B0"/>
              <w:left w:val="single" w:sz="4" w:space="0" w:color="B0B0B0"/>
              <w:bottom w:val="single" w:sz="4" w:space="0" w:color="B0B0B0"/>
              <w:right w:val="single" w:sz="4" w:space="0" w:color="B0B0B0"/>
            </w:tcBorders>
            <w:shd w:val="clear" w:color="auto" w:fill="EAEAEA"/>
            <w:tcMar>
              <w:top w:w="80" w:type="dxa"/>
              <w:left w:w="120" w:type="dxa"/>
              <w:bottom w:w="80" w:type="dxa"/>
              <w:right w:w="120" w:type="dxa"/>
            </w:tcMar>
          </w:tcPr>
          <w:p w14:paraId="7F5B48AD" w14:textId="77777777" w:rsidR="00B22C2E" w:rsidRDefault="00000000">
            <w:pPr>
              <w:spacing w:line="260" w:lineRule="auto"/>
            </w:pPr>
            <w:r>
              <w:rPr>
                <w:b/>
                <w:bCs/>
                <w:sz w:val="20"/>
                <w:szCs w:val="20"/>
              </w:rPr>
              <w:t>Electrical (predicted from geometry)</w:t>
            </w:r>
          </w:p>
        </w:tc>
      </w:tr>
      <w:tr w:rsidR="00B22C2E" w14:paraId="7F5B48B3" w14:textId="77777777">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AF" w14:textId="77777777" w:rsidR="00B22C2E" w:rsidRDefault="00000000">
            <w:pPr>
              <w:spacing w:line="260" w:lineRule="auto"/>
            </w:pPr>
            <w:r>
              <w:rPr>
                <w:sz w:val="20"/>
                <w:szCs w:val="20"/>
              </w:rPr>
              <w:t>Strong + Stable</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0" w14:textId="77777777" w:rsidR="00B22C2E" w:rsidRDefault="00000000">
            <w:pPr>
              <w:spacing w:line="260" w:lineRule="auto"/>
            </w:pPr>
            <w:r>
              <w:rPr>
                <w:sz w:val="20"/>
                <w:szCs w:val="20"/>
              </w:rPr>
              <w:t>High γ-8, high Shank3</w:t>
            </w:r>
          </w:p>
        </w:tc>
        <w:tc>
          <w:tcPr>
            <w:tcW w:w="23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1" w14:textId="77777777" w:rsidR="00B22C2E" w:rsidRDefault="00000000">
            <w:pPr>
              <w:spacing w:line="260" w:lineRule="auto"/>
            </w:pPr>
            <w:r>
              <w:rPr>
                <w:sz w:val="20"/>
                <w:szCs w:val="20"/>
              </w:rPr>
              <w:t>Mushroom spine, large head, spine apparatus, perforated PSD, dense neck mesh</w:t>
            </w:r>
          </w:p>
        </w:tc>
        <w:tc>
          <w:tcPr>
            <w:tcW w:w="23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2" w14:textId="77777777" w:rsidR="00B22C2E" w:rsidRDefault="00000000">
            <w:pPr>
              <w:spacing w:line="260" w:lineRule="auto"/>
            </w:pPr>
            <w:r>
              <w:rPr>
                <w:sz w:val="20"/>
                <w:szCs w:val="20"/>
              </w:rPr>
              <w:t xml:space="preserve">High g, high </w:t>
            </w:r>
            <w:proofErr w:type="spellStart"/>
            <w:r>
              <w:rPr>
                <w:sz w:val="20"/>
                <w:szCs w:val="20"/>
              </w:rPr>
              <w:t>R_neck</w:t>
            </w:r>
            <w:proofErr w:type="spellEnd"/>
            <w:r>
              <w:rPr>
                <w:sz w:val="20"/>
                <w:szCs w:val="20"/>
              </w:rPr>
              <w:t xml:space="preserve"> (matched); conserved spine voltage</w:t>
            </w:r>
          </w:p>
        </w:tc>
      </w:tr>
      <w:tr w:rsidR="00B22C2E" w14:paraId="7F5B48B8" w14:textId="77777777">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4" w14:textId="77777777" w:rsidR="00B22C2E" w:rsidRDefault="00000000">
            <w:pPr>
              <w:spacing w:line="260" w:lineRule="auto"/>
            </w:pPr>
            <w:r>
              <w:rPr>
                <w:sz w:val="20"/>
                <w:szCs w:val="20"/>
              </w:rPr>
              <w:t>Strong + Unstable</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5" w14:textId="77777777" w:rsidR="00B22C2E" w:rsidRDefault="00000000">
            <w:pPr>
              <w:spacing w:line="260" w:lineRule="auto"/>
            </w:pPr>
            <w:r>
              <w:rPr>
                <w:sz w:val="20"/>
                <w:szCs w:val="20"/>
              </w:rPr>
              <w:t>High γ-8, low Shank3</w:t>
            </w:r>
          </w:p>
        </w:tc>
        <w:tc>
          <w:tcPr>
            <w:tcW w:w="23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6" w14:textId="77777777" w:rsidR="00B22C2E" w:rsidRDefault="00000000">
            <w:pPr>
              <w:spacing w:line="260" w:lineRule="auto"/>
            </w:pPr>
            <w:r>
              <w:rPr>
                <w:sz w:val="20"/>
                <w:szCs w:val="20"/>
              </w:rPr>
              <w:t>Large head, but absent/thin spine apparatus, sparse neck mesh</w:t>
            </w:r>
          </w:p>
        </w:tc>
        <w:tc>
          <w:tcPr>
            <w:tcW w:w="23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7" w14:textId="77777777" w:rsidR="00B22C2E" w:rsidRDefault="00000000">
            <w:pPr>
              <w:spacing w:line="260" w:lineRule="auto"/>
            </w:pPr>
            <w:r>
              <w:rPr>
                <w:sz w:val="20"/>
                <w:szCs w:val="20"/>
              </w:rPr>
              <w:t xml:space="preserve">High g but </w:t>
            </w:r>
            <w:proofErr w:type="spellStart"/>
            <w:r>
              <w:rPr>
                <w:sz w:val="20"/>
                <w:szCs w:val="20"/>
              </w:rPr>
              <w:t>R_neck</w:t>
            </w:r>
            <w:proofErr w:type="spellEnd"/>
            <w:r>
              <w:rPr>
                <w:sz w:val="20"/>
                <w:szCs w:val="20"/>
              </w:rPr>
              <w:t xml:space="preserve"> not yet tuned; transient supra-physiological spine voltage</w:t>
            </w:r>
          </w:p>
        </w:tc>
      </w:tr>
      <w:tr w:rsidR="00B22C2E" w14:paraId="7F5B48BD" w14:textId="77777777">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9" w14:textId="77777777" w:rsidR="00B22C2E" w:rsidRDefault="00000000">
            <w:pPr>
              <w:spacing w:line="260" w:lineRule="auto"/>
            </w:pPr>
            <w:r>
              <w:rPr>
                <w:sz w:val="20"/>
                <w:szCs w:val="20"/>
              </w:rPr>
              <w:t>Weak + Maintained</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A" w14:textId="77777777" w:rsidR="00B22C2E" w:rsidRDefault="00000000">
            <w:pPr>
              <w:spacing w:line="260" w:lineRule="auto"/>
            </w:pPr>
            <w:r>
              <w:rPr>
                <w:sz w:val="20"/>
                <w:szCs w:val="20"/>
              </w:rPr>
              <w:t>Low γ-8, high Shank3</w:t>
            </w:r>
          </w:p>
        </w:tc>
        <w:tc>
          <w:tcPr>
            <w:tcW w:w="23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B" w14:textId="77777777" w:rsidR="00B22C2E" w:rsidRDefault="00000000">
            <w:pPr>
              <w:spacing w:line="260" w:lineRule="auto"/>
            </w:pPr>
            <w:r>
              <w:rPr>
                <w:sz w:val="20"/>
                <w:szCs w:val="20"/>
              </w:rPr>
              <w:t>Smaller head; spine apparatus persists; neck mesh persists</w:t>
            </w:r>
          </w:p>
        </w:tc>
        <w:tc>
          <w:tcPr>
            <w:tcW w:w="23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C" w14:textId="77777777" w:rsidR="00B22C2E" w:rsidRDefault="00000000">
            <w:pPr>
              <w:spacing w:line="260" w:lineRule="auto"/>
            </w:pPr>
            <w:r>
              <w:rPr>
                <w:sz w:val="20"/>
                <w:szCs w:val="20"/>
              </w:rPr>
              <w:t xml:space="preserve">Low g, but </w:t>
            </w:r>
            <w:proofErr w:type="spellStart"/>
            <w:r>
              <w:rPr>
                <w:sz w:val="20"/>
                <w:szCs w:val="20"/>
              </w:rPr>
              <w:t>R_neck</w:t>
            </w:r>
            <w:proofErr w:type="spellEnd"/>
            <w:r>
              <w:rPr>
                <w:sz w:val="20"/>
                <w:szCs w:val="20"/>
              </w:rPr>
              <w:t xml:space="preserve"> preserved; readily re-</w:t>
            </w:r>
            <w:proofErr w:type="spellStart"/>
            <w:r>
              <w:rPr>
                <w:sz w:val="20"/>
                <w:szCs w:val="20"/>
              </w:rPr>
              <w:t>potentiable</w:t>
            </w:r>
            <w:proofErr w:type="spellEnd"/>
          </w:p>
        </w:tc>
      </w:tr>
      <w:tr w:rsidR="00B22C2E" w14:paraId="7F5B48C2" w14:textId="77777777">
        <w:tc>
          <w:tcPr>
            <w:tcW w:w="2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E" w14:textId="77777777" w:rsidR="00B22C2E" w:rsidRDefault="00000000">
            <w:pPr>
              <w:spacing w:line="260" w:lineRule="auto"/>
            </w:pPr>
            <w:r>
              <w:rPr>
                <w:sz w:val="20"/>
                <w:szCs w:val="20"/>
              </w:rPr>
              <w:t>Weak + Unstable (baseline)</w:t>
            </w:r>
          </w:p>
        </w:tc>
        <w:tc>
          <w:tcPr>
            <w:tcW w:w="24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BF" w14:textId="77777777" w:rsidR="00B22C2E" w:rsidRDefault="00000000">
            <w:pPr>
              <w:spacing w:line="260" w:lineRule="auto"/>
            </w:pPr>
            <w:r>
              <w:rPr>
                <w:sz w:val="20"/>
                <w:szCs w:val="20"/>
              </w:rPr>
              <w:t>Low γ-8, low Shank3</w:t>
            </w:r>
          </w:p>
        </w:tc>
        <w:tc>
          <w:tcPr>
            <w:tcW w:w="23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C0" w14:textId="77777777" w:rsidR="00B22C2E" w:rsidRDefault="00000000">
            <w:pPr>
              <w:spacing w:line="260" w:lineRule="auto"/>
            </w:pPr>
            <w:r>
              <w:rPr>
                <w:sz w:val="20"/>
                <w:szCs w:val="20"/>
              </w:rPr>
              <w:t>Thin/stubby spine; no spine apparatus; sparse neck</w:t>
            </w:r>
          </w:p>
        </w:tc>
        <w:tc>
          <w:tcPr>
            <w:tcW w:w="238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5B48C1" w14:textId="77777777" w:rsidR="00B22C2E" w:rsidRDefault="00000000">
            <w:pPr>
              <w:spacing w:line="260" w:lineRule="auto"/>
            </w:pPr>
            <w:r>
              <w:rPr>
                <w:sz w:val="20"/>
                <w:szCs w:val="20"/>
              </w:rPr>
              <w:t xml:space="preserve">Low g, low </w:t>
            </w:r>
            <w:proofErr w:type="spellStart"/>
            <w:r>
              <w:rPr>
                <w:sz w:val="20"/>
                <w:szCs w:val="20"/>
              </w:rPr>
              <w:t>R_neck</w:t>
            </w:r>
            <w:proofErr w:type="spellEnd"/>
            <w:r>
              <w:rPr>
                <w:sz w:val="20"/>
                <w:szCs w:val="20"/>
              </w:rPr>
              <w:t>; modest spine voltage</w:t>
            </w:r>
          </w:p>
        </w:tc>
      </w:tr>
    </w:tbl>
    <w:p w14:paraId="7F5B4D01" w14:textId="77777777" w:rsidR="00B22C2E" w:rsidRDefault="00000000">
      <w:pPr>
        <w:spacing w:before="80" w:after="120" w:line="300" w:lineRule="auto"/>
      </w:pPr>
      <w:r>
        <w:t xml:space="preserve">The data will also allow us to test additional hypotheses already in the literature, including the proposal that the spine apparatus is the structural prerequisite for consolidation (Homer–IP3R coupling to local </w:t>
      </w:r>
      <w:r>
        <w:lastRenderedPageBreak/>
        <w:t>ER), and Magee and Spruston’s 2012 hypothesis (Harnett et al. 2012) that spine necks have gigaohm resistance and that the lower-layer scaffold machinery may co-tune neck resistance with synaptic conductance to maintain spine-voltage homeostasis. Each of these predictions has a measurable signature in the dataset, but none is the framing hypothesis: the dataset itself, with its functional, anatomical, ultrastructural, and molecular characterization of synapses across stable and unstable BTSP-induced classes, is the program’s primary scientific output.</w:t>
      </w:r>
    </w:p>
    <w:p w14:paraId="7F5B48C4" w14:textId="77777777" w:rsidR="00B22C2E" w:rsidRDefault="00000000">
      <w:pPr>
        <w:pStyle w:val="Heading1"/>
      </w:pPr>
      <w:r>
        <w:t>Other opportunities</w:t>
      </w:r>
    </w:p>
    <w:p w14:paraId="7F5B48C5" w14:textId="77777777" w:rsidR="00B22C2E" w:rsidRDefault="00000000">
      <w:pPr>
        <w:spacing w:before="80" w:after="120" w:line="300" w:lineRule="auto"/>
      </w:pPr>
      <w:r>
        <w:t>Although the program will initially focus on the experiments above, several extensions are natural follow-ons and are worth flagging in advance:</w:t>
      </w:r>
    </w:p>
    <w:p w14:paraId="7F5B48C6" w14:textId="77777777" w:rsidR="00B22C2E" w:rsidRDefault="00000000">
      <w:pPr>
        <w:pStyle w:val="ListParagraph"/>
        <w:numPr>
          <w:ilvl w:val="0"/>
          <w:numId w:val="3"/>
        </w:numPr>
        <w:spacing w:before="40" w:after="40" w:line="280" w:lineRule="auto"/>
      </w:pPr>
      <w:r>
        <w:rPr>
          <w:b/>
          <w:bCs/>
        </w:rPr>
        <w:t>STAMP</w:t>
      </w:r>
      <w:r>
        <w:t xml:space="preserve"> (Lavis lab) — covalent labeling of synaptic proteins without genetic modification, useful for proteins where knock-ins are impractical or for live drug delivery to identified synapses.</w:t>
      </w:r>
    </w:p>
    <w:p w14:paraId="7F5B48C7" w14:textId="77777777" w:rsidR="00B22C2E" w:rsidRDefault="00000000">
      <w:pPr>
        <w:pStyle w:val="ListParagraph"/>
        <w:numPr>
          <w:ilvl w:val="0"/>
          <w:numId w:val="3"/>
        </w:numPr>
        <w:spacing w:before="40" w:after="40" w:line="280" w:lineRule="auto"/>
      </w:pPr>
      <w:r>
        <w:rPr>
          <w:b/>
          <w:bCs/>
        </w:rPr>
        <w:t>IBEAM-MSEM</w:t>
      </w:r>
      <w:r>
        <w:t xml:space="preserve"> (Hess lab) — large-volume, high-resolution EM as ground truth for the LICONN-derived ultrastructural features and for cases where LICONN resolution is limiting.</w:t>
      </w:r>
    </w:p>
    <w:p w14:paraId="7F5B48C8" w14:textId="77777777" w:rsidR="00B22C2E" w:rsidRDefault="00000000">
      <w:pPr>
        <w:pStyle w:val="ListParagraph"/>
        <w:numPr>
          <w:ilvl w:val="0"/>
          <w:numId w:val="3"/>
        </w:numPr>
        <w:spacing w:before="40" w:after="40" w:line="280" w:lineRule="auto"/>
      </w:pPr>
      <w:r>
        <w:rPr>
          <w:b/>
          <w:bCs/>
        </w:rPr>
        <w:t>E11 Bio light-microscopy connectomics</w:t>
      </w:r>
      <w:r>
        <w:t xml:space="preserve"> — a path to scaling synapse-resolution analysis to substantially larger cortical/hippocampal volumes than the present scope.</w:t>
      </w:r>
    </w:p>
    <w:p w14:paraId="7F5B48C9" w14:textId="77777777" w:rsidR="00B22C2E" w:rsidRDefault="00000000">
      <w:pPr>
        <w:pStyle w:val="ListParagraph"/>
        <w:numPr>
          <w:ilvl w:val="0"/>
          <w:numId w:val="3"/>
        </w:numPr>
        <w:spacing w:before="40" w:after="40" w:line="280" w:lineRule="auto"/>
      </w:pPr>
      <w:r>
        <w:rPr>
          <w:b/>
          <w:bCs/>
        </w:rPr>
        <w:t>All-optical induction of BTSP</w:t>
      </w:r>
      <w:r>
        <w:t xml:space="preserve"> — direct optogenetic control of plateau potentials in vivo, allowing causal tests rather than only correlational analysis of natural events.</w:t>
      </w:r>
    </w:p>
    <w:p w14:paraId="7F5B48CA" w14:textId="77777777" w:rsidR="00B22C2E" w:rsidRDefault="00000000">
      <w:pPr>
        <w:pStyle w:val="ListParagraph"/>
        <w:numPr>
          <w:ilvl w:val="0"/>
          <w:numId w:val="3"/>
        </w:numPr>
        <w:spacing w:before="40" w:after="40" w:line="280" w:lineRule="auto"/>
      </w:pPr>
      <w:r>
        <w:rPr>
          <w:b/>
          <w:bCs/>
        </w:rPr>
        <w:t>Mass-spectrometry-based proteomics</w:t>
      </w:r>
      <w:r>
        <w:t xml:space="preserve"> — comprehensive, unbiased characterization of the protein composition of identified hippocampal synapses; pairs naturally with the targeted high-resolution work proposed here.</w:t>
      </w:r>
    </w:p>
    <w:p w14:paraId="7F5B48CB" w14:textId="77777777" w:rsidR="00B22C2E" w:rsidRDefault="00000000">
      <w:pPr>
        <w:pStyle w:val="ListParagraph"/>
        <w:numPr>
          <w:ilvl w:val="0"/>
          <w:numId w:val="3"/>
        </w:numPr>
        <w:spacing w:before="40" w:after="40" w:line="280" w:lineRule="auto"/>
      </w:pPr>
      <w:r>
        <w:rPr>
          <w:b/>
          <w:bCs/>
        </w:rPr>
        <w:t>Neuromodulation</w:t>
      </w:r>
      <w:r>
        <w:t xml:space="preserve"> — once plasticity rules are inferred from the dataset, dopamine, </w:t>
      </w:r>
      <w:proofErr w:type="spellStart"/>
      <w:proofErr w:type="gramStart"/>
      <w:r>
        <w:t>ACh</w:t>
      </w:r>
      <w:proofErr w:type="spellEnd"/>
      <w:proofErr w:type="gramEnd"/>
      <w:r>
        <w:t>, and serotonin modulator-release sensors (used widely in the Dudman lab) provide the natural next axis for investigating how the rules themselves are tuned by behavioral state.</w:t>
      </w:r>
    </w:p>
    <w:p w14:paraId="7F5B4B10" w14:textId="77777777" w:rsidR="00B22C2E" w:rsidRDefault="00000000">
      <w:pPr>
        <w:pStyle w:val="Heading1"/>
      </w:pPr>
      <w:r>
        <w:t>Closing</w:t>
      </w:r>
    </w:p>
    <w:p w14:paraId="7F5B4B11" w14:textId="4BE52624" w:rsidR="00B22C2E" w:rsidRDefault="00000000">
      <w:pPr>
        <w:spacing w:before="80" w:after="120" w:line="300" w:lineRule="auto"/>
      </w:pPr>
      <w:r>
        <w:t>The combination of tools, people, and timing described in this proposal is unusual and may not recur. The Janelia tooling stack is mature and continues to develop; the AI methods needed to control the experiments and reason across the data have crossed the threshold of usefulness; the team is in place and committed. Moving now puts Janelia at the center of a research program whose results — and whose tooling and AI infrastructure — will be exported broadly across the field. Waiting longer risks losing that lead.</w:t>
      </w:r>
    </w:p>
    <w:p w14:paraId="7F5B48CF" w14:textId="77777777" w:rsidR="00B22C2E" w:rsidRDefault="00000000" w:rsidP="009B43A4">
      <w:pPr>
        <w:pStyle w:val="Heading1"/>
      </w:pPr>
      <w:r>
        <w:lastRenderedPageBreak/>
        <w:t>Selected references</w:t>
      </w:r>
    </w:p>
    <w:p w14:paraId="7F5B48D0" w14:textId="5B23E42F" w:rsidR="00B22C2E" w:rsidRDefault="00000000" w:rsidP="009B43A4">
      <w:pPr>
        <w:keepNext/>
        <w:spacing w:before="80" w:after="120"/>
      </w:pPr>
      <w:proofErr w:type="spellStart"/>
      <w:r>
        <w:t>AbdelRahman</w:t>
      </w:r>
      <w:proofErr w:type="spellEnd"/>
      <w:r>
        <w:t xml:space="preserve"> NY, Jiang W, Coddington LT, Gong S, Dudman JT, Hermundstad AM. Composing trajectories for rapid inference of navigational goals. 2026. </w:t>
      </w:r>
      <w:hyperlink r:id="rId7" w:history="1">
        <w:r w:rsidR="00B22C2E">
          <w:rPr>
            <w:rStyle w:val="Hyperlink"/>
          </w:rPr>
          <w:t>(link)</w:t>
        </w:r>
      </w:hyperlink>
    </w:p>
    <w:p w14:paraId="054BA330" w14:textId="795D5A67" w:rsidR="00B22C2E" w:rsidRDefault="00000000">
      <w:pPr>
        <w:spacing w:before="80" w:after="120" w:line="300" w:lineRule="auto"/>
      </w:pPr>
      <w:r>
        <w:t xml:space="preserve">Aggarwal A et al. Glutamate indicators with improved activation kinetics and localization for imaging synaptic transmission. 2023. </w:t>
      </w:r>
      <w:hyperlink r:id="rId8" w:history="1">
        <w:r w:rsidR="00B22C2E">
          <w:rPr>
            <w:rStyle w:val="Hyperlink"/>
          </w:rPr>
          <w:t>PMID: 37142767</w:t>
        </w:r>
      </w:hyperlink>
    </w:p>
    <w:p w14:paraId="41C0267A" w14:textId="77777777" w:rsidR="00B22C2E" w:rsidRDefault="00000000">
      <w:pPr>
        <w:spacing w:before="80" w:after="120" w:line="300" w:lineRule="auto"/>
      </w:pPr>
      <w:r>
        <w:t xml:space="preserve">Aggarwal A et al. Glutamate indicators with increased sensitivity and tailored deactivation rates. 2025. </w:t>
      </w:r>
      <w:hyperlink r:id="rId9" w:history="1">
        <w:r w:rsidR="00B22C2E">
          <w:rPr>
            <w:rStyle w:val="Hyperlink"/>
          </w:rPr>
          <w:t>PMID: 41436654</w:t>
        </w:r>
      </w:hyperlink>
    </w:p>
    <w:p w14:paraId="7F5B48D1" w14:textId="77777777" w:rsidR="00B22C2E" w:rsidRDefault="00000000">
      <w:pPr>
        <w:spacing w:before="80" w:after="120" w:line="300" w:lineRule="auto"/>
      </w:pPr>
      <w:proofErr w:type="spellStart"/>
      <w:r>
        <w:t>Bayés</w:t>
      </w:r>
      <w:proofErr w:type="spellEnd"/>
      <w:r>
        <w:t xml:space="preserve"> À, Collins MO, Reig-</w:t>
      </w:r>
      <w:proofErr w:type="spellStart"/>
      <w:r>
        <w:t>Viader</w:t>
      </w:r>
      <w:proofErr w:type="spellEnd"/>
      <w:r>
        <w:t xml:space="preserve"> R, Gou G, Goulding D, Izquierdo A, Choudhary JS, Emes RD, Grant SGN. Evolution of complexity in the zebrafish synapse proteome. 2017. </w:t>
      </w:r>
      <w:hyperlink r:id="rId10" w:history="1">
        <w:r w:rsidR="00B22C2E">
          <w:rPr>
            <w:rStyle w:val="Hyperlink"/>
          </w:rPr>
          <w:t>PMID: 28252024</w:t>
        </w:r>
      </w:hyperlink>
    </w:p>
    <w:p w14:paraId="0390FF73" w14:textId="77777777" w:rsidR="00B22C2E" w:rsidRDefault="00000000">
      <w:pPr>
        <w:spacing w:before="80" w:after="120" w:line="300" w:lineRule="auto"/>
      </w:pPr>
      <w:proofErr w:type="spellStart"/>
      <w:r>
        <w:t>Bezaire</w:t>
      </w:r>
      <w:proofErr w:type="spellEnd"/>
      <w:r>
        <w:t xml:space="preserve"> MJ, Soltesz I. Quantitative assessment of CA1 local circuits: knowledge base for interneuron-pyramidal cell connectivity. 2013. </w:t>
      </w:r>
      <w:hyperlink r:id="rId11" w:history="1">
        <w:r w:rsidR="00B22C2E">
          <w:rPr>
            <w:rStyle w:val="Hyperlink"/>
          </w:rPr>
          <w:t>PMID: 23674373</w:t>
        </w:r>
      </w:hyperlink>
    </w:p>
    <w:p w14:paraId="7F5B4950" w14:textId="77777777" w:rsidR="00B22C2E" w:rsidRDefault="00000000">
      <w:pPr>
        <w:spacing w:before="80" w:after="120" w:line="300" w:lineRule="auto"/>
      </w:pPr>
      <w:r>
        <w:t xml:space="preserve">Bloss EB, Cembrowski MS, Karsh B, </w:t>
      </w:r>
      <w:proofErr w:type="spellStart"/>
      <w:r>
        <w:t>Colonell</w:t>
      </w:r>
      <w:proofErr w:type="spellEnd"/>
      <w:r>
        <w:t xml:space="preserve"> J, Fetter RD, Spruston N. Structured dendritic inhibition supports branch-selective integration in CA1 pyramidal cells. 2016. </w:t>
      </w:r>
      <w:hyperlink r:id="rId12" w:history="1">
        <w:r w:rsidR="00B22C2E">
          <w:rPr>
            <w:rStyle w:val="Hyperlink"/>
          </w:rPr>
          <w:t>PMID: 26898780</w:t>
        </w:r>
      </w:hyperlink>
    </w:p>
    <w:p w14:paraId="7F5B4951" w14:textId="77777777" w:rsidR="00B22C2E" w:rsidRDefault="00000000">
      <w:pPr>
        <w:spacing w:before="80" w:after="120" w:line="300" w:lineRule="auto"/>
      </w:pPr>
      <w:r>
        <w:t xml:space="preserve">Bloss EB, Cembrowski MS, Karsh B, </w:t>
      </w:r>
      <w:proofErr w:type="spellStart"/>
      <w:r>
        <w:t>Colonell</w:t>
      </w:r>
      <w:proofErr w:type="spellEnd"/>
      <w:r>
        <w:t xml:space="preserve"> J, Fetter RD, Spruston N. Single excitatory axons form clustered synapses onto CA1 pyramidal cell dendrites. 2018. </w:t>
      </w:r>
      <w:hyperlink r:id="rId13" w:history="1">
        <w:r w:rsidR="00B22C2E">
          <w:rPr>
            <w:rStyle w:val="Hyperlink"/>
          </w:rPr>
          <w:t>PMID: 29459763</w:t>
        </w:r>
      </w:hyperlink>
    </w:p>
    <w:p w14:paraId="6CA48C2E" w14:textId="77777777" w:rsidR="00B22C2E" w:rsidRDefault="00000000">
      <w:pPr>
        <w:spacing w:before="80" w:after="120" w:line="300" w:lineRule="auto"/>
      </w:pPr>
      <w:r>
        <w:t xml:space="preserve">Bolshakov VY, Siegelbaum SA. Regulation of hippocampal transmitter release during development and long-term potentiation. 1995. </w:t>
      </w:r>
      <w:hyperlink r:id="rId14" w:history="1">
        <w:r w:rsidR="00B22C2E">
          <w:rPr>
            <w:rStyle w:val="Hyperlink"/>
          </w:rPr>
          <w:t>PMID: 7569903</w:t>
        </w:r>
      </w:hyperlink>
    </w:p>
    <w:p w14:paraId="7F5B48D2" w14:textId="77777777" w:rsidR="00B22C2E" w:rsidRDefault="00000000">
      <w:pPr>
        <w:spacing w:before="80" w:after="120" w:line="300" w:lineRule="auto"/>
      </w:pPr>
      <w:r>
        <w:t xml:space="preserve">Deguchi Y, Donato F, Galimberti I, </w:t>
      </w:r>
      <w:proofErr w:type="spellStart"/>
      <w:r>
        <w:t>Cabuy</w:t>
      </w:r>
      <w:proofErr w:type="spellEnd"/>
      <w:r>
        <w:t xml:space="preserve"> E, Caroni P. Temporally matched subpopulations of selectively interconnected principal neurons in the hippocampus. 2011. </w:t>
      </w:r>
      <w:hyperlink r:id="rId15" w:history="1">
        <w:r w:rsidR="00B22C2E">
          <w:rPr>
            <w:rStyle w:val="Hyperlink"/>
          </w:rPr>
          <w:t>PMID: 21358645</w:t>
        </w:r>
      </w:hyperlink>
    </w:p>
    <w:p w14:paraId="7FA2C3C2" w14:textId="77777777" w:rsidR="00B22C2E" w:rsidRDefault="00000000">
      <w:pPr>
        <w:spacing w:before="80" w:after="120" w:line="300" w:lineRule="auto"/>
      </w:pPr>
      <w:proofErr w:type="spellStart"/>
      <w:r>
        <w:t>Grijseels</w:t>
      </w:r>
      <w:proofErr w:type="spellEnd"/>
      <w:r>
        <w:t xml:space="preserve"> DM, Shaw K, Barry C, Hall CN. Choice of method of place cell classification determines the population of cells identified. 2021. </w:t>
      </w:r>
      <w:hyperlink r:id="rId16" w:history="1">
        <w:r w:rsidR="00B22C2E">
          <w:rPr>
            <w:rStyle w:val="Hyperlink"/>
          </w:rPr>
          <w:t>PMID: 34237050</w:t>
        </w:r>
      </w:hyperlink>
    </w:p>
    <w:p w14:paraId="7F5B4B30" w14:textId="426A86B7" w:rsidR="00B22C2E" w:rsidRDefault="00000000">
      <w:pPr>
        <w:spacing w:before="80" w:after="120" w:line="300" w:lineRule="auto"/>
      </w:pPr>
      <w:r>
        <w:t xml:space="preserve">Grima LL, Guo Y, Narayan L, Hermundstad AM, Dudman JT. A global dopaminergic learning rate enables adaptive foraging across many options. 2024. </w:t>
      </w:r>
      <w:hyperlink r:id="rId17" w:history="1">
        <w:r w:rsidR="00B22C2E">
          <w:rPr>
            <w:rStyle w:val="Hyperlink"/>
          </w:rPr>
          <w:t>(link)</w:t>
        </w:r>
      </w:hyperlink>
    </w:p>
    <w:p w14:paraId="223CDDD8" w14:textId="77777777" w:rsidR="00B22C2E" w:rsidRDefault="00000000">
      <w:pPr>
        <w:spacing w:before="80" w:after="120" w:line="300" w:lineRule="auto"/>
      </w:pPr>
      <w:proofErr w:type="spellStart"/>
      <w:r>
        <w:t>Hainmueller</w:t>
      </w:r>
      <w:proofErr w:type="spellEnd"/>
      <w:r>
        <w:t xml:space="preserve"> T, Bartos M. Parallel emergence of stable and dynamic memory engrams in the hippocampus. 2018. </w:t>
      </w:r>
      <w:hyperlink r:id="rId18" w:history="1">
        <w:r w:rsidR="00B22C2E">
          <w:rPr>
            <w:rStyle w:val="Hyperlink"/>
          </w:rPr>
          <w:t>PMID: 29875406</w:t>
        </w:r>
      </w:hyperlink>
    </w:p>
    <w:p w14:paraId="7F5B48D3" w14:textId="77777777" w:rsidR="00B22C2E" w:rsidRDefault="00000000">
      <w:pPr>
        <w:spacing w:before="80" w:after="120" w:line="300" w:lineRule="auto"/>
      </w:pPr>
      <w:r>
        <w:t xml:space="preserve">Harnett MT, Makara JK, Spruston N, Kath WL, Magee JC. Synaptic amplification by dendritic spines enhances input cooperativity. 2012. </w:t>
      </w:r>
      <w:hyperlink r:id="rId19" w:history="1">
        <w:r w:rsidR="00B22C2E">
          <w:rPr>
            <w:rStyle w:val="Hyperlink"/>
          </w:rPr>
          <w:t>PMID: 23103868</w:t>
        </w:r>
      </w:hyperlink>
    </w:p>
    <w:p w14:paraId="7F5B48D5" w14:textId="7C6A77B4" w:rsidR="00B22C2E" w:rsidRDefault="00000000">
      <w:pPr>
        <w:spacing w:before="80" w:after="120" w:line="300" w:lineRule="auto"/>
      </w:pPr>
      <w:r>
        <w:t xml:space="preserve">Jacobsen RI et al. All-viral tracing of monosynaptic inputs to single birthdate-defined neurons in the intact brain. 2022. </w:t>
      </w:r>
      <w:hyperlink r:id="rId20" w:history="1">
        <w:r w:rsidR="00B22C2E">
          <w:rPr>
            <w:rStyle w:val="Hyperlink"/>
          </w:rPr>
          <w:t>PMID: 35637903</w:t>
        </w:r>
      </w:hyperlink>
    </w:p>
    <w:p w14:paraId="14175E65" w14:textId="77777777" w:rsidR="00B22C2E" w:rsidRDefault="00000000">
      <w:pPr>
        <w:spacing w:before="80" w:after="120" w:line="300" w:lineRule="auto"/>
      </w:pPr>
      <w:r>
        <w:t xml:space="preserve">Le </w:t>
      </w:r>
      <w:proofErr w:type="spellStart"/>
      <w:r>
        <w:t>Duigou</w:t>
      </w:r>
      <w:proofErr w:type="spellEnd"/>
      <w:r>
        <w:t xml:space="preserve"> C, Simonnet J, </w:t>
      </w:r>
      <w:proofErr w:type="spellStart"/>
      <w:r>
        <w:t>Teleńczuk</w:t>
      </w:r>
      <w:proofErr w:type="spellEnd"/>
      <w:r>
        <w:t xml:space="preserve"> MT, Fricker D, Miles R. Recurrent synapses and circuits in the CA3 region of the hippocampus: an associative network. 2014. </w:t>
      </w:r>
      <w:hyperlink r:id="rId21" w:history="1">
        <w:r w:rsidR="00B22C2E">
          <w:rPr>
            <w:rStyle w:val="Hyperlink"/>
          </w:rPr>
          <w:t>PMID: 24409118</w:t>
        </w:r>
      </w:hyperlink>
    </w:p>
    <w:p w14:paraId="7F5B48D6" w14:textId="77777777" w:rsidR="00B22C2E" w:rsidRDefault="00000000">
      <w:pPr>
        <w:spacing w:before="80" w:after="120" w:line="300" w:lineRule="auto"/>
      </w:pPr>
      <w:r>
        <w:t xml:space="preserve">Magee JC. Behavioral timescale synaptic plasticity: properties, elements and functions. 2026. </w:t>
      </w:r>
      <w:hyperlink r:id="rId22" w:history="1">
        <w:r w:rsidR="00B22C2E">
          <w:rPr>
            <w:rStyle w:val="Hyperlink"/>
          </w:rPr>
          <w:t>PMID: 41720996</w:t>
        </w:r>
      </w:hyperlink>
    </w:p>
    <w:p w14:paraId="7F5B48D7" w14:textId="77777777" w:rsidR="00B22C2E" w:rsidRDefault="00000000">
      <w:pPr>
        <w:spacing w:before="80" w:after="120" w:line="300" w:lineRule="auto"/>
      </w:pPr>
      <w:r>
        <w:lastRenderedPageBreak/>
        <w:t xml:space="preserve">Mohar B et al. DELTA: a method for brain-wide measurement of synaptic protein turnover reveals localized plasticity during learning. 2025. </w:t>
      </w:r>
      <w:hyperlink r:id="rId23" w:history="1">
        <w:r w:rsidR="00B22C2E">
          <w:rPr>
            <w:rStyle w:val="Hyperlink"/>
          </w:rPr>
          <w:t>PMID: 40164741</w:t>
        </w:r>
      </w:hyperlink>
    </w:p>
    <w:p w14:paraId="5F8D01A3" w14:textId="0A605940" w:rsidR="00B22C2E" w:rsidRDefault="00743F8C">
      <w:pPr>
        <w:spacing w:before="80" w:after="120" w:line="300" w:lineRule="auto"/>
      </w:pPr>
      <w:r>
        <w:t xml:space="preserve">Kwon O et al. Schaffer collateral inputs to CA1 excitatory and inhibitory neurons follow different connectivity rules. 2018. </w:t>
      </w:r>
      <w:hyperlink r:id="rId24" w:history="1">
        <w:r>
          <w:rPr>
            <w:rStyle w:val="Hyperlink"/>
          </w:rPr>
          <w:t>PMID: 29728449</w:t>
        </w:r>
      </w:hyperlink>
    </w:p>
    <w:p w14:paraId="3F84A5DA" w14:textId="77777777" w:rsidR="00B22C2E" w:rsidRDefault="00000000">
      <w:pPr>
        <w:spacing w:before="80" w:after="120" w:line="300" w:lineRule="auto"/>
      </w:pPr>
      <w:r>
        <w:t xml:space="preserve">Sayer RJ, Friedlander MJ, Redman SJ. The time course and amplitude of EPSPs evoked at synapses between pairs of CA3/CA1 neurons in the hippocampal slice. 1990. </w:t>
      </w:r>
      <w:hyperlink r:id="rId25" w:history="1">
        <w:r w:rsidR="00B22C2E">
          <w:rPr>
            <w:rStyle w:val="Hyperlink"/>
          </w:rPr>
          <w:t>PMID: 2319304</w:t>
        </w:r>
      </w:hyperlink>
    </w:p>
    <w:p w14:paraId="7F5B4B20" w14:textId="77777777" w:rsidR="00B22C2E" w:rsidRDefault="00000000">
      <w:pPr>
        <w:spacing w:before="80" w:after="120" w:line="300" w:lineRule="auto"/>
      </w:pPr>
      <w:r>
        <w:t xml:space="preserve">Sheng M, </w:t>
      </w:r>
      <w:proofErr w:type="spellStart"/>
      <w:r>
        <w:t>Hoogenraad</w:t>
      </w:r>
      <w:proofErr w:type="spellEnd"/>
      <w:r>
        <w:t xml:space="preserve"> CC. The postsynaptic architecture of excitatory synapses: a more quantitative view. 2007. </w:t>
      </w:r>
      <w:hyperlink r:id="rId26" w:history="1">
        <w:r w:rsidR="00B22C2E">
          <w:rPr>
            <w:rStyle w:val="Hyperlink"/>
          </w:rPr>
          <w:t>PMID: 17243894</w:t>
        </w:r>
      </w:hyperlink>
    </w:p>
    <w:p w14:paraId="7F5B4B21" w14:textId="77777777" w:rsidR="00B22C2E" w:rsidRDefault="00000000">
      <w:pPr>
        <w:spacing w:before="80" w:after="120" w:line="300" w:lineRule="auto"/>
      </w:pPr>
      <w:r>
        <w:t xml:space="preserve">Sheng M, Kim E. The postsynaptic organization of synapses. 2011. </w:t>
      </w:r>
      <w:hyperlink r:id="rId27" w:history="1">
        <w:r w:rsidR="00B22C2E">
          <w:rPr>
            <w:rStyle w:val="Hyperlink"/>
          </w:rPr>
          <w:t>PMID: 22046028</w:t>
        </w:r>
      </w:hyperlink>
    </w:p>
    <w:p w14:paraId="7F5B48D8" w14:textId="77777777" w:rsidR="00B22C2E" w:rsidRDefault="00000000">
      <w:pPr>
        <w:spacing w:before="80" w:after="120" w:line="300" w:lineRule="auto"/>
      </w:pPr>
      <w:r>
        <w:t xml:space="preserve">Sofroniew NJ, Flickinger D, King J, Svoboda K. A large field of view two-photon mesoscope with subcellular resolution for in vivo imaging. 2016. </w:t>
      </w:r>
      <w:hyperlink r:id="rId28" w:history="1">
        <w:r w:rsidR="00B22C2E">
          <w:rPr>
            <w:rStyle w:val="Hyperlink"/>
          </w:rPr>
          <w:t>PMID: 27300105</w:t>
        </w:r>
      </w:hyperlink>
    </w:p>
    <w:p w14:paraId="7F5B48D9" w14:textId="0901E14A" w:rsidR="00B22C2E" w:rsidRDefault="00000000">
      <w:pPr>
        <w:spacing w:before="80" w:after="120" w:line="300" w:lineRule="auto"/>
      </w:pPr>
      <w:r>
        <w:t xml:space="preserve">Stringer C, Ki C, </w:t>
      </w:r>
      <w:proofErr w:type="spellStart"/>
      <w:r>
        <w:t>DelGrosso</w:t>
      </w:r>
      <w:proofErr w:type="spellEnd"/>
      <w:r>
        <w:t xml:space="preserve"> N, </w:t>
      </w:r>
      <w:proofErr w:type="spellStart"/>
      <w:r>
        <w:t>LaFosse</w:t>
      </w:r>
      <w:proofErr w:type="spellEnd"/>
      <w:r>
        <w:t xml:space="preserve"> P, Zhang Q, Pachitariu M. Extracting large-scale neural activity with Suite2p. 2026. </w:t>
      </w:r>
      <w:hyperlink r:id="rId29" w:history="1">
        <w:r w:rsidR="00B22C2E">
          <w:rPr>
            <w:rStyle w:val="Hyperlink"/>
          </w:rPr>
          <w:t>(link)</w:t>
        </w:r>
      </w:hyperlink>
    </w:p>
    <w:p w14:paraId="7F5B48DA" w14:textId="77777777" w:rsidR="00B22C2E" w:rsidRDefault="00000000">
      <w:pPr>
        <w:spacing w:before="80" w:after="120" w:line="300" w:lineRule="auto"/>
      </w:pPr>
      <w:proofErr w:type="spellStart"/>
      <w:r>
        <w:t>Tatavarty</w:t>
      </w:r>
      <w:proofErr w:type="spellEnd"/>
      <w:r>
        <w:t xml:space="preserve"> V et al. Autism-associated Shank3 is essential for homeostatic compensation in rodent V1. 2020. </w:t>
      </w:r>
      <w:hyperlink r:id="rId30" w:history="1">
        <w:r w:rsidR="00B22C2E">
          <w:rPr>
            <w:rStyle w:val="Hyperlink"/>
          </w:rPr>
          <w:t>PMID: 32199104</w:t>
        </w:r>
      </w:hyperlink>
    </w:p>
    <w:p w14:paraId="7F5B48DB" w14:textId="4F1B088D" w:rsidR="00B22C2E" w:rsidRDefault="00000000">
      <w:pPr>
        <w:spacing w:before="80" w:after="120" w:line="300" w:lineRule="auto"/>
      </w:pPr>
      <w:r>
        <w:t xml:space="preserve">Vargas-Barroso V et al. Developmental emergence of sparse and structured synaptic connectivity in the hippocampal CA3 memory circuit. 2026. </w:t>
      </w:r>
      <w:hyperlink r:id="rId31" w:history="1">
        <w:r w:rsidR="00B22C2E">
          <w:rPr>
            <w:rStyle w:val="Hyperlink"/>
          </w:rPr>
          <w:t>(link)</w:t>
        </w:r>
      </w:hyperlink>
    </w:p>
    <w:p w14:paraId="7F5B48DC" w14:textId="282C85F0" w:rsidR="00B22C2E" w:rsidRDefault="00000000">
      <w:pPr>
        <w:spacing w:before="80" w:after="120" w:line="300" w:lineRule="auto"/>
      </w:pPr>
      <w:r>
        <w:t xml:space="preserve">Zhang Q et al. Spatial predictive coding in visual cortical neurons. 2025. </w:t>
      </w:r>
      <w:hyperlink r:id="rId32" w:history="1">
        <w:r w:rsidR="00B22C2E">
          <w:rPr>
            <w:rStyle w:val="Hyperlink"/>
          </w:rPr>
          <w:t>(link)</w:t>
        </w:r>
      </w:hyperlink>
    </w:p>
    <w:sectPr w:rsidR="00B22C2E">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E18F" w14:textId="77777777" w:rsidR="009C7B2A" w:rsidRDefault="009C7B2A">
      <w:r>
        <w:separator/>
      </w:r>
    </w:p>
  </w:endnote>
  <w:endnote w:type="continuationSeparator" w:id="0">
    <w:p w14:paraId="25119670" w14:textId="77777777" w:rsidR="009C7B2A" w:rsidRDefault="009C7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48DD" w14:textId="79E506D5" w:rsidR="00B22C2E" w:rsidRDefault="00000000">
    <w:pPr>
      <w:jc w:val="center"/>
    </w:pPr>
    <w:r>
      <w:rPr>
        <w:sz w:val="18"/>
        <w:szCs w:val="18"/>
      </w:rPr>
      <w:t xml:space="preserve">Janelia Synapse Project — </w:t>
    </w:r>
    <w:r w:rsidR="00E9632C">
      <w:rPr>
        <w:sz w:val="18"/>
        <w:szCs w:val="18"/>
      </w:rPr>
      <w:t xml:space="preserve">version </w:t>
    </w:r>
    <w:r>
      <w:rPr>
        <w:sz w:val="18"/>
        <w:szCs w:val="18"/>
      </w:rPr>
      <w:t xml:space="preserve">4   |   Page </w:t>
    </w:r>
    <w:r>
      <w:rPr>
        <w:sz w:val="18"/>
        <w:szCs w:val="18"/>
      </w:rPr>
      <w:fldChar w:fldCharType="begin"/>
    </w:r>
    <w:r>
      <w:rPr>
        <w:sz w:val="18"/>
        <w:szCs w:val="18"/>
      </w:rPr>
      <w:instrText>PAGE</w:instrText>
    </w:r>
    <w:r>
      <w:rPr>
        <w:sz w:val="18"/>
        <w:szCs w:val="18"/>
      </w:rPr>
      <w:fldChar w:fldCharType="separate"/>
    </w:r>
    <w:r w:rsidR="00654FB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CD8FD" w14:textId="77777777" w:rsidR="009C7B2A" w:rsidRDefault="009C7B2A">
      <w:r>
        <w:separator/>
      </w:r>
    </w:p>
  </w:footnote>
  <w:footnote w:type="continuationSeparator" w:id="0">
    <w:p w14:paraId="117160A9" w14:textId="77777777" w:rsidR="009C7B2A" w:rsidRDefault="009C7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63A"/>
    <w:multiLevelType w:val="hybridMultilevel"/>
    <w:tmpl w:val="AA54C272"/>
    <w:lvl w:ilvl="0" w:tplc="42AACA0C">
      <w:start w:val="1"/>
      <w:numFmt w:val="decimal"/>
      <w:lvlText w:val="%1."/>
      <w:lvlJc w:val="left"/>
      <w:pPr>
        <w:ind w:left="720" w:hanging="360"/>
      </w:pPr>
    </w:lvl>
    <w:lvl w:ilvl="1" w:tplc="BE321012">
      <w:numFmt w:val="decimal"/>
      <w:lvlText w:val=""/>
      <w:lvlJc w:val="left"/>
    </w:lvl>
    <w:lvl w:ilvl="2" w:tplc="EA88FA14">
      <w:numFmt w:val="decimal"/>
      <w:lvlText w:val=""/>
      <w:lvlJc w:val="left"/>
    </w:lvl>
    <w:lvl w:ilvl="3" w:tplc="8C6A2B98">
      <w:numFmt w:val="decimal"/>
      <w:lvlText w:val=""/>
      <w:lvlJc w:val="left"/>
    </w:lvl>
    <w:lvl w:ilvl="4" w:tplc="E35A869C">
      <w:numFmt w:val="decimal"/>
      <w:lvlText w:val=""/>
      <w:lvlJc w:val="left"/>
    </w:lvl>
    <w:lvl w:ilvl="5" w:tplc="9D08D5FC">
      <w:numFmt w:val="decimal"/>
      <w:lvlText w:val=""/>
      <w:lvlJc w:val="left"/>
    </w:lvl>
    <w:lvl w:ilvl="6" w:tplc="E452CD00">
      <w:numFmt w:val="decimal"/>
      <w:lvlText w:val=""/>
      <w:lvlJc w:val="left"/>
    </w:lvl>
    <w:lvl w:ilvl="7" w:tplc="07441832">
      <w:numFmt w:val="decimal"/>
      <w:lvlText w:val=""/>
      <w:lvlJc w:val="left"/>
    </w:lvl>
    <w:lvl w:ilvl="8" w:tplc="9D846DC4">
      <w:numFmt w:val="decimal"/>
      <w:lvlText w:val=""/>
      <w:lvlJc w:val="left"/>
    </w:lvl>
  </w:abstractNum>
  <w:abstractNum w:abstractNumId="1" w15:restartNumberingAfterBreak="0">
    <w:nsid w:val="42BD199A"/>
    <w:multiLevelType w:val="hybridMultilevel"/>
    <w:tmpl w:val="CA7A500A"/>
    <w:lvl w:ilvl="0" w:tplc="2626E7AE">
      <w:start w:val="1"/>
      <w:numFmt w:val="bullet"/>
      <w:lvlText w:val="•"/>
      <w:lvlJc w:val="left"/>
      <w:pPr>
        <w:ind w:left="720" w:hanging="360"/>
      </w:pPr>
    </w:lvl>
    <w:lvl w:ilvl="1" w:tplc="8976DA62">
      <w:numFmt w:val="decimal"/>
      <w:lvlText w:val=""/>
      <w:lvlJc w:val="left"/>
    </w:lvl>
    <w:lvl w:ilvl="2" w:tplc="9FECCE2A">
      <w:numFmt w:val="decimal"/>
      <w:lvlText w:val=""/>
      <w:lvlJc w:val="left"/>
    </w:lvl>
    <w:lvl w:ilvl="3" w:tplc="ABAC9760">
      <w:numFmt w:val="decimal"/>
      <w:lvlText w:val=""/>
      <w:lvlJc w:val="left"/>
    </w:lvl>
    <w:lvl w:ilvl="4" w:tplc="D4C2C2B4">
      <w:numFmt w:val="decimal"/>
      <w:lvlText w:val=""/>
      <w:lvlJc w:val="left"/>
    </w:lvl>
    <w:lvl w:ilvl="5" w:tplc="18C6B1D6">
      <w:numFmt w:val="decimal"/>
      <w:lvlText w:val=""/>
      <w:lvlJc w:val="left"/>
    </w:lvl>
    <w:lvl w:ilvl="6" w:tplc="D7F8C786">
      <w:numFmt w:val="decimal"/>
      <w:lvlText w:val=""/>
      <w:lvlJc w:val="left"/>
    </w:lvl>
    <w:lvl w:ilvl="7" w:tplc="1D7EBAA6">
      <w:numFmt w:val="decimal"/>
      <w:lvlText w:val=""/>
      <w:lvlJc w:val="left"/>
    </w:lvl>
    <w:lvl w:ilvl="8" w:tplc="F686290C">
      <w:numFmt w:val="decimal"/>
      <w:lvlText w:val=""/>
      <w:lvlJc w:val="left"/>
    </w:lvl>
  </w:abstractNum>
  <w:abstractNum w:abstractNumId="2" w15:restartNumberingAfterBreak="0">
    <w:nsid w:val="6BEB542D"/>
    <w:multiLevelType w:val="hybridMultilevel"/>
    <w:tmpl w:val="053E9EF4"/>
    <w:lvl w:ilvl="0" w:tplc="A88C9CC6">
      <w:start w:val="1"/>
      <w:numFmt w:val="bullet"/>
      <w:lvlText w:val="●"/>
      <w:lvlJc w:val="left"/>
      <w:pPr>
        <w:ind w:left="720" w:hanging="360"/>
      </w:pPr>
    </w:lvl>
    <w:lvl w:ilvl="1" w:tplc="E326B5BC">
      <w:start w:val="1"/>
      <w:numFmt w:val="bullet"/>
      <w:lvlText w:val="○"/>
      <w:lvlJc w:val="left"/>
      <w:pPr>
        <w:ind w:left="1440" w:hanging="360"/>
      </w:pPr>
    </w:lvl>
    <w:lvl w:ilvl="2" w:tplc="88523EA6">
      <w:start w:val="1"/>
      <w:numFmt w:val="bullet"/>
      <w:lvlText w:val="■"/>
      <w:lvlJc w:val="left"/>
      <w:pPr>
        <w:ind w:left="2160" w:hanging="360"/>
      </w:pPr>
    </w:lvl>
    <w:lvl w:ilvl="3" w:tplc="AFDC3D78">
      <w:start w:val="1"/>
      <w:numFmt w:val="bullet"/>
      <w:lvlText w:val="●"/>
      <w:lvlJc w:val="left"/>
      <w:pPr>
        <w:ind w:left="2880" w:hanging="360"/>
      </w:pPr>
    </w:lvl>
    <w:lvl w:ilvl="4" w:tplc="9AC0476A">
      <w:start w:val="1"/>
      <w:numFmt w:val="bullet"/>
      <w:lvlText w:val="○"/>
      <w:lvlJc w:val="left"/>
      <w:pPr>
        <w:ind w:left="3600" w:hanging="360"/>
      </w:pPr>
    </w:lvl>
    <w:lvl w:ilvl="5" w:tplc="166EEC38">
      <w:start w:val="1"/>
      <w:numFmt w:val="bullet"/>
      <w:lvlText w:val="■"/>
      <w:lvlJc w:val="left"/>
      <w:pPr>
        <w:ind w:left="4320" w:hanging="360"/>
      </w:pPr>
    </w:lvl>
    <w:lvl w:ilvl="6" w:tplc="E8F8F708">
      <w:start w:val="1"/>
      <w:numFmt w:val="bullet"/>
      <w:lvlText w:val="●"/>
      <w:lvlJc w:val="left"/>
      <w:pPr>
        <w:ind w:left="5040" w:hanging="360"/>
      </w:pPr>
    </w:lvl>
    <w:lvl w:ilvl="7" w:tplc="ADE6D2CA">
      <w:start w:val="1"/>
      <w:numFmt w:val="bullet"/>
      <w:lvlText w:val="●"/>
      <w:lvlJc w:val="left"/>
      <w:pPr>
        <w:ind w:left="5760" w:hanging="360"/>
      </w:pPr>
    </w:lvl>
    <w:lvl w:ilvl="8" w:tplc="18943C08">
      <w:start w:val="1"/>
      <w:numFmt w:val="bullet"/>
      <w:lvlText w:val="●"/>
      <w:lvlJc w:val="left"/>
      <w:pPr>
        <w:ind w:left="6480" w:hanging="360"/>
      </w:pPr>
    </w:lvl>
  </w:abstractNum>
  <w:num w:numId="1" w16cid:durableId="716275450">
    <w:abstractNumId w:val="2"/>
    <w:lvlOverride w:ilvl="0">
      <w:startOverride w:val="1"/>
    </w:lvlOverride>
  </w:num>
  <w:num w:numId="2" w16cid:durableId="2087724189">
    <w:abstractNumId w:val="0"/>
    <w:lvlOverride w:ilvl="0">
      <w:startOverride w:val="1"/>
    </w:lvlOverride>
  </w:num>
  <w:num w:numId="3" w16cid:durableId="1731569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C2E"/>
    <w:rsid w:val="00006FBF"/>
    <w:rsid w:val="00025CE4"/>
    <w:rsid w:val="00034A3E"/>
    <w:rsid w:val="0004468E"/>
    <w:rsid w:val="00050F39"/>
    <w:rsid w:val="00057AC4"/>
    <w:rsid w:val="000B6F9C"/>
    <w:rsid w:val="000B7487"/>
    <w:rsid w:val="001036ED"/>
    <w:rsid w:val="00145D07"/>
    <w:rsid w:val="00173F88"/>
    <w:rsid w:val="00183148"/>
    <w:rsid w:val="001A3340"/>
    <w:rsid w:val="001B33A8"/>
    <w:rsid w:val="001D3394"/>
    <w:rsid w:val="001F7AE5"/>
    <w:rsid w:val="00240233"/>
    <w:rsid w:val="0025060A"/>
    <w:rsid w:val="00272DC2"/>
    <w:rsid w:val="00292862"/>
    <w:rsid w:val="00295805"/>
    <w:rsid w:val="0029665D"/>
    <w:rsid w:val="002B4C24"/>
    <w:rsid w:val="002B4E50"/>
    <w:rsid w:val="002B7A3D"/>
    <w:rsid w:val="002C4C76"/>
    <w:rsid w:val="002F2568"/>
    <w:rsid w:val="00327473"/>
    <w:rsid w:val="00342BCF"/>
    <w:rsid w:val="00343AEA"/>
    <w:rsid w:val="00363BFB"/>
    <w:rsid w:val="00376524"/>
    <w:rsid w:val="0039505C"/>
    <w:rsid w:val="003B6ABC"/>
    <w:rsid w:val="003B7916"/>
    <w:rsid w:val="003D08D6"/>
    <w:rsid w:val="003F0087"/>
    <w:rsid w:val="00425794"/>
    <w:rsid w:val="00427459"/>
    <w:rsid w:val="00446749"/>
    <w:rsid w:val="00451247"/>
    <w:rsid w:val="00474DA1"/>
    <w:rsid w:val="00475BB7"/>
    <w:rsid w:val="004B2E9C"/>
    <w:rsid w:val="004C1335"/>
    <w:rsid w:val="004D4334"/>
    <w:rsid w:val="00515925"/>
    <w:rsid w:val="005210A1"/>
    <w:rsid w:val="00531AF6"/>
    <w:rsid w:val="00554116"/>
    <w:rsid w:val="00555781"/>
    <w:rsid w:val="005B4042"/>
    <w:rsid w:val="005B4658"/>
    <w:rsid w:val="005F11AA"/>
    <w:rsid w:val="0065104E"/>
    <w:rsid w:val="00654FB0"/>
    <w:rsid w:val="00660F10"/>
    <w:rsid w:val="00691094"/>
    <w:rsid w:val="006B4EEC"/>
    <w:rsid w:val="006C1DCF"/>
    <w:rsid w:val="006E3A77"/>
    <w:rsid w:val="006E476D"/>
    <w:rsid w:val="006F27DC"/>
    <w:rsid w:val="006F76F7"/>
    <w:rsid w:val="00702065"/>
    <w:rsid w:val="00743F8C"/>
    <w:rsid w:val="00751055"/>
    <w:rsid w:val="00784E9D"/>
    <w:rsid w:val="007A10A6"/>
    <w:rsid w:val="007A290D"/>
    <w:rsid w:val="007B0084"/>
    <w:rsid w:val="007C068C"/>
    <w:rsid w:val="007C36D1"/>
    <w:rsid w:val="007C3A52"/>
    <w:rsid w:val="008549CF"/>
    <w:rsid w:val="00856D93"/>
    <w:rsid w:val="008A388A"/>
    <w:rsid w:val="008C0C1D"/>
    <w:rsid w:val="008E4FF0"/>
    <w:rsid w:val="008F37C2"/>
    <w:rsid w:val="008F4B2F"/>
    <w:rsid w:val="00933386"/>
    <w:rsid w:val="009362CC"/>
    <w:rsid w:val="0096062F"/>
    <w:rsid w:val="00997B2B"/>
    <w:rsid w:val="009A67D1"/>
    <w:rsid w:val="009A7F12"/>
    <w:rsid w:val="009B43A4"/>
    <w:rsid w:val="009B681F"/>
    <w:rsid w:val="009C7B2A"/>
    <w:rsid w:val="009E0787"/>
    <w:rsid w:val="00A23380"/>
    <w:rsid w:val="00A27D3E"/>
    <w:rsid w:val="00A33244"/>
    <w:rsid w:val="00AA24FF"/>
    <w:rsid w:val="00AC6910"/>
    <w:rsid w:val="00B00706"/>
    <w:rsid w:val="00B0631D"/>
    <w:rsid w:val="00B22C2E"/>
    <w:rsid w:val="00B35349"/>
    <w:rsid w:val="00B47181"/>
    <w:rsid w:val="00B478CD"/>
    <w:rsid w:val="00B528A3"/>
    <w:rsid w:val="00B64712"/>
    <w:rsid w:val="00B66FC8"/>
    <w:rsid w:val="00B820AF"/>
    <w:rsid w:val="00B8312C"/>
    <w:rsid w:val="00BE0F9E"/>
    <w:rsid w:val="00BF4DB9"/>
    <w:rsid w:val="00BF5FFF"/>
    <w:rsid w:val="00C36B44"/>
    <w:rsid w:val="00C46C28"/>
    <w:rsid w:val="00C54558"/>
    <w:rsid w:val="00C7203A"/>
    <w:rsid w:val="00CA20DD"/>
    <w:rsid w:val="00CD3D57"/>
    <w:rsid w:val="00CD5D85"/>
    <w:rsid w:val="00CE4E35"/>
    <w:rsid w:val="00D20A5F"/>
    <w:rsid w:val="00D437B8"/>
    <w:rsid w:val="00D54860"/>
    <w:rsid w:val="00D618FA"/>
    <w:rsid w:val="00D6510A"/>
    <w:rsid w:val="00D66FDF"/>
    <w:rsid w:val="00DA3E01"/>
    <w:rsid w:val="00DC39E7"/>
    <w:rsid w:val="00DD7D79"/>
    <w:rsid w:val="00DE5E4B"/>
    <w:rsid w:val="00DF489F"/>
    <w:rsid w:val="00E21EB0"/>
    <w:rsid w:val="00E46DB4"/>
    <w:rsid w:val="00E63A35"/>
    <w:rsid w:val="00E678FE"/>
    <w:rsid w:val="00E7178D"/>
    <w:rsid w:val="00E72180"/>
    <w:rsid w:val="00E80C86"/>
    <w:rsid w:val="00E81AF9"/>
    <w:rsid w:val="00E901CB"/>
    <w:rsid w:val="00E9632C"/>
    <w:rsid w:val="00EB3543"/>
    <w:rsid w:val="00ED0A12"/>
    <w:rsid w:val="00ED6663"/>
    <w:rsid w:val="00EE49C4"/>
    <w:rsid w:val="00F00432"/>
    <w:rsid w:val="00F01B7C"/>
    <w:rsid w:val="00F3166F"/>
    <w:rsid w:val="00F50E60"/>
    <w:rsid w:val="00F56214"/>
    <w:rsid w:val="00F631A6"/>
    <w:rsid w:val="00FB4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5B4826"/>
  <w15:docId w15:val="{255CA786-AD51-E641-BC8E-F197256F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outlineLvl w:val="0"/>
    </w:pPr>
    <w:rPr>
      <w:b/>
      <w:bCs/>
      <w:color w:val="1F3864"/>
      <w:sz w:val="30"/>
      <w:szCs w:val="30"/>
    </w:rPr>
  </w:style>
  <w:style w:type="paragraph" w:styleId="Heading2">
    <w:name w:val="heading 2"/>
    <w:uiPriority w:val="9"/>
    <w:unhideWhenUsed/>
    <w:qFormat/>
    <w:pPr>
      <w:keepNext/>
      <w:keepLines/>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A24FF"/>
    <w:rPr>
      <w:sz w:val="16"/>
      <w:szCs w:val="16"/>
    </w:rPr>
  </w:style>
  <w:style w:type="paragraph" w:styleId="CommentText">
    <w:name w:val="annotation text"/>
    <w:basedOn w:val="Normal"/>
    <w:link w:val="CommentTextChar"/>
    <w:uiPriority w:val="99"/>
    <w:semiHidden/>
    <w:unhideWhenUsed/>
    <w:rsid w:val="00AA24FF"/>
    <w:rPr>
      <w:sz w:val="20"/>
      <w:szCs w:val="20"/>
    </w:rPr>
  </w:style>
  <w:style w:type="character" w:customStyle="1" w:styleId="CommentTextChar">
    <w:name w:val="Comment Text Char"/>
    <w:basedOn w:val="DefaultParagraphFont"/>
    <w:link w:val="CommentText"/>
    <w:uiPriority w:val="99"/>
    <w:semiHidden/>
    <w:rsid w:val="00AA24FF"/>
    <w:rPr>
      <w:sz w:val="20"/>
      <w:szCs w:val="20"/>
    </w:rPr>
  </w:style>
  <w:style w:type="paragraph" w:styleId="CommentSubject">
    <w:name w:val="annotation subject"/>
    <w:basedOn w:val="CommentText"/>
    <w:next w:val="CommentText"/>
    <w:link w:val="CommentSubjectChar"/>
    <w:uiPriority w:val="99"/>
    <w:semiHidden/>
    <w:unhideWhenUsed/>
    <w:rsid w:val="00AA24FF"/>
    <w:rPr>
      <w:b/>
      <w:bCs/>
    </w:rPr>
  </w:style>
  <w:style w:type="character" w:customStyle="1" w:styleId="CommentSubjectChar">
    <w:name w:val="Comment Subject Char"/>
    <w:basedOn w:val="CommentTextChar"/>
    <w:link w:val="CommentSubject"/>
    <w:uiPriority w:val="99"/>
    <w:semiHidden/>
    <w:rsid w:val="00AA24FF"/>
    <w:rPr>
      <w:b/>
      <w:bCs/>
      <w:sz w:val="20"/>
      <w:szCs w:val="20"/>
    </w:rPr>
  </w:style>
  <w:style w:type="paragraph" w:styleId="Header">
    <w:name w:val="header"/>
    <w:basedOn w:val="Normal"/>
    <w:link w:val="HeaderChar"/>
    <w:uiPriority w:val="99"/>
    <w:unhideWhenUsed/>
    <w:rsid w:val="00ED0A12"/>
    <w:pPr>
      <w:tabs>
        <w:tab w:val="center" w:pos="4680"/>
        <w:tab w:val="right" w:pos="9360"/>
      </w:tabs>
    </w:pPr>
  </w:style>
  <w:style w:type="character" w:customStyle="1" w:styleId="HeaderChar">
    <w:name w:val="Header Char"/>
    <w:basedOn w:val="DefaultParagraphFont"/>
    <w:link w:val="Header"/>
    <w:uiPriority w:val="99"/>
    <w:rsid w:val="00ED0A12"/>
  </w:style>
  <w:style w:type="paragraph" w:styleId="Footer">
    <w:name w:val="footer"/>
    <w:basedOn w:val="Normal"/>
    <w:link w:val="FooterChar"/>
    <w:uiPriority w:val="99"/>
    <w:unhideWhenUsed/>
    <w:rsid w:val="00ED0A12"/>
    <w:pPr>
      <w:tabs>
        <w:tab w:val="center" w:pos="4680"/>
        <w:tab w:val="right" w:pos="9360"/>
      </w:tabs>
    </w:pPr>
  </w:style>
  <w:style w:type="character" w:customStyle="1" w:styleId="FooterChar">
    <w:name w:val="Footer Char"/>
    <w:basedOn w:val="DefaultParagraphFont"/>
    <w:link w:val="Footer"/>
    <w:uiPriority w:val="99"/>
    <w:rsid w:val="00ED0A12"/>
  </w:style>
  <w:style w:type="character" w:styleId="FollowedHyperlink">
    <w:name w:val="FollowedHyperlink"/>
    <w:basedOn w:val="DefaultParagraphFont"/>
    <w:uiPriority w:val="99"/>
    <w:semiHidden/>
    <w:unhideWhenUsed/>
    <w:rsid w:val="0070206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ubmed.ncbi.nlm.nih.gov/29459763/" TargetMode="External"/><Relationship Id="rId18" Type="http://schemas.openxmlformats.org/officeDocument/2006/relationships/hyperlink" Target="https://pubmed.ncbi.nlm.nih.gov/29875406/" TargetMode="External"/><Relationship Id="rId26" Type="http://schemas.openxmlformats.org/officeDocument/2006/relationships/hyperlink" Target="https://pubmed.ncbi.nlm.nih.gov/17243894/" TargetMode="External"/><Relationship Id="rId3" Type="http://schemas.openxmlformats.org/officeDocument/2006/relationships/settings" Target="settings.xml"/><Relationship Id="rId21" Type="http://schemas.openxmlformats.org/officeDocument/2006/relationships/hyperlink" Target="https://pubmed.ncbi.nlm.nih.gov/24409118/" TargetMode="External"/><Relationship Id="rId34" Type="http://schemas.openxmlformats.org/officeDocument/2006/relationships/fontTable" Target="fontTable.xml"/><Relationship Id="rId7" Type="http://schemas.openxmlformats.org/officeDocument/2006/relationships/hyperlink" Target="https://www.biorxiv.org/content/10.1101/2025.09.24.678123v3" TargetMode="External"/><Relationship Id="rId12" Type="http://schemas.openxmlformats.org/officeDocument/2006/relationships/hyperlink" Target="https://pubmed.ncbi.nlm.nih.gov/26898780/" TargetMode="External"/><Relationship Id="rId17" Type="http://schemas.openxmlformats.org/officeDocument/2006/relationships/hyperlink" Target="https://www.biorxiv.org/content/10.1101/2024.11.04.621923v2" TargetMode="External"/><Relationship Id="rId25" Type="http://schemas.openxmlformats.org/officeDocument/2006/relationships/hyperlink" Target="https://pubmed.ncbi.nlm.nih.gov/2319304/"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pubmed.ncbi.nlm.nih.gov/34237050/" TargetMode="External"/><Relationship Id="rId20" Type="http://schemas.openxmlformats.org/officeDocument/2006/relationships/hyperlink" Target="https://pubmed.ncbi.nlm.nih.gov/35637903/" TargetMode="External"/><Relationship Id="rId29" Type="http://schemas.openxmlformats.org/officeDocument/2006/relationships/hyperlink" Target="https://www.biorxiv.org/content/10.64898/2026.02.04.703741v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23674373/" TargetMode="External"/><Relationship Id="rId24" Type="http://schemas.openxmlformats.org/officeDocument/2006/relationships/hyperlink" Target="https://pubmed.ncbi.nlm.nih.gov/29728449/" TargetMode="External"/><Relationship Id="rId32" Type="http://schemas.openxmlformats.org/officeDocument/2006/relationships/hyperlink" Target="https://www.biorxiv.org/content/10.1101/2025.09.17.676794v1" TargetMode="External"/><Relationship Id="rId5" Type="http://schemas.openxmlformats.org/officeDocument/2006/relationships/footnotes" Target="footnotes.xml"/><Relationship Id="rId15" Type="http://schemas.openxmlformats.org/officeDocument/2006/relationships/hyperlink" Target="https://pubmed.ncbi.nlm.nih.gov/21358645/" TargetMode="External"/><Relationship Id="rId23" Type="http://schemas.openxmlformats.org/officeDocument/2006/relationships/hyperlink" Target="https://pubmed.ncbi.nlm.nih.gov/40164741/" TargetMode="External"/><Relationship Id="rId28" Type="http://schemas.openxmlformats.org/officeDocument/2006/relationships/hyperlink" Target="https://pubmed.ncbi.nlm.nih.gov/27300105/" TargetMode="External"/><Relationship Id="rId10" Type="http://schemas.openxmlformats.org/officeDocument/2006/relationships/hyperlink" Target="https://pubmed.ncbi.nlm.nih.gov/28252024/" TargetMode="External"/><Relationship Id="rId19" Type="http://schemas.openxmlformats.org/officeDocument/2006/relationships/hyperlink" Target="https://pubmed.ncbi.nlm.nih.gov/23103868/" TargetMode="External"/><Relationship Id="rId31" Type="http://schemas.openxmlformats.org/officeDocument/2006/relationships/hyperlink" Target="https://doi.org/10.1038/s41467-026-71914-x" TargetMode="External"/><Relationship Id="rId4" Type="http://schemas.openxmlformats.org/officeDocument/2006/relationships/webSettings" Target="webSettings.xml"/><Relationship Id="rId9" Type="http://schemas.openxmlformats.org/officeDocument/2006/relationships/hyperlink" Target="https://pubmed.ncbi.nlm.nih.gov/41436654/" TargetMode="External"/><Relationship Id="rId14" Type="http://schemas.openxmlformats.org/officeDocument/2006/relationships/hyperlink" Target="https://pubmed.ncbi.nlm.nih.gov/7569903/" TargetMode="External"/><Relationship Id="rId22" Type="http://schemas.openxmlformats.org/officeDocument/2006/relationships/hyperlink" Target="https://pubmed.ncbi.nlm.nih.gov/41720996/" TargetMode="External"/><Relationship Id="rId27" Type="http://schemas.openxmlformats.org/officeDocument/2006/relationships/hyperlink" Target="https://pubmed.ncbi.nlm.nih.gov/22046028/" TargetMode="External"/><Relationship Id="rId30" Type="http://schemas.openxmlformats.org/officeDocument/2006/relationships/hyperlink" Target="https://pubmed.ncbi.nlm.nih.gov/32199104/" TargetMode="External"/><Relationship Id="rId35" Type="http://schemas.openxmlformats.org/officeDocument/2006/relationships/theme" Target="theme/theme1.xml"/><Relationship Id="rId8" Type="http://schemas.openxmlformats.org/officeDocument/2006/relationships/hyperlink" Target="https://pubmed.ncbi.nlm.nih.gov/371427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19</Pages>
  <Words>7559</Words>
  <Characters>46569</Characters>
  <Application>Microsoft Office Word</Application>
  <DocSecurity>0</DocSecurity>
  <Lines>716</Lines>
  <Paragraphs>269</Paragraphs>
  <ScaleCrop>false</ScaleCrop>
  <Company/>
  <LinksUpToDate>false</LinksUpToDate>
  <CharactersWithSpaces>53859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Janelia Synapse Project — claude v1</dc:title>
  <dc:creator>Claude</dc:creator>
  <cp:lastModifiedBy>Spruston, Nelson</cp:lastModifiedBy>
  <cp:revision>131</cp:revision>
  <dcterms:created xsi:type="dcterms:W3CDTF">2026-04-25T02:59:00Z</dcterms:created>
  <dcterms:modified xsi:type="dcterms:W3CDTF">2026-04-27T20:29:00Z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906ff0-52ec-452d-8c5e-cde77f900816_Enabled">
    <vt:lpwstr>true</vt:lpwstr>
  </property>
  <property fmtid="{D5CDD505-2E9C-101B-9397-08002B2CF9AE}" pid="3" name="MSIP_Label_e8906ff0-52ec-452d-8c5e-cde77f900816_SetDate">
    <vt:lpwstr>2026-04-25T03:00:11Z</vt:lpwstr>
  </property>
  <property fmtid="{D5CDD505-2E9C-101B-9397-08002B2CF9AE}" pid="4" name="MSIP_Label_e8906ff0-52ec-452d-8c5e-cde77f900816_Method">
    <vt:lpwstr>Standard</vt:lpwstr>
  </property>
  <property fmtid="{D5CDD505-2E9C-101B-9397-08002B2CF9AE}" pid="5" name="MSIP_Label_e8906ff0-52ec-452d-8c5e-cde77f900816_Name">
    <vt:lpwstr>e8906ff0-52ec-452d-8c5e-cde77f900816</vt:lpwstr>
  </property>
  <property fmtid="{D5CDD505-2E9C-101B-9397-08002B2CF9AE}" pid="6" name="MSIP_Label_e8906ff0-52ec-452d-8c5e-cde77f900816_SiteId">
    <vt:lpwstr>dd8acbd0-ad85-4eb9-8a76-871027ad4a1b</vt:lpwstr>
  </property>
  <property fmtid="{D5CDD505-2E9C-101B-9397-08002B2CF9AE}" pid="7" name="MSIP_Label_e8906ff0-52ec-452d-8c5e-cde77f900816_ActionId">
    <vt:lpwstr>c3634d8e-4152-4983-8cec-d462abf523a0</vt:lpwstr>
  </property>
  <property fmtid="{D5CDD505-2E9C-101B-9397-08002B2CF9AE}" pid="8" name="MSIP_Label_e8906ff0-52ec-452d-8c5e-cde77f900816_ContentBits">
    <vt:lpwstr>0</vt:lpwstr>
  </property>
  <property fmtid="{D5CDD505-2E9C-101B-9397-08002B2CF9AE}" pid="9" name="MSIP_Label_e8906ff0-52ec-452d-8c5e-cde77f900816_Tag">
    <vt:lpwstr>50, 3, 0, 1</vt:lpwstr>
  </property>
</Properties>
</file>