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PPE-Guard: Construction-Site PPE Compliance Detection &amp; Reasoning API</w:t>
      </w:r>
    </w:p>
    <w:p>
      <w:pPr>
        <w:spacing w:after="200"/>
      </w:pPr>
      <w:r>
        <w:rPr>
          <w:i/>
          <w:iCs/>
          <w:color w:val="555555"/>
          <w:sz w:val="20"/>
          <w:szCs w:val="20"/>
        </w:rPr>
        <w:t xml:space="preserve">Written Memo — Pre-Hackathon Screening, Round 1 (CV + Applied ML)</w:t>
      </w:r>
    </w:p>
    <w:p>
      <w:pPr>
        <w:pStyle w:val="Heading1"/>
        <w:spacing w:after="80" w:before="200"/>
      </w:pPr>
      <w:r>
        <w:t xml:space="preserve">1. Domain, dataset, and sourcing</w:t>
      </w:r>
    </w:p>
    <w:p>
      <w:pPr>
        <w:spacing w:after="80"/>
      </w:pPr>
      <w:r>
        <w:rPr>
          <w:sz w:val="20"/>
          <w:szCs w:val="20"/>
        </w:rPr>
        <w:t xml:space="preserve">Domain: construction-site PPE (Personal Protective Equipment) compliance detection — finding people, hardhats, and hi-vis vests, and specifically flagging the absence of required PPE (NO-Hardhat, NO-Safety-Vest). This was chosen because it forces the non-COCO-class constraint honestly (COCO has “person” but no notion of PPE state), maps cleanly onto Part B's example reasoning questions, and is a genuinely deployed CV use case rather than a toy problem.</w:t>
      </w:r>
    </w:p>
    <w:p>
      <w:pPr>
        <w:spacing w:after="80"/>
      </w:pPr>
      <w:r>
        <w:rPr>
          <w:sz w:val="20"/>
          <w:szCs w:val="20"/>
        </w:rPr>
        <w:t xml:space="preserve">Primary data: the Construction Site Safety Image Dataset (Roboflow Universe Projects, CC BY 4.0), filtered from its 10 source classes down to our 5-class taxonomy (Hardhat, NO-Hardhat, Safety-Vest, NO-Safety-Vest, Person) — Mask/NO-Mask, Safety Cone, machinery, and vehicle were dropped as out of scope for a helmet/vest compliance system, not omitted by oversight.</w:t>
      </w:r>
    </w:p>
    <w:p>
      <w:pPr>
        <w:spacing w:after="80"/>
      </w:pPr>
      <w:r>
        <w:rPr>
          <w:sz w:val="20"/>
          <w:szCs w:val="20"/>
        </w:rPr>
        <w:t xml:space="preserve">Supplementary data: ~150–300 CC-licensed site photos (Unsplash/Pexels) self-labeled to add hard negatives the base dataset under-represents — non-standard hardhat colors, low light, and motion blur — specifically to surface real failure modes rather than report an inflated score on an easy set.</w:t>
      </w:r>
    </w:p>
    <w:p>
      <w:pPr>
        <w:spacing w:after="80"/>
      </w:pPr>
      <w:r>
        <w:rPr>
          <w:sz w:val="20"/>
          <w:szCs w:val="20"/>
        </w:rPr>
        <w:t xml:space="preserve">Final dataset size after filtering and dedup: </w:t>
      </w:r>
      <w:r>
        <w:rPr>
          <w:b/>
          <w:bCs/>
          <w:color w:val="C00000"/>
          <w:sz w:val="20"/>
          <w:szCs w:val="20"/>
        </w:rPr>
        <w:t xml:space="preserve">[[FILL IN: N images, M boxes total]]</w:t>
      </w:r>
      <w:r>
        <w:rPr>
          <w:sz w:val="20"/>
          <w:szCs w:val="20"/>
        </w:rPr>
        <w:t xml:space="preserve"> (see data/README.md and the console output of prepare_dataset.py --report-only for the exact, reproducible count).</w:t>
      </w:r>
    </w:p>
    <w:p>
      <w:pPr>
        <w:pStyle w:val="Heading1"/>
        <w:spacing w:after="80" w:before="200"/>
      </w:pPr>
      <w:r>
        <w:t xml:space="preserve">2. Train / val / test split strategy</w:t>
      </w:r>
    </w:p>
    <w:p>
      <w:pPr>
        <w:spacing w:after="80"/>
      </w:pPr>
      <w:r>
        <w:rPr>
          <w:sz w:val="20"/>
          <w:szCs w:val="20"/>
        </w:rPr>
        <w:t xml:space="preserve">70 / 15 / 15 split, grouped by a perceptual hash of each image before splitting — not split naively at the image level. The raw export includes near-duplicate frames pulled from short site-video clips; a naive split would leak near-identical frames across train and val/test and inflate validation mAP without saying anything real about generalization.</w:t>
      </w:r>
    </w:p>
    <w:p>
      <w:pPr>
        <w:spacing w:after="80"/>
      </w:pPr>
      <w:r>
        <w:rPr>
          <w:sz w:val="20"/>
          <w:szCs w:val="20"/>
        </w:rPr>
        <w:t xml:space="preserve">The split is random-but-grouped rather than forcibly class-stratified: with 5 classes at naturally uneven support over ~5k images, hard stratification tends to produce an artificially easy validation set. Resulting class imbalance is reported directly (see §3) rather than engineered away.</w:t>
      </w:r>
    </w:p>
    <w:p>
      <w:pPr>
        <w:spacing w:after="80"/>
      </w:pPr>
      <w:r>
        <w:rPr>
          <w:sz w:val="20"/>
          <w:szCs w:val="20"/>
        </w:rPr>
        <w:t xml:space="preserve">The test split is only ever touched by evaluate.py, never by train.py, so the headline numbers below are genuinely held-out.</w:t>
      </w:r>
    </w:p>
    <w:p>
      <w:pPr>
        <w:pStyle w:val="Heading1"/>
        <w:spacing w:after="80" w:before="200"/>
      </w:pPr>
      <w:r>
        <w:t xml:space="preserve">3. Evaluation methodology — what the metrics say, and don't</w:t>
      </w:r>
    </w:p>
    <w:p>
      <w:pPr>
        <w:spacing w:after="80"/>
      </w:pPr>
      <w:r>
        <w:rPr>
          <w:sz w:val="20"/>
          <w:szCs w:val="20"/>
        </w:rPr>
        <w:t xml:space="preserve">Metrics reported: mAP@0.50 and the stricter mAP@0.50:0.95 (COCO-style), plus per-class precision/recall, at the same confidence threshold (0.35) the API uses in production — not the threshold that makes the headline number look best.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500"/>
        <w:gridCol w:w="1500"/>
      </w:tblGrid>
      <w:tr>
        <w:tc>
          <w:tcPr>
            <w:tcW w:type="dxa" w:w="2600"/>
            <w:shd w:fill="D9D9D9" w:val="clear"/>
          </w:tcPr>
          <w:p>
            <w:r>
              <w:rPr>
                <w:b/>
                <w:bCs/>
                <w:sz w:val="18"/>
                <w:szCs w:val="18"/>
              </w:rPr>
              <w:t xml:space="preserve">Class</w:t>
            </w:r>
          </w:p>
        </w:tc>
        <w:tc>
          <w:tcPr>
            <w:tcW w:type="dxa" w:w="1500"/>
            <w:shd w:fill="D9D9D9" w:val="clear"/>
          </w:tcPr>
          <w:p>
            <w:r>
              <w:rPr>
                <w:b/>
                <w:bCs/>
                <w:sz w:val="18"/>
                <w:szCs w:val="18"/>
              </w:rPr>
              <w:t xml:space="preserve">AP@0.50</w:t>
            </w:r>
          </w:p>
        </w:tc>
        <w:tc>
          <w:tcPr>
            <w:tcW w:type="dxa" w:w="1700"/>
            <w:shd w:fill="D9D9D9" w:val="clear"/>
          </w:tcPr>
          <w:p>
            <w:r>
              <w:rPr>
                <w:b/>
                <w:bCs/>
                <w:sz w:val="18"/>
                <w:szCs w:val="18"/>
              </w:rPr>
              <w:t xml:space="preserve">AP@0.50:0.95</w:t>
            </w:r>
          </w:p>
        </w:tc>
        <w:tc>
          <w:tcPr>
            <w:tcW w:type="dxa" w:w="1500"/>
            <w:shd w:fill="D9D9D9" w:val="clear"/>
          </w:tcPr>
          <w:p>
            <w:r>
              <w:rPr>
                <w:b/>
                <w:bCs/>
                <w:sz w:val="18"/>
                <w:szCs w:val="18"/>
              </w:rPr>
              <w:t xml:space="preserve">Precision</w:t>
            </w:r>
          </w:p>
        </w:tc>
        <w:tc>
          <w:tcPr>
            <w:tcW w:type="dxa" w:w="1500"/>
            <w:shd w:fill="D9D9D9" w:val="clear"/>
          </w:tcPr>
          <w:p>
            <w:r>
              <w:rPr>
                <w:b/>
                <w:bCs/>
                <w:sz w:val="18"/>
                <w:szCs w:val="18"/>
              </w:rPr>
              <w:t xml:space="preserve">Recall</w:t>
            </w:r>
          </w:p>
        </w:tc>
      </w:tr>
      <w:tr>
        <w:tc>
          <w:tcPr>
            <w:tcW w:type="dxa" w:w="2600"/>
          </w:tcPr>
          <w:p>
            <w:r>
              <w:rPr>
                <w:b w:val="false"/>
                <w:bCs w:val="false"/>
                <w:sz w:val="18"/>
                <w:szCs w:val="18"/>
              </w:rPr>
              <w:t xml:space="preserve">Hardhat</w:t>
            </w:r>
          </w:p>
        </w:tc>
        <w:tc>
          <w:tcPr>
            <w:tcW w:type="dxa" w:w="1500"/>
          </w:tcPr>
          <w:p>
            <w:r>
              <w:rPr>
                <w:b/>
                <w:bCs/>
                <w:color w:val="C00000"/>
                <w:sz w:val="20"/>
                <w:szCs w:val="20"/>
              </w:rPr>
              <w:t xml:space="preserve">[[FILL IN: value]]</w:t>
            </w:r>
          </w:p>
        </w:tc>
        <w:tc>
          <w:tcPr>
            <w:tcW w:type="dxa" w:w="1700"/>
          </w:tcPr>
          <w:p>
            <w:r>
              <w:rPr>
                <w:b/>
                <w:bCs/>
                <w:color w:val="C00000"/>
                <w:sz w:val="20"/>
                <w:szCs w:val="20"/>
              </w:rPr>
              <w:t xml:space="preserve">[[FILL IN: value]]</w:t>
            </w:r>
          </w:p>
        </w:tc>
        <w:tc>
          <w:tcPr>
            <w:tcW w:type="dxa" w:w="1500"/>
          </w:tcPr>
          <w:p>
            <w:r>
              <w:rPr>
                <w:b/>
                <w:bCs/>
                <w:color w:val="C00000"/>
                <w:sz w:val="20"/>
                <w:szCs w:val="20"/>
              </w:rPr>
              <w:t xml:space="preserve">[[FILL IN: value]]</w:t>
            </w:r>
          </w:p>
        </w:tc>
        <w:tc>
          <w:tcPr>
            <w:tcW w:type="dxa" w:w="1500"/>
          </w:tcPr>
          <w:p>
            <w:r>
              <w:rPr>
                <w:b/>
                <w:bCs/>
                <w:color w:val="C00000"/>
                <w:sz w:val="20"/>
                <w:szCs w:val="20"/>
              </w:rPr>
              <w:t xml:space="preserve">[[FILL IN: value]]</w:t>
            </w:r>
          </w:p>
        </w:tc>
      </w:tr>
      <w:tr>
        <w:tc>
          <w:tcPr>
            <w:tcW w:type="dxa" w:w="2600"/>
          </w:tcPr>
          <w:p>
            <w:r>
              <w:rPr>
                <w:b w:val="false"/>
                <w:bCs w:val="false"/>
                <w:sz w:val="18"/>
                <w:szCs w:val="18"/>
              </w:rPr>
              <w:t xml:space="preserve">NO-Hardhat</w:t>
            </w:r>
          </w:p>
        </w:tc>
        <w:tc>
          <w:tcPr>
            <w:tcW w:type="dxa" w:w="1500"/>
          </w:tcPr>
          <w:p>
            <w:r>
              <w:rPr>
                <w:b/>
                <w:bCs/>
                <w:color w:val="C00000"/>
                <w:sz w:val="20"/>
                <w:szCs w:val="20"/>
              </w:rPr>
              <w:t xml:space="preserve">[[FILL IN: value]]</w:t>
            </w:r>
          </w:p>
        </w:tc>
        <w:tc>
          <w:tcPr>
            <w:tcW w:type="dxa" w:w="1700"/>
          </w:tcPr>
          <w:p>
            <w:r>
              <w:rPr>
                <w:b/>
                <w:bCs/>
                <w:color w:val="C00000"/>
                <w:sz w:val="20"/>
                <w:szCs w:val="20"/>
              </w:rPr>
              <w:t xml:space="preserve">[[FILL IN: value]]</w:t>
            </w:r>
          </w:p>
        </w:tc>
        <w:tc>
          <w:tcPr>
            <w:tcW w:type="dxa" w:w="1500"/>
          </w:tcPr>
          <w:p>
            <w:r>
              <w:rPr>
                <w:b/>
                <w:bCs/>
                <w:color w:val="C00000"/>
                <w:sz w:val="20"/>
                <w:szCs w:val="20"/>
              </w:rPr>
              <w:t xml:space="preserve">[[FILL IN: value]]</w:t>
            </w:r>
          </w:p>
        </w:tc>
        <w:tc>
          <w:tcPr>
            <w:tcW w:type="dxa" w:w="1500"/>
          </w:tcPr>
          <w:p>
            <w:r>
              <w:rPr>
                <w:b/>
                <w:bCs/>
                <w:color w:val="C00000"/>
                <w:sz w:val="20"/>
                <w:szCs w:val="20"/>
              </w:rPr>
              <w:t xml:space="preserve">[[FILL IN: value]]</w:t>
            </w:r>
          </w:p>
        </w:tc>
      </w:tr>
      <w:tr>
        <w:tc>
          <w:tcPr>
            <w:tcW w:type="dxa" w:w="2600"/>
          </w:tcPr>
          <w:p>
            <w:r>
              <w:rPr>
                <w:b w:val="false"/>
                <w:bCs w:val="false"/>
                <w:sz w:val="18"/>
                <w:szCs w:val="18"/>
              </w:rPr>
              <w:t xml:space="preserve">Safety-Vest</w:t>
            </w:r>
          </w:p>
        </w:tc>
        <w:tc>
          <w:tcPr>
            <w:tcW w:type="dxa" w:w="1500"/>
          </w:tcPr>
          <w:p>
            <w:r>
              <w:rPr>
                <w:b/>
                <w:bCs/>
                <w:color w:val="C00000"/>
                <w:sz w:val="20"/>
                <w:szCs w:val="20"/>
              </w:rPr>
              <w:t xml:space="preserve">[[FILL IN: value]]</w:t>
            </w:r>
          </w:p>
        </w:tc>
        <w:tc>
          <w:tcPr>
            <w:tcW w:type="dxa" w:w="1700"/>
          </w:tcPr>
          <w:p>
            <w:r>
              <w:rPr>
                <w:b/>
                <w:bCs/>
                <w:color w:val="C00000"/>
                <w:sz w:val="20"/>
                <w:szCs w:val="20"/>
              </w:rPr>
              <w:t xml:space="preserve">[[FILL IN: value]]</w:t>
            </w:r>
          </w:p>
        </w:tc>
        <w:tc>
          <w:tcPr>
            <w:tcW w:type="dxa" w:w="1500"/>
          </w:tcPr>
          <w:p>
            <w:r>
              <w:rPr>
                <w:b/>
                <w:bCs/>
                <w:color w:val="C00000"/>
                <w:sz w:val="20"/>
                <w:szCs w:val="20"/>
              </w:rPr>
              <w:t xml:space="preserve">[[FILL IN: value]]</w:t>
            </w:r>
          </w:p>
        </w:tc>
        <w:tc>
          <w:tcPr>
            <w:tcW w:type="dxa" w:w="1500"/>
          </w:tcPr>
          <w:p>
            <w:r>
              <w:rPr>
                <w:b/>
                <w:bCs/>
                <w:color w:val="C00000"/>
                <w:sz w:val="20"/>
                <w:szCs w:val="20"/>
              </w:rPr>
              <w:t xml:space="preserve">[[FILL IN: value]]</w:t>
            </w:r>
          </w:p>
        </w:tc>
      </w:tr>
      <w:tr>
        <w:tc>
          <w:tcPr>
            <w:tcW w:type="dxa" w:w="2600"/>
          </w:tcPr>
          <w:p>
            <w:r>
              <w:rPr>
                <w:b w:val="false"/>
                <w:bCs w:val="false"/>
                <w:sz w:val="18"/>
                <w:szCs w:val="18"/>
              </w:rPr>
              <w:t xml:space="preserve">NO-Safety-Vest</w:t>
            </w:r>
          </w:p>
        </w:tc>
        <w:tc>
          <w:tcPr>
            <w:tcW w:type="dxa" w:w="1500"/>
          </w:tcPr>
          <w:p>
            <w:r>
              <w:rPr>
                <w:b/>
                <w:bCs/>
                <w:color w:val="C00000"/>
                <w:sz w:val="20"/>
                <w:szCs w:val="20"/>
              </w:rPr>
              <w:t xml:space="preserve">[[FILL IN: value]]</w:t>
            </w:r>
          </w:p>
        </w:tc>
        <w:tc>
          <w:tcPr>
            <w:tcW w:type="dxa" w:w="1700"/>
          </w:tcPr>
          <w:p>
            <w:r>
              <w:rPr>
                <w:b/>
                <w:bCs/>
                <w:color w:val="C00000"/>
                <w:sz w:val="20"/>
                <w:szCs w:val="20"/>
              </w:rPr>
              <w:t xml:space="preserve">[[FILL IN: value]]</w:t>
            </w:r>
          </w:p>
        </w:tc>
        <w:tc>
          <w:tcPr>
            <w:tcW w:type="dxa" w:w="1500"/>
          </w:tcPr>
          <w:p>
            <w:r>
              <w:rPr>
                <w:b/>
                <w:bCs/>
                <w:color w:val="C00000"/>
                <w:sz w:val="20"/>
                <w:szCs w:val="20"/>
              </w:rPr>
              <w:t xml:space="preserve">[[FILL IN: value]]</w:t>
            </w:r>
          </w:p>
        </w:tc>
        <w:tc>
          <w:tcPr>
            <w:tcW w:type="dxa" w:w="1500"/>
          </w:tcPr>
          <w:p>
            <w:r>
              <w:rPr>
                <w:b/>
                <w:bCs/>
                <w:color w:val="C00000"/>
                <w:sz w:val="20"/>
                <w:szCs w:val="20"/>
              </w:rPr>
              <w:t xml:space="preserve">[[FILL IN: value]]</w:t>
            </w:r>
          </w:p>
        </w:tc>
      </w:tr>
      <w:tr>
        <w:tc>
          <w:tcPr>
            <w:tcW w:type="dxa" w:w="2600"/>
          </w:tcPr>
          <w:p>
            <w:r>
              <w:rPr>
                <w:b w:val="false"/>
                <w:bCs w:val="false"/>
                <w:sz w:val="18"/>
                <w:szCs w:val="18"/>
              </w:rPr>
              <w:t xml:space="preserve">Person</w:t>
            </w:r>
          </w:p>
        </w:tc>
        <w:tc>
          <w:tcPr>
            <w:tcW w:type="dxa" w:w="1500"/>
          </w:tcPr>
          <w:p>
            <w:r>
              <w:rPr>
                <w:b/>
                <w:bCs/>
                <w:color w:val="C00000"/>
                <w:sz w:val="20"/>
                <w:szCs w:val="20"/>
              </w:rPr>
              <w:t xml:space="preserve">[[FILL IN: value]]</w:t>
            </w:r>
          </w:p>
        </w:tc>
        <w:tc>
          <w:tcPr>
            <w:tcW w:type="dxa" w:w="1700"/>
          </w:tcPr>
          <w:p>
            <w:r>
              <w:rPr>
                <w:b/>
                <w:bCs/>
                <w:color w:val="C00000"/>
                <w:sz w:val="20"/>
                <w:szCs w:val="20"/>
              </w:rPr>
              <w:t xml:space="preserve">[[FILL IN: value]]</w:t>
            </w:r>
          </w:p>
        </w:tc>
        <w:tc>
          <w:tcPr>
            <w:tcW w:type="dxa" w:w="1500"/>
          </w:tcPr>
          <w:p>
            <w:r>
              <w:rPr>
                <w:b/>
                <w:bCs/>
                <w:color w:val="C00000"/>
                <w:sz w:val="20"/>
                <w:szCs w:val="20"/>
              </w:rPr>
              <w:t xml:space="preserve">[[FILL IN: value]]</w:t>
            </w:r>
          </w:p>
        </w:tc>
        <w:tc>
          <w:tcPr>
            <w:tcW w:type="dxa" w:w="1500"/>
          </w:tcPr>
          <w:p>
            <w:r>
              <w:rPr>
                <w:b/>
                <w:bCs/>
                <w:color w:val="C00000"/>
                <w:sz w:val="20"/>
                <w:szCs w:val="20"/>
              </w:rPr>
              <w:t xml:space="preserve">[[FILL IN: value]]</w:t>
            </w:r>
          </w:p>
        </w:tc>
      </w:tr>
      <w:tr>
        <w:tc>
          <w:tcPr>
            <w:tcW w:type="dxa" w:w="2600"/>
          </w:tcPr>
          <w:p>
            <w:r>
              <w:rPr>
                <w:b/>
                <w:bCs/>
                <w:sz w:val="18"/>
                <w:szCs w:val="18"/>
              </w:rPr>
              <w:t xml:space="preserve">Overall (mAP)</w:t>
            </w:r>
          </w:p>
        </w:tc>
        <w:tc>
          <w:tcPr>
            <w:tcW w:type="dxa" w:w="1500"/>
          </w:tcPr>
          <w:p>
            <w:r>
              <w:rPr>
                <w:b/>
                <w:bCs/>
                <w:color w:val="C00000"/>
                <w:sz w:val="20"/>
                <w:szCs w:val="20"/>
              </w:rPr>
              <w:t xml:space="preserve">[[FILL IN: value]]</w:t>
            </w:r>
          </w:p>
        </w:tc>
        <w:tc>
          <w:tcPr>
            <w:tcW w:type="dxa" w:w="1700"/>
          </w:tcPr>
          <w:p>
            <w:r>
              <w:rPr>
                <w:b/>
                <w:bCs/>
                <w:color w:val="C00000"/>
                <w:sz w:val="20"/>
                <w:szCs w:val="20"/>
              </w:rPr>
              <w:t xml:space="preserve">[[FILL IN: value]]</w:t>
            </w:r>
          </w:p>
        </w:tc>
        <w:tc>
          <w:tcPr>
            <w:tcW w:type="dxa" w:w="1500"/>
          </w:tcPr>
          <w:p>
            <w:r>
              <w:rPr>
                <w:b/>
                <w:bCs/>
                <w:color w:val="C00000"/>
                <w:sz w:val="20"/>
                <w:szCs w:val="20"/>
              </w:rPr>
              <w:t xml:space="preserve">[[FILL IN: value]]</w:t>
            </w:r>
          </w:p>
        </w:tc>
        <w:tc>
          <w:tcPr>
            <w:tcW w:type="dxa" w:w="1500"/>
          </w:tcPr>
          <w:p>
            <w:r>
              <w:rPr>
                <w:b/>
                <w:bCs/>
                <w:color w:val="C00000"/>
                <w:sz w:val="20"/>
                <w:szCs w:val="20"/>
              </w:rPr>
              <w:t xml:space="preserve">[[FILL IN: value]]</w:t>
            </w:r>
          </w:p>
        </w:tc>
      </w:tr>
    </w:tbl>
    <w:p>
      <w:pPr>
        <w:spacing w:after="120"/>
      </w:pPr>
    </w:p>
    <w:p>
      <w:pPr>
        <w:spacing w:after="80"/>
      </w:pPr>
      <w:r>
        <w:rPr>
          <w:sz w:val="20"/>
          <w:szCs w:val="20"/>
        </w:rPr>
        <w:t xml:space="preserve">What these numbers tell you: overall mAP is dragged up by the Person class, which has far more training examples and looser visual variance than the PPE classes; the operationally meaningful numbers are NO-Hardhat and NO-Safety-Vest recall specifically, since those are the violation classes the system exists to catch, and they are also the minority classes — read them next to the per-class support counts, not in isolation.</w:t>
      </w:r>
    </w:p>
    <w:p>
      <w:pPr>
        <w:spacing w:after="80"/>
      </w:pPr>
      <w:r>
        <w:rPr>
          <w:sz w:val="20"/>
          <w:szCs w:val="20"/>
        </w:rPr>
        <w:t xml:space="preserve">What these numbers don't tell you: mAP@0.50:0.95 says nothing about calibration — a class can have high AP and still produce overconfident wrong answers on out-of-distribution images (motion blur, backlighting; see docs/failure_cases.md). It also says nothing about the reasoning layer's behavior, which is evaluated separately in §5. Self-reported metrics on our own test split are additionally weighted less than performance on the hidden evaluation set per the grading rubric, and are reported here as one honest data point, not a claim of final performance.</w:t>
      </w:r>
    </w:p>
    <w:p>
      <w:pPr>
        <w:pStyle w:val="Heading1"/>
        <w:spacing w:after="80" w:before="200"/>
      </w:pPr>
      <w:r>
        <w:t xml:space="preserve">4. Five failure cases (summary — full detail in docs/failure_cases.md)</w:t>
      </w:r>
    </w:p>
    <w:p>
      <w:pPr>
        <w:pStyle w:val="ListParagraph"/>
        <w:numPr>
          <w:ilvl w:val="0"/>
          <w:numId w:val="1"/>
        </w:numPr>
        <w:spacing w:after="40"/>
      </w:pPr>
      <w:r>
        <w:rPr>
          <w:sz w:val="20"/>
          <w:szCs w:val="20"/>
        </w:rPr>
        <w:t xml:space="preserve">Small/distant hardhats missed — low resolution at typical wide-shot scale; feature pyramid loses signal on ~20px objects.</w:t>
      </w:r>
    </w:p>
    <w:p>
      <w:pPr>
        <w:pStyle w:val="ListParagraph"/>
        <w:numPr>
          <w:ilvl w:val="0"/>
          <w:numId w:val="1"/>
        </w:numPr>
        <w:spacing w:after="40"/>
      </w:pPr>
      <w:r>
        <w:rPr>
          <w:sz w:val="20"/>
          <w:szCs w:val="20"/>
        </w:rPr>
        <w:t xml:space="preserve">Hardhat vs. NO-Hardhat confusion under partial occlusion — the diagnostic region (dome/brim) is hidden; a genuinely hard case, not a bug.</w:t>
      </w:r>
    </w:p>
    <w:p>
      <w:pPr>
        <w:pStyle w:val="ListParagraph"/>
        <w:numPr>
          <w:ilvl w:val="0"/>
          <w:numId w:val="1"/>
        </w:numPr>
        <w:spacing w:after="40"/>
      </w:pPr>
      <w:r>
        <w:rPr>
          <w:sz w:val="20"/>
          <w:szCs w:val="20"/>
        </w:rPr>
        <w:t xml:space="preserve">Motion blur on moving workers — confidence drops below threshold on frames pulled from video-clip sequences.</w:t>
      </w:r>
    </w:p>
    <w:p>
      <w:pPr>
        <w:pStyle w:val="ListParagraph"/>
        <w:numPr>
          <w:ilvl w:val="0"/>
          <w:numId w:val="1"/>
        </w:numPr>
        <w:spacing w:after="40"/>
      </w:pPr>
      <w:r>
        <w:rPr>
          <w:sz w:val="20"/>
          <w:szCs w:val="20"/>
        </w:rPr>
        <w:t xml:space="preserve">Lighting extremes (backlighting / harsh shadow) — vest-color cue degrades, producing false NO-Safety-Vest calls.</w:t>
      </w:r>
    </w:p>
    <w:p>
      <w:pPr>
        <w:pStyle w:val="ListParagraph"/>
        <w:numPr>
          <w:ilvl w:val="0"/>
          <w:numId w:val="1"/>
        </w:numPr>
        <w:spacing w:after="40"/>
      </w:pPr>
      <w:r>
        <w:rPr>
          <w:sz w:val="20"/>
          <w:szCs w:val="20"/>
        </w:rPr>
        <w:t xml:space="preserve">Person false positives on cluttered backgrounds — person-shaped scaffolding/material stacks on busy sites; Person's decision boundary is looser due to its larger, more varied training set.</w:t>
      </w:r>
    </w:p>
    <w:p>
      <w:pPr>
        <w:spacing w:after="80"/>
      </w:pPr>
      <w:r>
        <w:rPr>
          <w:sz w:val="20"/>
          <w:szCs w:val="20"/>
        </w:rPr>
        <w:t xml:space="preserve">Root-cause detail, one real crop per case, and the concrete fix considered for each is in docs/failure_cases.md.</w:t>
      </w:r>
    </w:p>
    <w:p>
      <w:pPr>
        <w:pStyle w:val="Heading1"/>
        <w:spacing w:after="80" w:before="200"/>
      </w:pPr>
      <w:r>
        <w:t xml:space="preserve">5. Part B — reasoning layer routing logic</w:t>
      </w:r>
    </w:p>
    <w:p>
      <w:pPr>
        <w:spacing w:after="80"/>
      </w:pPr>
      <w:r>
        <w:rPr>
          <w:sz w:val="20"/>
          <w:szCs w:val="20"/>
        </w:rPr>
        <w:t xml:space="preserve">api/reasoning.py implements three hand-written stages, no framework: classify_intent() decides whether a question needs the detector at all; reason_over_detections() deterministically aggregates raw boxes into counts (no LLM involved); apply_guardrail() decides confidence in code, before any LLM call, based on the aggregated evidence. The LLM is only ever used for the final sentence, and only ever sees the aggregated counts — never the raw image or box list — so it cannot introduce facts the guardrail hasn't already validated.</w:t>
      </w:r>
    </w:p>
    <w:p>
      <w:pPr>
        <w:spacing w:after="80"/>
      </w:pPr>
      <w:r>
        <w:rPr>
          <w:sz w:val="20"/>
          <w:szCs w:val="20"/>
        </w:rPr>
        <w:t xml:space="preserve">Routing priority (deliberate, in this order): (a) textbook-knowledge phrasing (“usually”/“why is”) with no reference to “this image” skips the detector entirely; (b) a question about a visual attribute outside the 5-class taxonomy (footwear, color, age, brand, …) is flagged out-of-taxonomy even if it also happens to mention a covered concept like “person” — the attribute actually being asked about decides the outcome, not an incidental keyword match; (c) a question naming a covered concept (hardhat/vest/person) calls the detector normally.</w:t>
      </w:r>
    </w:p>
    <w:p>
      <w:pPr>
        <w:spacing w:after="80"/>
      </w:pPr>
      <w:r>
        <w:rPr>
          <w:sz w:val="20"/>
          <w:szCs w:val="20"/>
        </w:rPr>
        <w:t xml:space="preserve">Worked “insufficient information” example: the question </w:t>
      </w:r>
      <w:r>
        <w:rPr>
          <w:b/>
          <w:bCs/>
          <w:color w:val="C00000"/>
          <w:sz w:val="20"/>
          <w:szCs w:val="20"/>
        </w:rPr>
        <w:t xml:space="preserve">[[FILL IN: exact question text used in the demo]]</w:t>
      </w:r>
      <w:r>
        <w:rPr>
          <w:sz w:val="20"/>
          <w:szCs w:val="20"/>
        </w:rPr>
        <w:t xml:space="preserve"> was asked against a deliberately blurred/underexposed image from the failure-case set. The detector returned </w:t>
      </w:r>
    </w:p>
    <w:p>
      <w:pPr>
        <w:spacing w:after="80"/>
      </w:pPr>
      <w:r>
        <w:rPr>
          <w:sz w:val="20"/>
          <w:szCs w:val="20"/>
        </w:rPr>
        <w:t xml:space="preserve"/>
      </w:r>
      <w:r>
        <w:rPr>
          <w:b/>
          <w:bCs/>
          <w:color w:val="C00000"/>
          <w:sz w:val="20"/>
          <w:szCs w:val="20"/>
        </w:rPr>
        <w:t xml:space="preserve">[[FILL IN: N detections at mean confidence C]]</w:t>
      </w:r>
      <w:r>
        <w:rPr>
          <w:sz w:val="20"/>
          <w:szCs w:val="20"/>
        </w:rPr>
        <w:t xml:space="preserve">, below the API's 0.40 minimum-confidence threshold, so apply_guardrail() returned confidence="insufficient" with reason_code="detections_below_confidence_threshold" — the API responded with an explicit refusal rather than a guess. (A second, code-level example — an out-of-taxonomy question about footwear — is shown in README.md §7 and is fully deterministic, no live demo required.)</w:t>
      </w:r>
    </w:p>
    <w:p>
      <w:pPr>
        <w:pStyle w:val="Heading1"/>
        <w:spacing w:after="80" w:before="200"/>
      </w:pPr>
      <w:r>
        <w:t xml:space="preserve">6. Reproducibility</w:t>
      </w:r>
    </w:p>
    <w:p>
      <w:pPr>
        <w:spacing w:after="80"/>
      </w:pPr>
      <w:r>
        <w:rPr>
          <w:sz w:val="20"/>
          <w:szCs w:val="20"/>
        </w:rPr>
        <w:t xml:space="preserve">Hardware: </w:t>
      </w:r>
      <w:r>
        <w:rPr>
          <w:b/>
          <w:bCs/>
          <w:color w:val="C00000"/>
          <w:sz w:val="20"/>
          <w:szCs w:val="20"/>
        </w:rPr>
        <w:t xml:space="preserve">[[FILL IN: e.g. 1x NVIDIA T4, Colab Pro, 16GB VRAM]]</w:t>
      </w:r>
      <w:r>
        <w:rPr>
          <w:sz w:val="20"/>
          <w:szCs w:val="20"/>
        </w:rPr>
        <w:t xml:space="preserve"/>
      </w:r>
    </w:p>
    <w:p>
      <w:pPr>
        <w:spacing w:after="80"/>
      </w:pPr>
      <w:r>
        <w:rPr>
          <w:sz w:val="20"/>
          <w:szCs w:val="20"/>
        </w:rPr>
        <w:t xml:space="preserve">Training time: </w:t>
      </w:r>
      <w:r>
        <w:rPr>
          <w:b/>
          <w:bCs/>
          <w:color w:val="C00000"/>
          <w:sz w:val="20"/>
          <w:szCs w:val="20"/>
        </w:rPr>
        <w:t xml:space="preserve">[[FILL IN: e.g. 2.3 hours for 80 epochs]]</w:t>
      </w:r>
      <w:r>
        <w:rPr>
          <w:sz w:val="20"/>
          <w:szCs w:val="20"/>
        </w:rPr>
        <w:t xml:space="preserve"/>
      </w:r>
    </w:p>
    <w:p>
      <w:pPr>
        <w:spacing w:after="80"/>
      </w:pPr>
      <w:r>
        <w:rPr>
          <w:sz w:val="20"/>
          <w:szCs w:val="20"/>
        </w:rPr>
        <w:t xml:space="preserve">Exact hyperparameters, environment, and git commit are written automatically to runs/ppe/&lt;name&gt;/run_manifest.json by src/train.py on every run — see README.md §6 for the exact reproduction commands.</w:t>
      </w:r>
    </w:p>
    <w:p>
      <w:pPr>
        <w:pStyle w:val="Heading1"/>
        <w:spacing w:after="80" w:before="200"/>
      </w:pPr>
      <w:r>
        <w:t xml:space="preserve">7. Mid-project pivots</w:t>
      </w:r>
    </w:p>
    <w:p>
      <w:pPr>
        <w:spacing w:after="80"/>
      </w:pPr>
      <w:r>
        <w:rPr>
          <w:sz w:val="20"/>
          <w:szCs w:val="20"/>
        </w:rPr>
        <w:t xml:space="preserve"/>
      </w:r>
      <w:r>
        <w:rPr>
          <w:b/>
          <w:bCs/>
          <w:color w:val="C00000"/>
          <w:sz w:val="20"/>
          <w:szCs w:val="20"/>
        </w:rPr>
        <w:t xml:space="preserve">[[FILL IN: note anything you tried first and changed — e.g. an initial class list, a different base dataset, or a different split ratio — and briefly why. Leave this section out entirely if nothing changed; an empty pivot section is fine and is not penalized per the problem statement.]]</w:t>
      </w:r>
      <w:r>
        <w:rPr>
          <w:sz w:val="20"/>
          <w:szCs w:val="20"/>
        </w:rPr>
        <w:t xml:space="preserve"/>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2026-09-11T04:48:52.317Z</dcterms:created>
  <dcterms:modified xsi:type="dcterms:W3CDTF">2026-09-11T04:48:52.327Z</dcterms:modified>
</cp:coreProperties>
</file>

<file path=docProps/custom.xml><?xml version="1.0" encoding="utf-8"?>
<Properties xmlns="http://schemas.openxmlformats.org/officeDocument/2006/custom-properties" xmlns:vt="http://schemas.openxmlformats.org/officeDocument/2006/docPropsVTypes"/>
</file>