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0888" w:rsidP="349AA25F" w:rsidRDefault="00EE0888" w14:paraId="6ACEEC61" w14:textId="5B4D7F0D">
      <w:pPr>
        <w:rPr>
          <w:b w:val="1"/>
          <w:bCs w:val="1"/>
          <w:sz w:val="28"/>
          <w:szCs w:val="28"/>
          <w:u w:val="single"/>
        </w:rPr>
      </w:pPr>
      <w:r w:rsidRPr="349AA25F" w:rsidR="00EE0888">
        <w:rPr>
          <w:b w:val="1"/>
          <w:bCs w:val="1"/>
          <w:sz w:val="28"/>
          <w:szCs w:val="28"/>
          <w:u w:val="single"/>
        </w:rPr>
        <w:t xml:space="preserve">ADSR Envelope Timing Verification </w:t>
      </w:r>
      <w:r w:rsidRPr="349AA25F" w:rsidR="385DAC6E">
        <w:rPr>
          <w:b w:val="1"/>
          <w:bCs w:val="1"/>
          <w:sz w:val="28"/>
          <w:szCs w:val="28"/>
          <w:u w:val="single"/>
        </w:rPr>
        <w:t xml:space="preserve">Test </w:t>
      </w:r>
      <w:r w:rsidRPr="349AA25F" w:rsidR="00EE0888">
        <w:rPr>
          <w:b w:val="1"/>
          <w:bCs w:val="1"/>
          <w:sz w:val="28"/>
          <w:szCs w:val="28"/>
          <w:u w:val="single"/>
        </w:rPr>
        <w:t>Protocol</w:t>
      </w:r>
    </w:p>
    <w:p w:rsidR="137E92DF" w:rsidP="349AA25F" w:rsidRDefault="137E92DF" w14:paraId="306094A9" w14:textId="4B2D0944">
      <w:pPr>
        <w:rPr>
          <w:b w:val="0"/>
          <w:bCs w:val="0"/>
          <w:sz w:val="24"/>
          <w:szCs w:val="24"/>
          <w:u w:val="none"/>
        </w:rPr>
      </w:pPr>
      <w:r w:rsidRPr="349AA25F" w:rsidR="137E92DF">
        <w:rPr>
          <w:b w:val="0"/>
          <w:bCs w:val="0"/>
          <w:sz w:val="24"/>
          <w:szCs w:val="24"/>
          <w:u w:val="none"/>
        </w:rPr>
        <w:t>Date: 15/03/26</w:t>
      </w:r>
      <w:r>
        <w:br/>
      </w:r>
    </w:p>
    <w:p w:rsidRPr="00EE0888" w:rsidR="00EE0888" w:rsidP="00EE0888" w:rsidRDefault="00EE0888" w14:paraId="2881AF31" w14:textId="77777777">
      <w:pPr>
        <w:rPr>
          <w:sz w:val="24"/>
          <w:szCs w:val="24"/>
        </w:rPr>
      </w:pPr>
      <w:r w:rsidRPr="00EE0888">
        <w:rPr>
          <w:sz w:val="24"/>
          <w:szCs w:val="24"/>
        </w:rPr>
        <w:t>1. Purpose</w:t>
      </w:r>
    </w:p>
    <w:p w:rsidRPr="00EE0888" w:rsidR="00EE0888" w:rsidP="00EE0888" w:rsidRDefault="00EE0888" w14:paraId="122AB1C3" w14:textId="77777777">
      <w:pPr>
        <w:rPr>
          <w:sz w:val="24"/>
          <w:szCs w:val="24"/>
        </w:rPr>
      </w:pPr>
      <w:r w:rsidRPr="00EE0888">
        <w:rPr>
          <w:sz w:val="24"/>
          <w:szCs w:val="24"/>
        </w:rPr>
        <w:t>The purpose of this verification test is to confirm that the ADSR (Attack, Decay, Sustain, Release) envelope generator produces timing characteristics that meet the design specifications. The test measures the duration of each envelope stage to ensure the system performs within acceptable tolerance levels.</w:t>
      </w:r>
    </w:p>
    <w:p w:rsidRPr="00EE0888" w:rsidR="00EE0888" w:rsidP="00EE0888" w:rsidRDefault="00EE0888" w14:paraId="0AF239D8" w14:textId="3A368FC5">
      <w:pPr>
        <w:rPr>
          <w:sz w:val="24"/>
          <w:szCs w:val="24"/>
        </w:rPr>
      </w:pPr>
    </w:p>
    <w:p w:rsidRPr="00EE0888" w:rsidR="00EE0888" w:rsidP="00EE0888" w:rsidRDefault="00EE0888" w14:paraId="09A1C932" w14:textId="77777777">
      <w:pPr>
        <w:rPr>
          <w:sz w:val="24"/>
          <w:szCs w:val="24"/>
        </w:rPr>
      </w:pPr>
      <w:r w:rsidRPr="00EE0888">
        <w:rPr>
          <w:sz w:val="24"/>
          <w:szCs w:val="24"/>
        </w:rPr>
        <w:t>2. Test Objective</w:t>
      </w:r>
    </w:p>
    <w:p w:rsidRPr="00EE0888" w:rsidR="00EE0888" w:rsidP="00EE0888" w:rsidRDefault="00EE0888" w14:paraId="1EB03FB5" w14:textId="0F45B574">
      <w:pPr>
        <w:rPr>
          <w:sz w:val="24"/>
          <w:szCs w:val="24"/>
        </w:rPr>
      </w:pPr>
      <w:r w:rsidRPr="00EE0888">
        <w:rPr>
          <w:sz w:val="24"/>
          <w:szCs w:val="24"/>
        </w:rPr>
        <w:t xml:space="preserve">To verify that the attack, decay, sustain, and release stages of the envelope generator operate within </w:t>
      </w:r>
      <w:r w:rsidR="002C3446">
        <w:rPr>
          <w:sz w:val="24"/>
          <w:szCs w:val="24"/>
        </w:rPr>
        <w:t xml:space="preserve">+ or - </w:t>
      </w:r>
      <w:r w:rsidRPr="00EE0888">
        <w:rPr>
          <w:sz w:val="24"/>
          <w:szCs w:val="24"/>
        </w:rPr>
        <w:t>10% of the target timing values defined in the system specifications.</w:t>
      </w:r>
    </w:p>
    <w:p w:rsidRPr="00EE0888" w:rsidR="00EE0888" w:rsidP="00EE0888" w:rsidRDefault="00EE0888" w14:paraId="6A88D399" w14:textId="5A365B3F">
      <w:pPr>
        <w:rPr>
          <w:sz w:val="24"/>
          <w:szCs w:val="24"/>
        </w:rPr>
      </w:pPr>
    </w:p>
    <w:p w:rsidRPr="00EE0888" w:rsidR="00EE0888" w:rsidP="00EE0888" w:rsidRDefault="00EE0888" w14:paraId="1E2A9469" w14:textId="77777777">
      <w:pPr>
        <w:rPr>
          <w:sz w:val="24"/>
          <w:szCs w:val="24"/>
        </w:rPr>
      </w:pPr>
      <w:r w:rsidRPr="00EE0888">
        <w:rPr>
          <w:sz w:val="24"/>
          <w:szCs w:val="24"/>
        </w:rPr>
        <w:t>3. Equipment Required</w:t>
      </w:r>
    </w:p>
    <w:p w:rsidRPr="00EE0888" w:rsidR="00EE0888" w:rsidP="00EE0888" w:rsidRDefault="00EE0888" w14:paraId="628C5556" w14:textId="77777777">
      <w:pPr>
        <w:numPr>
          <w:ilvl w:val="0"/>
          <w:numId w:val="1"/>
        </w:numPr>
        <w:rPr>
          <w:sz w:val="24"/>
          <w:szCs w:val="24"/>
        </w:rPr>
      </w:pPr>
      <w:r w:rsidRPr="00EE0888">
        <w:rPr>
          <w:sz w:val="24"/>
          <w:szCs w:val="24"/>
        </w:rPr>
        <w:t>Digital oscilloscope</w:t>
      </w:r>
    </w:p>
    <w:p w:rsidRPr="00EE0888" w:rsidR="00EE0888" w:rsidP="00EE0888" w:rsidRDefault="00EE0888" w14:paraId="3CB2B23D" w14:textId="2F65D0A5">
      <w:pPr>
        <w:numPr>
          <w:ilvl w:val="0"/>
          <w:numId w:val="1"/>
        </w:numPr>
        <w:rPr>
          <w:sz w:val="24"/>
          <w:szCs w:val="24"/>
        </w:rPr>
      </w:pPr>
      <w:r>
        <w:rPr>
          <w:sz w:val="24"/>
          <w:szCs w:val="24"/>
        </w:rPr>
        <w:t>G</w:t>
      </w:r>
      <w:r w:rsidRPr="00EE0888">
        <w:rPr>
          <w:sz w:val="24"/>
          <w:szCs w:val="24"/>
        </w:rPr>
        <w:t>ate trigger</w:t>
      </w:r>
    </w:p>
    <w:p w:rsidRPr="00EE0888" w:rsidR="00EE0888" w:rsidP="00EE0888" w:rsidRDefault="00EE0888" w14:paraId="2E6C9A83" w14:textId="77777777">
      <w:pPr>
        <w:numPr>
          <w:ilvl w:val="0"/>
          <w:numId w:val="1"/>
        </w:numPr>
        <w:rPr>
          <w:sz w:val="24"/>
          <w:szCs w:val="24"/>
        </w:rPr>
      </w:pPr>
      <w:r w:rsidRPr="00EE0888">
        <w:rPr>
          <w:sz w:val="24"/>
          <w:szCs w:val="24"/>
        </w:rPr>
        <w:t>ADSR envelope generator circuit</w:t>
      </w:r>
    </w:p>
    <w:p w:rsidRPr="00EE0888" w:rsidR="00EE0888" w:rsidP="00EE0888" w:rsidRDefault="00EE0888" w14:paraId="177070F4" w14:textId="77777777">
      <w:pPr>
        <w:numPr>
          <w:ilvl w:val="0"/>
          <w:numId w:val="1"/>
        </w:numPr>
        <w:rPr>
          <w:sz w:val="24"/>
          <w:szCs w:val="24"/>
        </w:rPr>
      </w:pPr>
      <w:r w:rsidRPr="00EE0888">
        <w:rPr>
          <w:sz w:val="24"/>
          <w:szCs w:val="24"/>
        </w:rPr>
        <w:t>Stable DC power supply</w:t>
      </w:r>
    </w:p>
    <w:p w:rsidRPr="00EE0888" w:rsidR="00EE0888" w:rsidP="00EE0888" w:rsidRDefault="00EE0888" w14:paraId="4FAA008E" w14:textId="77777777">
      <w:pPr>
        <w:numPr>
          <w:ilvl w:val="0"/>
          <w:numId w:val="1"/>
        </w:numPr>
        <w:rPr>
          <w:sz w:val="24"/>
          <w:szCs w:val="24"/>
        </w:rPr>
      </w:pPr>
      <w:r w:rsidRPr="00EE0888">
        <w:rPr>
          <w:sz w:val="24"/>
          <w:szCs w:val="24"/>
        </w:rPr>
        <w:t>Oscilloscope probes</w:t>
      </w:r>
    </w:p>
    <w:p w:rsidRPr="00EE0888" w:rsidR="00EE0888" w:rsidP="00EE0888" w:rsidRDefault="00EE0888" w14:paraId="47E41F1A" w14:textId="72576231">
      <w:pPr>
        <w:rPr>
          <w:sz w:val="24"/>
          <w:szCs w:val="24"/>
        </w:rPr>
      </w:pPr>
    </w:p>
    <w:p w:rsidRPr="00EE0888" w:rsidR="00EE0888" w:rsidP="00EE0888" w:rsidRDefault="00EE0888" w14:paraId="158A0848" w14:textId="77777777">
      <w:pPr>
        <w:rPr>
          <w:sz w:val="24"/>
          <w:szCs w:val="24"/>
        </w:rPr>
      </w:pPr>
      <w:r w:rsidRPr="00EE0888">
        <w:rPr>
          <w:sz w:val="24"/>
          <w:szCs w:val="24"/>
        </w:rPr>
        <w:t>4. Test Setup</w:t>
      </w:r>
    </w:p>
    <w:p w:rsidRPr="00EE0888" w:rsidR="00EE0888" w:rsidP="00EE0888" w:rsidRDefault="00EE0888" w14:paraId="6B6C71D8" w14:textId="77777777">
      <w:pPr>
        <w:numPr>
          <w:ilvl w:val="0"/>
          <w:numId w:val="2"/>
        </w:numPr>
        <w:rPr>
          <w:sz w:val="24"/>
          <w:szCs w:val="24"/>
        </w:rPr>
      </w:pPr>
      <w:r w:rsidRPr="00EE0888">
        <w:rPr>
          <w:sz w:val="24"/>
          <w:szCs w:val="24"/>
        </w:rPr>
        <w:t>Connect the ADSR circuit to the power supply.</w:t>
      </w:r>
    </w:p>
    <w:p w:rsidRPr="00EE0888" w:rsidR="00EE0888" w:rsidP="00EE0888" w:rsidRDefault="00EE0888" w14:paraId="3A585472" w14:textId="77777777">
      <w:pPr>
        <w:numPr>
          <w:ilvl w:val="0"/>
          <w:numId w:val="2"/>
        </w:numPr>
        <w:rPr>
          <w:sz w:val="24"/>
          <w:szCs w:val="24"/>
        </w:rPr>
      </w:pPr>
      <w:r w:rsidRPr="00EE0888">
        <w:rPr>
          <w:sz w:val="24"/>
          <w:szCs w:val="24"/>
        </w:rPr>
        <w:t>Connect the oscilloscope probe to the envelope output signal.</w:t>
      </w:r>
    </w:p>
    <w:p w:rsidRPr="00EE0888" w:rsidR="00EE0888" w:rsidP="00EE0888" w:rsidRDefault="00EE0888" w14:paraId="69AC5F52" w14:textId="7E43E022">
      <w:pPr>
        <w:numPr>
          <w:ilvl w:val="0"/>
          <w:numId w:val="2"/>
        </w:numPr>
        <w:rPr>
          <w:sz w:val="24"/>
          <w:szCs w:val="24"/>
        </w:rPr>
      </w:pPr>
      <w:r w:rsidRPr="00EE0888">
        <w:rPr>
          <w:sz w:val="24"/>
          <w:szCs w:val="24"/>
        </w:rPr>
        <w:t xml:space="preserve">Use the </w:t>
      </w:r>
      <w:r>
        <w:rPr>
          <w:sz w:val="24"/>
          <w:szCs w:val="24"/>
        </w:rPr>
        <w:t xml:space="preserve"> </w:t>
      </w:r>
      <w:r w:rsidRPr="00EE0888">
        <w:rPr>
          <w:sz w:val="24"/>
          <w:szCs w:val="24"/>
        </w:rPr>
        <w:t>gate signal to trigger the envelope generator.</w:t>
      </w:r>
    </w:p>
    <w:p w:rsidRPr="00EE0888" w:rsidR="00EE0888" w:rsidP="00EE0888" w:rsidRDefault="00EE0888" w14:paraId="14D1B8B0" w14:textId="77777777">
      <w:pPr>
        <w:numPr>
          <w:ilvl w:val="0"/>
          <w:numId w:val="2"/>
        </w:numPr>
        <w:rPr>
          <w:sz w:val="24"/>
          <w:szCs w:val="24"/>
        </w:rPr>
      </w:pPr>
      <w:r w:rsidRPr="00EE0888">
        <w:rPr>
          <w:sz w:val="24"/>
          <w:szCs w:val="24"/>
        </w:rPr>
        <w:t>Configure the oscilloscope to capture the full envelope waveform.</w:t>
      </w:r>
    </w:p>
    <w:p w:rsidRPr="00EE0888" w:rsidR="00EE0888" w:rsidP="00EE0888" w:rsidRDefault="00EE0888" w14:paraId="4CA700FE" w14:textId="1D5ED7A1">
      <w:pPr>
        <w:rPr>
          <w:sz w:val="24"/>
          <w:szCs w:val="24"/>
        </w:rPr>
      </w:pPr>
    </w:p>
    <w:p w:rsidRPr="00EE0888" w:rsidR="00EE0888" w:rsidP="00EE0888" w:rsidRDefault="00EE0888" w14:paraId="3DDDEDEF" w14:textId="77777777">
      <w:pPr>
        <w:rPr>
          <w:sz w:val="24"/>
          <w:szCs w:val="24"/>
        </w:rPr>
      </w:pPr>
      <w:r w:rsidRPr="00EE0888">
        <w:rPr>
          <w:sz w:val="24"/>
          <w:szCs w:val="24"/>
        </w:rPr>
        <w:t>5. Test Procedure</w:t>
      </w:r>
    </w:p>
    <w:p w:rsidRPr="00EE0888" w:rsidR="00EE0888" w:rsidP="00EE0888" w:rsidRDefault="00EE0888" w14:paraId="05FDC59E" w14:textId="77777777">
      <w:pPr>
        <w:numPr>
          <w:ilvl w:val="0"/>
          <w:numId w:val="3"/>
        </w:numPr>
        <w:rPr>
          <w:sz w:val="24"/>
          <w:szCs w:val="24"/>
        </w:rPr>
      </w:pPr>
      <w:r w:rsidRPr="00EE0888">
        <w:rPr>
          <w:sz w:val="24"/>
          <w:szCs w:val="24"/>
        </w:rPr>
        <w:t>Apply a gate signal to trigger the envelope generator.</w:t>
      </w:r>
    </w:p>
    <w:p w:rsidRPr="00EE0888" w:rsidR="00EE0888" w:rsidP="00EE0888" w:rsidRDefault="00EE0888" w14:paraId="7392DF10" w14:textId="77777777">
      <w:pPr>
        <w:numPr>
          <w:ilvl w:val="0"/>
          <w:numId w:val="3"/>
        </w:numPr>
        <w:rPr>
          <w:sz w:val="24"/>
          <w:szCs w:val="24"/>
        </w:rPr>
      </w:pPr>
      <w:r w:rsidRPr="00EE0888">
        <w:rPr>
          <w:sz w:val="24"/>
          <w:szCs w:val="24"/>
        </w:rPr>
        <w:t>Observe the envelope waveform on the oscilloscope.</w:t>
      </w:r>
    </w:p>
    <w:p w:rsidRPr="00EE0888" w:rsidR="00EE0888" w:rsidP="00EE0888" w:rsidRDefault="00EE0888" w14:paraId="64847081" w14:textId="77777777">
      <w:pPr>
        <w:numPr>
          <w:ilvl w:val="0"/>
          <w:numId w:val="3"/>
        </w:numPr>
        <w:rPr>
          <w:sz w:val="24"/>
          <w:szCs w:val="24"/>
        </w:rPr>
      </w:pPr>
      <w:r w:rsidRPr="00EE0888">
        <w:rPr>
          <w:sz w:val="24"/>
          <w:szCs w:val="24"/>
        </w:rPr>
        <w:t>Measure the attack time from 0V to the peak voltage.</w:t>
      </w:r>
    </w:p>
    <w:p w:rsidRPr="00EE0888" w:rsidR="00EE0888" w:rsidP="00EE0888" w:rsidRDefault="00EE0888" w14:paraId="47DD0344" w14:textId="77777777">
      <w:pPr>
        <w:numPr>
          <w:ilvl w:val="0"/>
          <w:numId w:val="3"/>
        </w:numPr>
        <w:rPr>
          <w:sz w:val="24"/>
          <w:szCs w:val="24"/>
        </w:rPr>
      </w:pPr>
      <w:r w:rsidRPr="00EE0888">
        <w:rPr>
          <w:sz w:val="24"/>
          <w:szCs w:val="24"/>
        </w:rPr>
        <w:t>Measure the decay time from the peak voltage to the sustain level.</w:t>
      </w:r>
    </w:p>
    <w:p w:rsidRPr="00EE0888" w:rsidR="00EE0888" w:rsidP="00EE0888" w:rsidRDefault="00EE0888" w14:paraId="04D331F5" w14:textId="77777777">
      <w:pPr>
        <w:numPr>
          <w:ilvl w:val="0"/>
          <w:numId w:val="3"/>
        </w:numPr>
        <w:rPr>
          <w:sz w:val="24"/>
          <w:szCs w:val="24"/>
        </w:rPr>
      </w:pPr>
      <w:r w:rsidRPr="00EE0888">
        <w:rPr>
          <w:sz w:val="24"/>
          <w:szCs w:val="24"/>
        </w:rPr>
        <w:t>Maintain the gate signal and verify the sustain voltage remains stable.</w:t>
      </w:r>
    </w:p>
    <w:p w:rsidRPr="00EE0888" w:rsidR="00EE0888" w:rsidP="00EE0888" w:rsidRDefault="00EE0888" w14:paraId="353026D9" w14:textId="77777777">
      <w:pPr>
        <w:numPr>
          <w:ilvl w:val="0"/>
          <w:numId w:val="3"/>
        </w:numPr>
        <w:rPr>
          <w:sz w:val="24"/>
          <w:szCs w:val="24"/>
        </w:rPr>
      </w:pPr>
      <w:r w:rsidRPr="00EE0888">
        <w:rPr>
          <w:sz w:val="24"/>
          <w:szCs w:val="24"/>
        </w:rPr>
        <w:lastRenderedPageBreak/>
        <w:t>Remove the gate signal and measure the release time until the output returns to 0V.</w:t>
      </w:r>
    </w:p>
    <w:p w:rsidRPr="00EE0888" w:rsidR="00EE0888" w:rsidP="00EE0888" w:rsidRDefault="00EE0888" w14:paraId="134F1812" w14:textId="77777777">
      <w:pPr>
        <w:numPr>
          <w:ilvl w:val="0"/>
          <w:numId w:val="3"/>
        </w:numPr>
        <w:rPr>
          <w:sz w:val="24"/>
          <w:szCs w:val="24"/>
        </w:rPr>
      </w:pPr>
      <w:r w:rsidRPr="00EE0888">
        <w:rPr>
          <w:sz w:val="24"/>
          <w:szCs w:val="24"/>
        </w:rPr>
        <w:t>Repeat the measurement three times to ensure repeatability.</w:t>
      </w:r>
    </w:p>
    <w:p w:rsidRPr="00EE0888" w:rsidR="00EE0888" w:rsidP="00EE0888" w:rsidRDefault="00EE0888" w14:paraId="5C5B17B8" w14:textId="5A830FA2">
      <w:pPr>
        <w:rPr>
          <w:sz w:val="24"/>
          <w:szCs w:val="24"/>
        </w:rPr>
      </w:pPr>
    </w:p>
    <w:p w:rsidRPr="00EE0888" w:rsidR="00EE0888" w:rsidP="00EE0888" w:rsidRDefault="00EE0888" w14:paraId="2DA9DBFD" w14:textId="77777777">
      <w:pPr>
        <w:rPr>
          <w:sz w:val="24"/>
          <w:szCs w:val="24"/>
        </w:rPr>
      </w:pPr>
      <w:r w:rsidRPr="00EE0888">
        <w:rPr>
          <w:sz w:val="24"/>
          <w:szCs w:val="24"/>
        </w:rPr>
        <w:t>6. Acceptance Criteria</w:t>
      </w:r>
    </w:p>
    <w:p w:rsidRPr="00EE0888" w:rsidR="00EE0888" w:rsidP="00EE0888" w:rsidRDefault="00EE0888" w14:paraId="68695332" w14:textId="159FE201">
      <w:pPr>
        <w:rPr>
          <w:sz w:val="24"/>
          <w:szCs w:val="24"/>
        </w:rPr>
      </w:pPr>
      <w:r w:rsidRPr="00EE0888">
        <w:rPr>
          <w:sz w:val="24"/>
          <w:szCs w:val="24"/>
        </w:rPr>
        <w:t xml:space="preserve">The measured timing values for attack, decay, and release must fall within </w:t>
      </w:r>
      <w:r w:rsidR="002C3446">
        <w:rPr>
          <w:sz w:val="24"/>
          <w:szCs w:val="24"/>
        </w:rPr>
        <w:t xml:space="preserve">+ or - </w:t>
      </w:r>
      <w:r w:rsidRPr="00EE0888">
        <w:rPr>
          <w:sz w:val="24"/>
          <w:szCs w:val="24"/>
        </w:rPr>
        <w:t>10% of the design specification. The sustain stage must maintain a stable voltage level during the gate signal.</w:t>
      </w:r>
    </w:p>
    <w:p w:rsidRPr="00EE0888" w:rsidR="00EE0888" w:rsidRDefault="00EE0888" w14:paraId="672E171D" w14:textId="77777777">
      <w:pPr>
        <w:rPr>
          <w:b/>
          <w:bCs/>
          <w:sz w:val="28"/>
          <w:szCs w:val="28"/>
          <w:u w:val="single"/>
        </w:rPr>
      </w:pPr>
    </w:p>
    <w:sectPr w:rsidRPr="00EE0888" w:rsidR="00EE0888">
      <w:head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303F" w:rsidP="00F65C93" w:rsidRDefault="002A303F" w14:paraId="1490F20C" w14:textId="77777777">
      <w:pPr>
        <w:spacing w:after="0" w:line="240" w:lineRule="auto"/>
      </w:pPr>
      <w:r>
        <w:separator/>
      </w:r>
    </w:p>
  </w:endnote>
  <w:endnote w:type="continuationSeparator" w:id="0">
    <w:p w:rsidR="002A303F" w:rsidP="00F65C93" w:rsidRDefault="002A303F" w14:paraId="50831D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303F" w:rsidP="00F65C93" w:rsidRDefault="002A303F" w14:paraId="29D8F8A5" w14:textId="77777777">
      <w:pPr>
        <w:spacing w:after="0" w:line="240" w:lineRule="auto"/>
      </w:pPr>
      <w:r>
        <w:separator/>
      </w:r>
    </w:p>
  </w:footnote>
  <w:footnote w:type="continuationSeparator" w:id="0">
    <w:p w:rsidR="002A303F" w:rsidP="00F65C93" w:rsidRDefault="002A303F" w14:paraId="1DD6AC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65C93" w:rsidR="00F65C93" w:rsidP="00F65C93" w:rsidRDefault="00F65C93" w14:paraId="7A7D76EE" w14:textId="77777777">
    <w:pPr>
      <w:spacing w:after="0" w:line="240" w:lineRule="auto"/>
      <w:rPr>
        <w:rFonts w:ascii="Calibri" w:hAnsi="Calibri" w:eastAsia="Times New Roman" w:cs="Calibri"/>
        <w:color w:val="000000"/>
        <w:kern w:val="0"/>
        <w:lang w:eastAsia="en-GB"/>
        <w14:ligatures w14:val="none"/>
      </w:rPr>
    </w:pPr>
    <w:r w:rsidRPr="00F65C93">
      <w:rPr>
        <w:rFonts w:ascii="Calibri" w:hAnsi="Calibri" w:eastAsia="Times New Roman" w:cs="Calibri"/>
        <w:color w:val="000000"/>
        <w:kern w:val="0"/>
        <w:lang w:eastAsia="en-GB"/>
        <w14:ligatures w14:val="none"/>
      </w:rPr>
      <w:t>jm3767,eckl21,jf2280,kce27,sps80,yll201</w:t>
    </w:r>
  </w:p>
  <w:p w:rsidR="00F65C93" w:rsidRDefault="00F65C93" w14:paraId="296DAEF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402F4"/>
    <w:multiLevelType w:val="multilevel"/>
    <w:tmpl w:val="EB06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CA719D"/>
    <w:multiLevelType w:val="multilevel"/>
    <w:tmpl w:val="DE20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C96B55"/>
    <w:multiLevelType w:val="multilevel"/>
    <w:tmpl w:val="BA96B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08380741">
    <w:abstractNumId w:val="2"/>
  </w:num>
  <w:num w:numId="2" w16cid:durableId="423458394">
    <w:abstractNumId w:val="1"/>
  </w:num>
  <w:num w:numId="3" w16cid:durableId="59613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88"/>
    <w:rsid w:val="002A303F"/>
    <w:rsid w:val="002C3446"/>
    <w:rsid w:val="00344EA0"/>
    <w:rsid w:val="00646300"/>
    <w:rsid w:val="00AC3ED6"/>
    <w:rsid w:val="00EE0888"/>
    <w:rsid w:val="00F65C93"/>
    <w:rsid w:val="137E92DF"/>
    <w:rsid w:val="349AA25F"/>
    <w:rsid w:val="385DAC6E"/>
    <w:rsid w:val="53BEA2E5"/>
    <w:rsid w:val="7F6A80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E9549"/>
  <w15:chartTrackingRefBased/>
  <w15:docId w15:val="{ED750476-1A8E-44AA-9E7C-B0981855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E08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8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8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08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E08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E08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E08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E08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E08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08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08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0888"/>
    <w:rPr>
      <w:rFonts w:eastAsiaTheme="majorEastAsia" w:cstheme="majorBidi"/>
      <w:color w:val="272727" w:themeColor="text1" w:themeTint="D8"/>
    </w:rPr>
  </w:style>
  <w:style w:type="paragraph" w:styleId="Title">
    <w:name w:val="Title"/>
    <w:basedOn w:val="Normal"/>
    <w:next w:val="Normal"/>
    <w:link w:val="TitleChar"/>
    <w:uiPriority w:val="10"/>
    <w:qFormat/>
    <w:rsid w:val="00EE08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08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08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888"/>
    <w:pPr>
      <w:spacing w:before="160"/>
      <w:jc w:val="center"/>
    </w:pPr>
    <w:rPr>
      <w:i/>
      <w:iCs/>
      <w:color w:val="404040" w:themeColor="text1" w:themeTint="BF"/>
    </w:rPr>
  </w:style>
  <w:style w:type="character" w:styleId="QuoteChar" w:customStyle="1">
    <w:name w:val="Quote Char"/>
    <w:basedOn w:val="DefaultParagraphFont"/>
    <w:link w:val="Quote"/>
    <w:uiPriority w:val="29"/>
    <w:rsid w:val="00EE0888"/>
    <w:rPr>
      <w:i/>
      <w:iCs/>
      <w:color w:val="404040" w:themeColor="text1" w:themeTint="BF"/>
    </w:rPr>
  </w:style>
  <w:style w:type="paragraph" w:styleId="ListParagraph">
    <w:name w:val="List Paragraph"/>
    <w:basedOn w:val="Normal"/>
    <w:uiPriority w:val="34"/>
    <w:qFormat/>
    <w:rsid w:val="00EE0888"/>
    <w:pPr>
      <w:ind w:left="720"/>
      <w:contextualSpacing/>
    </w:pPr>
  </w:style>
  <w:style w:type="character" w:styleId="IntenseEmphasis">
    <w:name w:val="Intense Emphasis"/>
    <w:basedOn w:val="DefaultParagraphFont"/>
    <w:uiPriority w:val="21"/>
    <w:qFormat/>
    <w:rsid w:val="00EE0888"/>
    <w:rPr>
      <w:i/>
      <w:iCs/>
      <w:color w:val="0F4761" w:themeColor="accent1" w:themeShade="BF"/>
    </w:rPr>
  </w:style>
  <w:style w:type="paragraph" w:styleId="IntenseQuote">
    <w:name w:val="Intense Quote"/>
    <w:basedOn w:val="Normal"/>
    <w:next w:val="Normal"/>
    <w:link w:val="IntenseQuoteChar"/>
    <w:uiPriority w:val="30"/>
    <w:qFormat/>
    <w:rsid w:val="00EE08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E0888"/>
    <w:rPr>
      <w:i/>
      <w:iCs/>
      <w:color w:val="0F4761" w:themeColor="accent1" w:themeShade="BF"/>
    </w:rPr>
  </w:style>
  <w:style w:type="character" w:styleId="IntenseReference">
    <w:name w:val="Intense Reference"/>
    <w:basedOn w:val="DefaultParagraphFont"/>
    <w:uiPriority w:val="32"/>
    <w:qFormat/>
    <w:rsid w:val="00EE0888"/>
    <w:rPr>
      <w:b/>
      <w:bCs/>
      <w:smallCaps/>
      <w:color w:val="0F4761" w:themeColor="accent1" w:themeShade="BF"/>
      <w:spacing w:val="5"/>
    </w:rPr>
  </w:style>
  <w:style w:type="paragraph" w:styleId="Header">
    <w:name w:val="header"/>
    <w:basedOn w:val="Normal"/>
    <w:link w:val="HeaderChar"/>
    <w:uiPriority w:val="99"/>
    <w:unhideWhenUsed/>
    <w:rsid w:val="00F65C93"/>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C93"/>
  </w:style>
  <w:style w:type="paragraph" w:styleId="Footer">
    <w:name w:val="footer"/>
    <w:basedOn w:val="Normal"/>
    <w:link w:val="FooterChar"/>
    <w:uiPriority w:val="99"/>
    <w:unhideWhenUsed/>
    <w:rsid w:val="00F65C93"/>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B242FB-9095-46B2-8D04-9A62D5D66CAD}"/>
</file>

<file path=customXml/itemProps2.xml><?xml version="1.0" encoding="utf-8"?>
<ds:datastoreItem xmlns:ds="http://schemas.openxmlformats.org/officeDocument/2006/customXml" ds:itemID="{C8E392D8-9F91-4C31-842F-D25D2DA84032}"/>
</file>

<file path=customXml/itemProps3.xml><?xml version="1.0" encoding="utf-8"?>
<ds:datastoreItem xmlns:ds="http://schemas.openxmlformats.org/officeDocument/2006/customXml" ds:itemID="{2E7C76C6-8918-4D83-BE70-D4D57A1230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Mathew</dc:creator>
  <keywords/>
  <dc:description/>
  <lastModifiedBy>Jindu Eze</lastModifiedBy>
  <revision>18</revision>
  <dcterms:created xsi:type="dcterms:W3CDTF">2026-03-15T00:58:00.0000000Z</dcterms:created>
  <dcterms:modified xsi:type="dcterms:W3CDTF">2026-04-04T12:42:44.7118804Z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