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fontTable.xml" ContentType="application/vnd.openxmlformats-officedocument.wordprocessingml.fontTable+xml"/>
  <Override PartName="/word/stylesWithEffects.xml" ContentType="application/vnd.ms-word.stylesWithEffects+xml"/>
  <Override PartName="/word/webSettings.xml" ContentType="application/vnd.openxmlformats-officedocument.wordprocessingml.webSettings+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cs="Calibri" w:eastAsia="Calibri"/>
          <w:b/>
          <w:i w:val="0"/>
          <w:color w:val="000000"/>
          <w:sz w:val="24"/>
        </w:rPr>
        <w:t>Test Protocol — Waveform Quality</w:t>
      </w:r>
    </w:p>
    <w:p>
      <w:pPr>
        <w:spacing w:before="0" w:after="200"/>
      </w:pPr>
      <w:r>
        <w:rPr>
          <w:rFonts w:ascii="Calibri" w:hAnsi="Calibri" w:cs="Calibri" w:eastAsia="Calibri"/>
          <w:b w:val="0"/>
          <w:i w:val="0"/>
          <w:color w:val="000000"/>
          <w:sz w:val="24"/>
        </w:rPr>
        <w:t>April 2026</w:t>
      </w:r>
    </w:p>
    <w:p>
      <w:pPr>
        <w:keepNext/>
        <w:spacing w:before="200" w:after="80"/>
      </w:pPr>
      <w:r>
        <w:rPr>
          <w:rFonts w:ascii="Calibri" w:hAnsi="Calibri" w:cs="Calibri" w:eastAsia="Calibri"/>
          <w:b/>
          <w:i w:val="0"/>
          <w:color w:val="000000"/>
          <w:sz w:val="24"/>
        </w:rPr>
        <w:t>Scope</w:t>
      </w:r>
    </w:p>
    <w:p>
      <w:pPr>
        <w:spacing w:before="0" w:after="120"/>
      </w:pPr>
      <w:r>
        <w:rPr>
          <w:rFonts w:ascii="Calibri" w:hAnsi="Calibri" w:cs="Calibri" w:eastAsia="Calibri"/>
          <w:b w:val="0"/>
          <w:i w:val="0"/>
          <w:color w:val="000000"/>
          <w:sz w:val="24"/>
        </w:rPr>
        <w:t>This protocol verifies waveform quality of the triangle and square outputs of prototype VCO-001 at three representative audio frequencies, against the target specifications defined in the Feasibility Study FS-001.</w:t>
      </w:r>
    </w:p>
    <w:p>
      <w:pPr>
        <w:spacing w:before="0" w:after="120"/>
      </w:pPr>
      <w:r>
        <w:rPr>
          <w:rFonts w:ascii="Calibri" w:hAnsi="Calibri" w:cs="Calibri" w:eastAsia="Calibri"/>
          <w:b w:val="0"/>
          <w:i w:val="0"/>
          <w:color w:val="000000"/>
          <w:sz w:val="24"/>
        </w:rPr>
        <w:t>Important — Test environment: VCO-001 is built on a solderless breadboard; it is NOT yet a finished module. Triangle and square outputs are taken directly from op-amp pins on the breadboard via hook-clip scope and analyser probes, rather than from 3.5 mm panel jacks. Power is supplied from a bench PSU via flying leads, not a Eurorack rack bus. Breadboard parasitic capacitance, inductance and contact resistance are present and may add small artefacts (especially HF ringing on the square edges) that would not appear on the final PCB.</w:t>
      </w:r>
    </w:p>
    <w:p>
      <w:pPr>
        <w:keepNext/>
        <w:spacing w:before="200" w:after="80"/>
      </w:pPr>
      <w:r>
        <w:rPr>
          <w:rFonts w:ascii="Calibri" w:hAnsi="Calibri" w:cs="Calibri" w:eastAsia="Calibri"/>
          <w:b/>
          <w:i w:val="0"/>
          <w:color w:val="000000"/>
          <w:sz w:val="24"/>
        </w:rPr>
        <w:t>Specifications Under Test</w:t>
      </w:r>
    </w:p>
    <w:tbl>
      <w:tblPr>
        <w:tblW w:type="auto" w:w="0"/>
        <w:jc w:val="left"/>
        <w:tblLayout w:type="fixed"/>
        <w:tblLook w:firstColumn="1" w:firstRow="1" w:lastColumn="0" w:lastRow="0" w:noHBand="0" w:noVBand="1" w:val="04A0"/>
      </w:tblPr>
      <w:tblGrid>
        <w:gridCol w:w="3009"/>
        <w:gridCol w:w="3009"/>
        <w:gridCol w:w="3009"/>
      </w:tblGrid>
      <w:tr>
        <w:tc>
          <w:tcPr>
            <w:tcW w:type="dxa" w:w="850"/>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Ref</w:t>
            </w:r>
          </w:p>
        </w:tc>
        <w:tc>
          <w:tcPr>
            <w:tcW w:type="dxa" w:w="4535"/>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Target spec</w:t>
            </w:r>
          </w:p>
        </w:tc>
        <w:tc>
          <w:tcPr>
            <w:tcW w:type="dxa" w:w="3402"/>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Pass criterion</w:t>
            </w:r>
          </w:p>
        </w:tc>
      </w:tr>
      <w:tr>
        <w:tc>
          <w:tcPr>
            <w:tcW w:type="dxa" w:w="850"/>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TS4a</w:t>
            </w:r>
          </w:p>
        </w:tc>
        <w:tc>
          <w:tcPr>
            <w:tcW w:type="dxa" w:w="4535"/>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Triangle THD ≤ 1 % at 100 Hz, 1 kHz, 10 kHz</w:t>
            </w:r>
          </w:p>
        </w:tc>
        <w:tc>
          <w:tcPr>
            <w:tcW w:type="dxa" w:w="3402"/>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THD (measured to 9th harmonic) ≤ 1.0 %</w:t>
            </w:r>
          </w:p>
        </w:tc>
      </w:tr>
      <w:tr>
        <w:tc>
          <w:tcPr>
            <w:tcW w:type="dxa" w:w="850"/>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TS4b</w:t>
            </w:r>
          </w:p>
        </w:tc>
        <w:tc>
          <w:tcPr>
            <w:tcW w:type="dxa" w:w="4535"/>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Square duty cycle 50 % ± 2 % over the same frequencies</w:t>
            </w:r>
          </w:p>
        </w:tc>
        <w:tc>
          <w:tcPr>
            <w:tcW w:type="dxa" w:w="3402"/>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Duty within 48 % – 52 %</w:t>
            </w:r>
          </w:p>
        </w:tc>
      </w:tr>
    </w:tbl>
    <w:p>
      <w:pPr>
        <w:keepNext/>
        <w:spacing w:before="200" w:after="80"/>
      </w:pPr>
      <w:r>
        <w:rPr>
          <w:rFonts w:ascii="Calibri" w:hAnsi="Calibri" w:cs="Calibri" w:eastAsia="Calibri"/>
          <w:b/>
          <w:i w:val="0"/>
          <w:color w:val="000000"/>
          <w:sz w:val="24"/>
        </w:rPr>
        <w:t>Equipment</w:t>
      </w:r>
    </w:p>
    <w:tbl>
      <w:tblPr>
        <w:tblW w:type="auto" w:w="0"/>
        <w:jc w:val="left"/>
        <w:tblLayout w:type="fixed"/>
        <w:tblLook w:firstColumn="1" w:firstRow="1" w:lastColumn="0" w:lastRow="0" w:noHBand="0" w:noVBand="1" w:val="04A0"/>
      </w:tblPr>
      <w:tblGrid>
        <w:gridCol w:w="2256"/>
        <w:gridCol w:w="2256"/>
        <w:gridCol w:w="2256"/>
        <w:gridCol w:w="2256"/>
      </w:tblGrid>
      <w:tr>
        <w:tc>
          <w:tcPr>
            <w:tcW w:type="dxa" w:w="73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Ref</w:t>
            </w:r>
          </w:p>
        </w:tc>
        <w:tc>
          <w:tcPr>
            <w:tcW w:type="dxa" w:w="3969"/>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Item</w:t>
            </w:r>
          </w:p>
        </w:tc>
        <w:tc>
          <w:tcPr>
            <w:tcW w:type="dxa" w:w="2268"/>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Required accuracy</w:t>
            </w:r>
          </w:p>
        </w:tc>
        <w:tc>
          <w:tcPr>
            <w:tcW w:type="dxa" w:w="1814"/>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Source</w:t>
            </w:r>
          </w:p>
        </w:tc>
      </w:tr>
      <w:tr>
        <w:tc>
          <w:tcPr>
            <w:tcW w:type="dxa" w:w="73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E1</w:t>
            </w:r>
          </w:p>
        </w:tc>
        <w:tc>
          <w:tcPr>
            <w:tcW w:type="dxa" w:w="3969"/>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Precision DC source</w:t>
            </w:r>
          </w:p>
        </w:tc>
        <w:tc>
          <w:tcPr>
            <w:tcW w:type="dxa" w:w="2268"/>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 1 mV</w:t>
            </w:r>
          </w:p>
        </w:tc>
        <w:tc>
          <w:tcPr>
            <w:tcW w:type="dxa" w:w="1814"/>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University lab</w:t>
            </w:r>
          </w:p>
        </w:tc>
      </w:tr>
      <w:tr>
        <w:tc>
          <w:tcPr>
            <w:tcW w:type="dxa" w:w="73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E2</w:t>
            </w:r>
          </w:p>
        </w:tc>
        <w:tc>
          <w:tcPr>
            <w:tcW w:type="dxa" w:w="3969"/>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Audio analyser, R&amp;S UPV or Audio Precision APx515</w:t>
            </w:r>
          </w:p>
        </w:tc>
        <w:tc>
          <w:tcPr>
            <w:tcW w:type="dxa" w:w="2268"/>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THD+N ≤ 0.005 %</w:t>
            </w:r>
          </w:p>
        </w:tc>
        <w:tc>
          <w:tcPr>
            <w:tcW w:type="dxa" w:w="1814"/>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University lab</w:t>
            </w:r>
          </w:p>
        </w:tc>
      </w:tr>
      <w:tr>
        <w:tc>
          <w:tcPr>
            <w:tcW w:type="dxa" w:w="73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E3</w:t>
            </w:r>
          </w:p>
        </w:tc>
        <w:tc>
          <w:tcPr>
            <w:tcW w:type="dxa" w:w="3969"/>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Oscilloscope, 100 MHz, 1 GS/s</w:t>
            </w:r>
          </w:p>
        </w:tc>
        <w:tc>
          <w:tcPr>
            <w:tcW w:type="dxa" w:w="2268"/>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Duty-cycle meas. ± 0.1 %</w:t>
            </w:r>
          </w:p>
        </w:tc>
        <w:tc>
          <w:tcPr>
            <w:tcW w:type="dxa" w:w="1814"/>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University lab</w:t>
            </w:r>
          </w:p>
        </w:tc>
      </w:tr>
      <w:tr>
        <w:tc>
          <w:tcPr>
            <w:tcW w:type="dxa" w:w="73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E4</w:t>
            </w:r>
          </w:p>
        </w:tc>
        <w:tc>
          <w:tcPr>
            <w:tcW w:type="dxa" w:w="3969"/>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Regulated ±12 V bench PSU</w:t>
            </w:r>
          </w:p>
        </w:tc>
        <w:tc>
          <w:tcPr>
            <w:tcW w:type="dxa" w:w="2268"/>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1 A per rail</w:t>
            </w:r>
          </w:p>
        </w:tc>
        <w:tc>
          <w:tcPr>
            <w:tcW w:type="dxa" w:w="1814"/>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University lab</w:t>
            </w:r>
          </w:p>
        </w:tc>
      </w:tr>
      <w:tr>
        <w:tc>
          <w:tcPr>
            <w:tcW w:type="dxa" w:w="73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E5</w:t>
            </w:r>
          </w:p>
        </w:tc>
        <w:tc>
          <w:tcPr>
            <w:tcW w:type="dxa" w:w="3969"/>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BNC cables and 10× passive probes</w:t>
            </w:r>
          </w:p>
        </w:tc>
        <w:tc>
          <w:tcPr>
            <w:tcW w:type="dxa" w:w="2268"/>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w:t>
            </w:r>
          </w:p>
        </w:tc>
        <w:tc>
          <w:tcPr>
            <w:tcW w:type="dxa" w:w="1814"/>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University lab</w:t>
            </w:r>
          </w:p>
        </w:tc>
      </w:tr>
    </w:tbl>
    <w:p>
      <w:pPr>
        <w:keepNext/>
        <w:spacing w:before="200" w:after="80"/>
      </w:pPr>
      <w:r>
        <w:rPr>
          <w:rFonts w:ascii="Calibri" w:hAnsi="Calibri" w:cs="Calibri" w:eastAsia="Calibri"/>
          <w:b/>
          <w:i w:val="0"/>
          <w:color w:val="000000"/>
          <w:sz w:val="24"/>
        </w:rPr>
        <w:t>Set-up</w:t>
      </w:r>
    </w:p>
    <w:p>
      <w:pPr>
        <w:pStyle w:val="ListBullet"/>
        <w:spacing w:after="40"/>
        <w:ind w:left="397"/>
      </w:pPr>
      <w:r>
        <w:rPr>
          <w:rFonts w:ascii="Calibri" w:hAnsi="Calibri" w:cs="Calibri" w:eastAsia="Calibri"/>
          <w:b w:val="0"/>
          <w:i w:val="0"/>
          <w:color w:val="000000"/>
          <w:sz w:val="24"/>
        </w:rPr>
        <w:t>Power the breadboard from E4: clip +12 V to the red rail and −12 V to the blue rail using twisted-pair flying leads to keep loop area small; verify &lt; 50 mV ripple at the supply rows of U1, U2 and U5 with E3.</w:t>
      </w:r>
    </w:p>
    <w:p>
      <w:pPr>
        <w:pStyle w:val="ListBullet"/>
        <w:spacing w:after="40"/>
        <w:ind w:left="397"/>
      </w:pPr>
      <w:r>
        <w:rPr>
          <w:rFonts w:ascii="Calibri" w:hAnsi="Calibri" w:cs="Calibri" w:eastAsia="Calibri"/>
          <w:b w:val="0"/>
          <w:i w:val="0"/>
          <w:color w:val="000000"/>
          <w:sz w:val="24"/>
        </w:rPr>
        <w:t>Tie the TUNE and LFO input rows on the breadboard to the 0 V rail with short jumper wires (these inputs are not exercised in TP-002).</w:t>
      </w:r>
    </w:p>
    <w:p>
      <w:pPr>
        <w:pStyle w:val="ListBullet"/>
        <w:spacing w:after="40"/>
        <w:ind w:left="397"/>
      </w:pPr>
      <w:r>
        <w:rPr>
          <w:rFonts w:ascii="Calibri" w:hAnsi="Calibri" w:cs="Calibri" w:eastAsia="Calibri"/>
          <w:b w:val="0"/>
          <w:i w:val="0"/>
          <w:color w:val="000000"/>
          <w:sz w:val="24"/>
        </w:rPr>
        <w:t>Connect E1 to the KEY input row via banana-to-flying-lead, returned to the breadboard 0 V rail.</w:t>
      </w:r>
    </w:p>
    <w:p>
      <w:pPr>
        <w:pStyle w:val="ListBullet"/>
        <w:spacing w:after="40"/>
        <w:ind w:left="397"/>
      </w:pPr>
      <w:r>
        <w:rPr>
          <w:rFonts w:ascii="Calibri" w:hAnsi="Calibri" w:cs="Calibri" w:eastAsia="Calibri"/>
          <w:b w:val="0"/>
          <w:i w:val="0"/>
          <w:color w:val="000000"/>
          <w:sz w:val="24"/>
        </w:rPr>
        <w:t>Connect E2 (audio analyser) to the TRI output (output of integrator U2 / buffer U6) using a BNC-to-clip lead direct to the op-amp output pin and a short ground clip to the adjacent 0 V row. Avoid long ground returns: they pick up mains hum and corrupt the THD reading.</w:t>
      </w:r>
    </w:p>
    <w:p>
      <w:pPr>
        <w:pStyle w:val="ListBullet"/>
        <w:spacing w:after="40"/>
        <w:ind w:left="397"/>
      </w:pPr>
      <w:r>
        <w:rPr>
          <w:rFonts w:ascii="Calibri" w:hAnsi="Calibri" w:cs="Calibri" w:eastAsia="Calibri"/>
          <w:b w:val="0"/>
          <w:i w:val="0"/>
          <w:color w:val="000000"/>
          <w:sz w:val="24"/>
        </w:rPr>
        <w:t>Connect channel 1 of E3 to the SQR output (output of comparator U5) via a 10× passive probe with the spring-tip ground accessory pressed onto the same 0 V row. The short ground tip is essential for clean measurement of HF edges on the breadboard.</w:t>
      </w:r>
    </w:p>
    <w:p>
      <w:pPr>
        <w:pStyle w:val="ListBullet"/>
        <w:spacing w:after="40"/>
        <w:ind w:left="397"/>
      </w:pPr>
      <w:r>
        <w:rPr>
          <w:rFonts w:ascii="Calibri" w:hAnsi="Calibri" w:cs="Calibri" w:eastAsia="Calibri"/>
          <w:b w:val="0"/>
          <w:i w:val="0"/>
          <w:color w:val="000000"/>
          <w:sz w:val="24"/>
        </w:rPr>
        <w:t>Allow VCO-001 to warm up for 15 min at 25 °C before taking readings; the breadboard takes longer to thermally equilibrate than a PCB.</w:t>
      </w:r>
    </w:p>
    <w:p>
      <w:pPr>
        <w:keepNext/>
        <w:spacing w:before="200" w:after="80"/>
      </w:pPr>
      <w:r>
        <w:rPr>
          <w:rFonts w:ascii="Calibri" w:hAnsi="Calibri" w:cs="Calibri" w:eastAsia="Calibri"/>
          <w:b/>
          <w:i w:val="0"/>
          <w:color w:val="000000"/>
          <w:sz w:val="24"/>
        </w:rPr>
        <w:t>Procedure</w:t>
      </w:r>
    </w:p>
    <w:p>
      <w:pPr>
        <w:pStyle w:val="ListBullet"/>
        <w:spacing w:after="40"/>
        <w:ind w:left="397"/>
      </w:pPr>
      <w:r>
        <w:rPr>
          <w:rFonts w:ascii="Calibri" w:hAnsi="Calibri" w:cs="Calibri" w:eastAsia="Calibri"/>
          <w:b w:val="0"/>
          <w:i w:val="0"/>
          <w:color w:val="000000"/>
          <w:sz w:val="24"/>
        </w:rPr>
        <w:t>Step 1. Set KEY to produce nominal 100 Hz (read with E3 on the SQR row, trim the breadboarded TUNE trimmer).</w:t>
      </w:r>
    </w:p>
    <w:p>
      <w:pPr>
        <w:pStyle w:val="ListBullet"/>
        <w:spacing w:after="40"/>
        <w:ind w:left="397"/>
      </w:pPr>
      <w:r>
        <w:rPr>
          <w:rFonts w:ascii="Calibri" w:hAnsi="Calibri" w:cs="Calibri" w:eastAsia="Calibri"/>
          <w:b w:val="0"/>
          <w:i w:val="0"/>
          <w:color w:val="000000"/>
          <w:sz w:val="24"/>
        </w:rPr>
        <w:t>Step 2. On E2, select THD mode, window = flat-top, sweep harmonics H2…H9; record THD %. Note: do NOT touch the breadboard during the measurement — finger capacitance shifts the integrator pole and corrupts the THD reading.</w:t>
      </w:r>
    </w:p>
    <w:p>
      <w:pPr>
        <w:pStyle w:val="ListBullet"/>
        <w:spacing w:after="40"/>
        <w:ind w:left="397"/>
      </w:pPr>
      <w:r>
        <w:rPr>
          <w:rFonts w:ascii="Calibri" w:hAnsi="Calibri" w:cs="Calibri" w:eastAsia="Calibri"/>
          <w:b w:val="0"/>
          <w:i w:val="0"/>
          <w:color w:val="000000"/>
          <w:sz w:val="24"/>
        </w:rPr>
        <w:t>Step 3. On E3, read duty cycle of SQR; record in the data sheet.</w:t>
      </w:r>
    </w:p>
    <w:p>
      <w:pPr>
        <w:pStyle w:val="ListBullet"/>
        <w:spacing w:after="40"/>
        <w:ind w:left="397"/>
      </w:pPr>
      <w:r>
        <w:rPr>
          <w:rFonts w:ascii="Calibri" w:hAnsi="Calibri" w:cs="Calibri" w:eastAsia="Calibri"/>
          <w:b w:val="0"/>
          <w:i w:val="0"/>
          <w:color w:val="000000"/>
          <w:sz w:val="24"/>
        </w:rPr>
        <w:t>Step 4. Repeat steps 1–3 for 1 kHz (KEY ≈ 4.322 V) and 10 kHz (KEY ≈ 7.644 V).</w:t>
      </w:r>
    </w:p>
    <w:p>
      <w:pPr>
        <w:pStyle w:val="ListBullet"/>
        <w:spacing w:after="40"/>
        <w:ind w:left="397"/>
      </w:pPr>
      <w:r>
        <w:rPr>
          <w:rFonts w:ascii="Calibri" w:hAnsi="Calibri" w:cs="Calibri" w:eastAsia="Calibri"/>
          <w:b w:val="0"/>
          <w:i w:val="0"/>
          <w:color w:val="000000"/>
          <w:sz w:val="24"/>
        </w:rPr>
        <w:t>Step 5. Inspect the triangle on E3; confirm no discontinuity or clipping at peaks. Some ringing on the SQR edges at 10 kHz is expected due to breadboard parasitic L/C — it is acceptable provided it does not push the duty reading outside the pass window.</w:t>
      </w:r>
    </w:p>
    <w:p>
      <w:pPr>
        <w:pStyle w:val="ListBullet"/>
        <w:spacing w:after="40"/>
        <w:ind w:left="397"/>
      </w:pPr>
      <w:r>
        <w:rPr>
          <w:rFonts w:ascii="Calibri" w:hAnsi="Calibri" w:cs="Calibri" w:eastAsia="Calibri"/>
          <w:b w:val="0"/>
          <w:i w:val="0"/>
          <w:color w:val="000000"/>
          <w:sz w:val="24"/>
        </w:rPr>
        <w:t>Step 6. Record ambient temperature at start and end; note if it changes by &gt; 1 °C.</w:t>
      </w:r>
    </w:p>
    <w:p>
      <w:pPr>
        <w:keepNext/>
        <w:spacing w:before="200" w:after="80"/>
      </w:pPr>
      <w:r>
        <w:rPr>
          <w:rFonts w:ascii="Calibri" w:hAnsi="Calibri" w:cs="Calibri" w:eastAsia="Calibri"/>
          <w:b/>
          <w:i w:val="0"/>
          <w:color w:val="000000"/>
          <w:sz w:val="24"/>
        </w:rPr>
        <w:t>Recorded Data</w:t>
      </w:r>
    </w:p>
    <w:p>
      <w:pPr>
        <w:spacing w:before="0" w:after="120"/>
      </w:pPr>
      <w:r>
        <w:rPr>
          <w:rFonts w:ascii="Calibri" w:hAnsi="Calibri" w:cs="Calibri" w:eastAsia="Calibri"/>
          <w:b w:val="0"/>
          <w:i w:val="0"/>
          <w:color w:val="000000"/>
          <w:sz w:val="24"/>
        </w:rPr>
        <w:t>Recorded data from execution of the protocol on the breadboarded prototype VCO-001, ambient 22.8 °C, supply ±12.02 V / ±11.98 V from bench PSU. Triangle output measured into the audio analyser via clip-lead direct to the op-amp output pin; square output measured on the oscilloscope via 10× probe with spring-tip ground. The 'small ringing on SQR edges' note at 10 kHz is attributed to breadboard parasitic L/C and is expected to disappear on the final PCB build.</w:t>
      </w:r>
    </w:p>
    <w:tbl>
      <w:tblPr>
        <w:tblW w:type="auto" w:w="0"/>
        <w:jc w:val="left"/>
        <w:tblLayout w:type="fixed"/>
        <w:tblLook w:firstColumn="1" w:firstRow="1" w:lastColumn="0" w:lastRow="0" w:noHBand="0" w:noVBand="1" w:val="04A0"/>
      </w:tblPr>
      <w:tblGrid>
        <w:gridCol w:w="1805"/>
        <w:gridCol w:w="1805"/>
        <w:gridCol w:w="1805"/>
        <w:gridCol w:w="1805"/>
        <w:gridCol w:w="1805"/>
      </w:tblGrid>
      <w:tr>
        <w:tc>
          <w:tcPr>
            <w:tcW w:type="dxa" w:w="170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Target f (Hz)</w:t>
            </w:r>
          </w:p>
        </w:tc>
        <w:tc>
          <w:tcPr>
            <w:tcW w:type="dxa" w:w="170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Measured f (Hz)</w:t>
            </w:r>
          </w:p>
        </w:tc>
        <w:tc>
          <w:tcPr>
            <w:tcW w:type="dxa" w:w="141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THD (%)</w:t>
            </w:r>
          </w:p>
        </w:tc>
        <w:tc>
          <w:tcPr>
            <w:tcW w:type="dxa" w:w="141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Duty (%)</w:t>
            </w:r>
          </w:p>
        </w:tc>
        <w:tc>
          <w:tcPr>
            <w:tcW w:type="dxa" w:w="255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i w:val="0"/>
                <w:color w:val="000000"/>
                <w:sz w:val="24"/>
              </w:rPr>
              <w:t>Notes</w:t>
            </w:r>
          </w:p>
        </w:tc>
      </w:tr>
      <w:tr>
        <w:tc>
          <w:tcPr>
            <w:tcW w:type="dxa" w:w="170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100</w:t>
            </w:r>
          </w:p>
        </w:tc>
        <w:tc>
          <w:tcPr>
            <w:tcW w:type="dxa" w:w="170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100.04</w:t>
            </w:r>
          </w:p>
        </w:tc>
        <w:tc>
          <w:tcPr>
            <w:tcW w:type="dxa" w:w="141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0.41</w:t>
            </w:r>
          </w:p>
        </w:tc>
        <w:tc>
          <w:tcPr>
            <w:tcW w:type="dxa" w:w="141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50.3</w:t>
            </w:r>
          </w:p>
        </w:tc>
        <w:tc>
          <w:tcPr>
            <w:tcW w:type="dxa" w:w="255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Clean</w:t>
            </w:r>
          </w:p>
        </w:tc>
      </w:tr>
      <w:tr>
        <w:tc>
          <w:tcPr>
            <w:tcW w:type="dxa" w:w="170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1 000</w:t>
            </w:r>
          </w:p>
        </w:tc>
        <w:tc>
          <w:tcPr>
            <w:tcW w:type="dxa" w:w="170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1 000.17</w:t>
            </w:r>
          </w:p>
        </w:tc>
        <w:tc>
          <w:tcPr>
            <w:tcW w:type="dxa" w:w="141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0.52</w:t>
            </w:r>
          </w:p>
        </w:tc>
        <w:tc>
          <w:tcPr>
            <w:tcW w:type="dxa" w:w="141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50.1</w:t>
            </w:r>
          </w:p>
        </w:tc>
        <w:tc>
          <w:tcPr>
            <w:tcW w:type="dxa" w:w="255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Clean</w:t>
            </w:r>
          </w:p>
        </w:tc>
      </w:tr>
      <w:tr>
        <w:tc>
          <w:tcPr>
            <w:tcW w:type="dxa" w:w="170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10 000</w:t>
            </w:r>
          </w:p>
        </w:tc>
        <w:tc>
          <w:tcPr>
            <w:tcW w:type="dxa" w:w="170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10 002.3</w:t>
            </w:r>
          </w:p>
        </w:tc>
        <w:tc>
          <w:tcPr>
            <w:tcW w:type="dxa" w:w="141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0.89</w:t>
            </w:r>
          </w:p>
        </w:tc>
        <w:tc>
          <w:tcPr>
            <w:tcW w:type="dxa" w:w="1417"/>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49.6</w:t>
            </w:r>
          </w:p>
        </w:tc>
        <w:tc>
          <w:tcPr>
            <w:tcW w:type="dxa" w:w="2551"/>
            <w:tcBorders>
              <w:top w:val="single" w:sz="4" w:color="000000"/>
              <w:left w:val="single" w:sz="4" w:color="000000"/>
              <w:bottom w:val="single" w:sz="4" w:color="000000"/>
              <w:right w:val="single" w:sz="4" w:color="000000"/>
            </w:tcBorders>
            <w:vAlign w:val="top"/>
          </w:tcPr>
          <w:p>
            <w:pPr>
              <w:spacing w:before="0" w:after="40"/>
            </w:pPr>
            <w:r/>
            <w:r>
              <w:rPr>
                <w:rFonts w:ascii="Calibri" w:hAnsi="Calibri" w:cs="Calibri" w:eastAsia="Calibri"/>
                <w:b w:val="0"/>
                <w:i w:val="0"/>
                <w:color w:val="000000"/>
                <w:sz w:val="24"/>
              </w:rPr>
              <w:t>Small ringing on SQR edges</w:t>
            </w:r>
          </w:p>
        </w:tc>
      </w:tr>
    </w:tbl>
    <w:p>
      <w:pPr>
        <w:spacing w:before="40" w:after="120"/>
      </w:pPr>
      <w:r>
        <w:rPr>
          <w:rFonts w:ascii="Calibri" w:hAnsi="Calibri" w:cs="Calibri" w:eastAsia="Calibri"/>
          <w:b w:val="0"/>
          <w:i/>
          <w:color w:val="000000"/>
          <w:sz w:val="24"/>
        </w:rPr>
        <w:t>TS4a: highest measured THD = 0.89 % at 10 kHz, below the 1.0 % limit. PASS. TS4b: duty cycle stays in 49.6 – 50.3 %, well within the 48 – 52 % window. PASS.</w:t>
      </w:r>
    </w:p>
    <w:p>
      <w:pPr>
        <w:keepNext/>
        <w:spacing w:before="200" w:after="80"/>
      </w:pPr>
      <w:r>
        <w:rPr>
          <w:rFonts w:ascii="Calibri" w:hAnsi="Calibri" w:cs="Calibri" w:eastAsia="Calibri"/>
          <w:b/>
          <w:i w:val="0"/>
          <w:color w:val="000000"/>
          <w:sz w:val="24"/>
        </w:rPr>
        <w:t>Acceptance Criteria</w:t>
      </w:r>
    </w:p>
    <w:p>
      <w:pPr>
        <w:pStyle w:val="ListBullet"/>
        <w:spacing w:after="40"/>
        <w:ind w:left="397"/>
      </w:pPr>
      <w:r>
        <w:rPr>
          <w:rFonts w:ascii="Calibri" w:hAnsi="Calibri" w:cs="Calibri" w:eastAsia="Calibri"/>
          <w:b w:val="0"/>
          <w:i w:val="0"/>
          <w:color w:val="000000"/>
          <w:sz w:val="24"/>
        </w:rPr>
        <w:t>TS4a: THD ≤ 1.0 % at all three frequencies → PASS.</w:t>
      </w:r>
    </w:p>
    <w:p>
      <w:pPr>
        <w:pStyle w:val="ListBullet"/>
        <w:spacing w:after="40"/>
        <w:ind w:left="397"/>
      </w:pPr>
      <w:r>
        <w:rPr>
          <w:rFonts w:ascii="Calibri" w:hAnsi="Calibri" w:cs="Calibri" w:eastAsia="Calibri"/>
          <w:b w:val="0"/>
          <w:i w:val="0"/>
          <w:color w:val="000000"/>
          <w:sz w:val="24"/>
        </w:rPr>
        <w:t>TS4b: duty cycle 48 % – 52 % at all three frequencies → PASS.</w:t>
      </w:r>
    </w:p>
    <w:p>
      <w:pPr>
        <w:pStyle w:val="ListBullet"/>
        <w:spacing w:after="40"/>
        <w:ind w:left="397"/>
      </w:pPr>
      <w:r>
        <w:rPr>
          <w:rFonts w:ascii="Calibri" w:hAnsi="Calibri" w:cs="Calibri" w:eastAsia="Calibri"/>
          <w:b w:val="0"/>
          <w:i w:val="0"/>
          <w:color w:val="000000"/>
          <w:sz w:val="24"/>
        </w:rPr>
        <w:t>A FAIL on either criterion triggers a design change, raised against FS-001.</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cs="Calibri" w:eastAsia="Calibri"/>
        <w:b w:val="0"/>
        <w:i w:val="0"/>
        <w:color w:val="000000"/>
        <w:sz w:val="24"/>
      </w:rPr>
      <w:t xml:space="preserve">jm3767, eckl21, jf2280, kce27, sps80, yll201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309B9684E80AB47878FA394B7660CC8" ma:contentTypeVersion="7" ma:contentTypeDescription="Create a new document." ma:contentTypeScope="" ma:versionID="2087fea82225586523f752823fda2b57">
  <xsd:schema xmlns:xsd="http://www.w3.org/2001/XMLSchema" xmlns:xs="http://www.w3.org/2001/XMLSchema" xmlns:p="http://schemas.microsoft.com/office/2006/metadata/properties" xmlns:ns2="0e6e1937-c1de-4ba0-99c7-a77c2bfefe69" targetNamespace="http://schemas.microsoft.com/office/2006/metadata/properties" ma:root="true" ma:fieldsID="26e5ece3cc579de2c1b7512768fd07da" ns2:_="">
    <xsd:import namespace="0e6e1937-c1de-4ba0-99c7-a77c2bfefe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e1937-c1de-4ba0-99c7-a77c2bfef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46E89DE-5E15-4F07-8FD4-3DDB4697C9FB}"/>
</file>

<file path=customXml/itemProps3.xml><?xml version="1.0" encoding="utf-8"?>
<ds:datastoreItem xmlns:ds="http://schemas.openxmlformats.org/officeDocument/2006/customXml" ds:itemID="{8F97C5A0-5436-4117-A952-BF90BB4E436D}"/>
</file>

<file path=customXml/itemProps4.xml><?xml version="1.0" encoding="utf-8"?>
<ds:datastoreItem xmlns:ds="http://schemas.openxmlformats.org/officeDocument/2006/customXml" ds:itemID="{93CA9950-1496-4F74-A8C8-AE20EE3FDF2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0x010100F309B9684E80AB47878FA394B7660CC8</vt:lpwstr>
  </property>
</Properties>
</file>