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PingFang SC Semibold" w:hAnsi="PingFang SC Semibold" w:cs="PingFang SC Semibold"/>
          <w:sz w:val="38"/>
          <w:sz-cs w:val="38"/>
          <w:b/>
          <w:spacing w:val="0"/>
          <w:color w:val="0E0E0E"/>
        </w:rPr>
        <w:t xml:space="preserve">病史摘要（面诊用）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343434"/>
        </w:rPr>
        <w:t xml:space="preserve">患者：CAO Yujie（护照拼音；中文姓名以本人身份证件为准）· 女 · 1997年8月8日出生（29岁）· 现居澳大利亚悉尼 · 未生育</w:t>
      </w:r>
    </w:p>
    <w:p>
      <w:pPr/>
      <w:r>
        <w:rPr>
          <w:rFonts w:ascii="PingFang SC" w:hAnsi="PingFang SC" w:cs="PingFang SC"/>
          <w:sz w:val="23"/>
          <w:sz-cs w:val="23"/>
          <w:spacing w:val="0"/>
          <w:color w:val="262626"/>
        </w:rPr>
        <w:t xml:space="preserve">本摘要由患者及其伴侣整理（2026年8月31日），供北京面诊参考。所有原始英文报告随附；影像原始DICOM光盘/U盘随身携带（14个序列、342幅图像，含增强扫描）。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一、影像诊断（2026-08-18，悉尼 I-MED 腰骶椎 MRI 平扫＋增强，放射科 Dr U Ridley 报告）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脊髓圆锥位于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L4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，被一巨大马尾脂肪瘤栓系（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脊髓栓系综合征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）。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脂肪瘤大小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121 × 49 × 20 mm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（T1/T2高信号、压脂序列信号减低、无强化），圆锥后部变形。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脂肪瘤延伸进入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左侧神经孔，包裹左 L5 神经根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；左侧侧隐窝受压，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左 S1 神经节受压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S1 水平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16 × 16 mm 强化的皮下肿块，考虑皮毛窦（dermal sinus）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，与骶部皮肤标记相对应（照片在手机里；至今无红肿、无分泌物；未触碰）。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无脊髓纵裂；无椎间盘突出、无椎管狭窄。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二、终生（先天性模式）病史 —— 转诊信中未包含的关键信息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终生括约肌功能障碍：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自幼严重便秘（4–6天一次大便；儿时有憋便、需家长干预史）；终生尿频、急迫性尿失禁；性快感缺失伴会阴部感觉减退。均为终生存在，并非新发。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终生左下肢不对称：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左腿自幼比右腿凉；左小腿、大腿较细；左腿略短；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单侧左侧高弓足伴爪形趾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（照片在手机里）；左侧足尖走/足跟走较弱。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骶部皮肤标记：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骶部皮肤有标记（照片），与 MRI 上的皮毛窦位置对应。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三、近12个月进行性加重（约2025年8月起）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疼痛：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左侧单一连续条带 —— 自左侧阴道口边缘（S3）→ 大腿后侧（S2）→ 足跟（S1）。近端有自发放电样疼痛，压迫可缓解，平躺时最重。目前更持续、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仍在加重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新发运动症状：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左侧足尖走/足跟走无力加重。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26"/>
          <w:sz-cs w:val="26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大便习惯改变（2026年8月）：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由终生便秘转为间断稀便，可能伴感知减退 —— 与腿部症状加重同时出现。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四、客观检查记录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日期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检查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关键结果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2025-10-08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尿动力学检查（悉尼）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峰值尿流率 12 ml/s、排尿中断型；残余尿 60→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300 ml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；初始尿意 100 ml；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膀胱容量仅 300 ml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；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多次逼尿肌过度活动伴一次漏尿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；尿道闭合压正常（63 cmH₂O）。结合 MRI 判读：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神经源性膀胱表现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。（全文中译随附）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2026-08-24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悉尼皇家阿尔弗雷德王子医院（RPA）急诊，神经外科会诊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查体（出院小结原文）：「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左下肢整体运动功能减退，肛门括约肌张力减低，鞍区感觉异常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」。神经外科要求行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腰椎CT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，证实脂肪瘤。予出院、安排神经外科门诊。（出院小结中译随附）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2026-08-24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血液检查（RPA）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凝血功能正常（PT 11.6s / APTT 35s / INR 1.1）；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血型 B 型 Rh 阳性，抗体筛查阴性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；CRP &lt;0.3 mg/L（皮毛窦无感染征象）；肝肾功能大致正常，eGFR 84（29岁略偏低，建议随访——已有残余尿300ml背景）。（全表中译随附）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2026-08-27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RPA 神经外科门诊（Dr David Wilson）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查体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证实左下肢神经功能缺损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（与 MRI 及病史一致）。因其不做成人脊髓栓系手术，建议转诊。未加做检查。</w:t>
      </w:r>
    </w:p>
    <w:p>
      <w:pPr>
        <w:spacing w:after="12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E0E0E"/>
        </w:rPr>
        <w:t xml:space="preserve">五、用药、过敏及一般情况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无长期用药（从未使用口服避孕药或抗抑郁药；2025年处方米拉贝隆 50mg 但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从未服用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）。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无已知药物过敏（NKA）。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未生育；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0E0E"/>
        </w:rPr>
        <w:t xml:space="preserve">计划将来怀孕</w:t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（已知需孕前补充叶酸5mg；关注手术与怀孕的先后与间隔）。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6"/>
          <w:sz-cs w:val="26"/>
          <w:color w:val="0E0E0E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0E0E0E"/>
        </w:rPr>
        <w:t xml:space="preserve">子宫后位；无脱垂。一般健康状况良好。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