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PingFang SC Semibold" w:hAnsi="PingFang SC Semibold" w:cs="PingFang SC Semibold"/>
          <w:sz w:val="38"/>
          <w:sz-cs w:val="38"/>
          <w:b/>
          <w:spacing w:val="0"/>
          <w:color w:val="0E0E0E"/>
        </w:rPr>
        <w:t xml:space="preserve">腰骶椎 MRI 报告（中文翻译）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343434"/>
        </w:rPr>
        <w:t xml:space="preserve">检查日期：2026年8月18日 · 报告日期：2026年8月18日 · 检查：腰骶椎 MRI（悉尼 I-MED Chatswood）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临床资料</w:t>
      </w:r>
    </w:p>
    <w:p>
      <w:pPr>
        <w:spacing w:after="120"/>
      </w:pP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左侧大腿后方疼痛，向左足跟放射，并伴有尿失禁。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检查技术</w:t>
      </w:r>
    </w:p>
    <w:p>
      <w:pPr>
        <w:spacing w:after="120"/>
      </w:pP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采用高场强 MRI 对腰骶椎进行扫描，未使用对比剂。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检查所见</w:t>
      </w:r>
    </w:p>
    <w:p>
      <w:pPr>
        <w:spacing w:after="120"/>
      </w:pP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脊髓圆锥位于 L4 椎体水平，并被牵系于一个较大的、在 T1 及 T2 加权像上均呈高信号的软组织肿块。</w:t>
      </w:r>
    </w:p>
    <w:p>
      <w:pPr>
        <w:spacing w:after="120"/>
      </w:pP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该肿块最大尺寸至少为 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121 × 49 × 20 毫米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。</w:t>
      </w:r>
    </w:p>
    <w:p>
      <w:pPr>
        <w:spacing w:after="120"/>
      </w:pP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该肿块在脂肪抑制序列上信号完全被抑制，且注射对比剂后未见强化。</w:t>
      </w:r>
    </w:p>
    <w:p>
      <w:pPr>
        <w:spacing w:after="120"/>
      </w:pP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在 S1 水平的皮下层可见一个边缘不规则且有强化的软组织肿块，大小为 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16 × 16 毫米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（最大横轴径），提示可能为皮样窦道。</w:t>
      </w:r>
    </w:p>
    <w:p>
      <w:pPr>
        <w:spacing w:after="120"/>
      </w:pP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脊髓圆锥后部存在形态异常。未见脊髓纵裂畸形。</w:t>
      </w:r>
    </w:p>
    <w:p>
      <w:pPr>
        <w:spacing w:after="120"/>
      </w:pP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病变似乎延伸至左侧神经孔，并包绕左侧 L5 神经根。</w:t>
      </w:r>
    </w:p>
    <w:p>
      <w:pPr>
        <w:spacing w:after="120"/>
      </w:pP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左侧侧隐窝亦有受压变窄，左侧 S1 神经根神经节似乎受到压迫。</w:t>
      </w:r>
    </w:p>
    <w:p>
      <w:pPr>
        <w:spacing w:after="120"/>
      </w:pP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未见椎间盘突出、椎管狭窄或神经根受压。</w:t>
      </w:r>
    </w:p>
    <w:p>
      <w:pPr>
        <w:spacing w:after="120"/>
      </w:pP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骶髂关节未见明显异常。椎旁软组织未见明显异常。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结论</w:t>
      </w:r>
    </w:p>
    <w:p>
      <w:pPr>
        <w:spacing w:after="120"/>
      </w:pP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马尾部可见一个较大的脂肪瘤，最大径为 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121 毫米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，并伴有 L5 水平的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脊髓栓系综合征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。</w:t>
      </w:r>
    </w:p>
    <w:p>
      <w:pPr>
        <w:spacing w:after="120"/>
      </w:pP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左侧 L5 神经根及左侧 S1 神经根神经节可能受到影响。</w:t>
      </w:r>
    </w:p>
    <w:p>
      <w:pPr>
        <w:spacing w:after="120"/>
      </w:pP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在 S1 水平的皮下层可见一个边缘不规则且有强化的软组织肿块，提示可能为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皮样窦道（皮毛窦）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。</w:t>
      </w:r>
    </w:p>
    <w:p>
      <w:pPr>
        <w:spacing w:after="12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报告医师：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Dr Ursula Ridley，MBBS (Hons)，FRANZCR · 电子签署：2026年8月18日 12:07</w:t>
      </w:r>
    </w:p>
    <w:p>
      <w:pPr/>
      <w:r>
        <w:rPr>
          <w:rFonts w:ascii="PingFang SC" w:hAnsi="PingFang SC" w:cs="PingFang SC"/>
          <w:sz w:val="23"/>
          <w:sz-cs w:val="23"/>
          <w:spacing w:val="0"/>
          <w:color w:val="262626"/>
        </w:rPr>
        <w:t xml:space="preserve">本文件为英文影像报告的中文翻译，供理解和沟通使用；如中英文表述存在差异，应以放射科签署的英文原始报告及专科医生的解释为准。英文原件随附。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