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40"/>
      </w:pPr>
      <w:r>
        <w:rPr>
          <w:rFonts w:ascii="PingFang SC Semibold" w:hAnsi="PingFang SC Semibold" w:cs="PingFang SC Semibold"/>
          <w:sz w:val="38"/>
          <w:sz-cs w:val="38"/>
          <w:b/>
          <w:spacing w:val="0"/>
          <w:color w:val="0E0E0E"/>
        </w:rPr>
        <w:t xml:space="preserve">尿动力学检查报告（中文翻译）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343434"/>
        </w:rPr>
        <w:t xml:space="preserve">悉尼尿动力学中心（Sydney Urodynamic Centres）· 报告日期：2025年10月8日 · 致转诊全科医生 Dr L Guan</w:t>
      </w:r>
    </w:p>
    <w:p>
      <w:pPr/>
      <w:r>
        <w:rPr>
          <w:rFonts w:ascii="PingFang SC" w:hAnsi="PingFang SC" w:cs="PingFang SC"/>
          <w:sz w:val="23"/>
          <w:sz-cs w:val="23"/>
          <w:spacing w:val="0"/>
          <w:color w:val="262626"/>
        </w:rPr>
        <w:t xml:space="preserve">【非官方翻译，仅供参考 —— 英文原件随附。翻译日期：2026-08-31。】患者：Yujie Cao，1997年8月8日出生。</w:t>
      </w:r>
    </w:p>
    <w:p>
      <w:pPr>
        <w:spacing w:after="120"/>
      </w:pPr>
      <w:r>
        <w:rPr>
          <w:rFonts w:ascii="PingFang SC Semibold" w:hAnsi="PingFang SC Semibold" w:cs="PingFang SC Semibold"/>
          <w:sz w:val="30"/>
          <w:sz-cs w:val="30"/>
          <w:b/>
          <w:spacing w:val="0"/>
          <w:color w:val="0E0E0E"/>
        </w:rPr>
        <w:t xml:space="preserve">转诊背景与病史（报告原文意译）</w:t>
      </w:r>
    </w:p>
    <w:p>
      <w:pPr>
        <w:spacing w:after="120"/>
      </w:pP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感谢转诊这位28岁女性行尿动力学评估。她的膀胱问题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0E0E"/>
        </w:rPr>
        <w:t xml:space="preserve">病史长，可追溯至童年</w:t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。主要困扰为尿频、尿急，且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0E0E"/>
        </w:rPr>
        <w:t xml:space="preserve">多数日子有急迫性尿失禁</w:t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；偶有压力性尿失禁。已影响生活质量。曾接受盆底物理治疗及TENS（经皮神经电刺激）治疗，效果不佳。</w:t>
      </w:r>
    </w:p>
    <w:p>
      <w:pPr>
        <w:spacing w:after="120"/>
      </w:pP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总体健康，未生育。无特殊月经问题。她可能自行减少饮水量，这或为其便秘的一个因素。</w:t>
      </w:r>
    </w:p>
    <w:p>
      <w:pPr>
        <w:spacing w:after="120"/>
      </w:pP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查体：体重正常；腹部触诊无异常；盆腔评估无明显脱垂、无肿块或压痛；子宫后位。</w:t>
      </w:r>
    </w:p>
    <w:p>
      <w:pPr>
        <w:spacing w:after="120"/>
      </w:pPr>
      <w:r>
        <w:rPr>
          <w:rFonts w:ascii="PingFang SC Semibold" w:hAnsi="PingFang SC Semibold" w:cs="PingFang SC Semibold"/>
          <w:sz w:val="30"/>
          <w:sz-cs w:val="30"/>
          <w:b/>
          <w:spacing w:val="0"/>
          <w:color w:val="0E0E0E"/>
        </w:rPr>
        <w:t xml:space="preserve">检查结果</w:t>
      </w:r>
    </w:p>
    <w:p>
      <w:pPr>
        <w:ind w:left="720" w:first-line="-720"/>
        <w:spacing w:after="80"/>
      </w:pPr>
      <w:r>
        <w:rPr>
          <w:rFonts w:ascii="PingFang SC Semibold" w:hAnsi="PingFang SC Semibold" w:cs="PingFang SC Semibold"/>
          <w:sz w:val="26"/>
          <w:sz-cs w:val="26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0E0E"/>
        </w:rPr>
        <w:t xml:space="preserve">尿流率测定（Uroflowmetry）：</w:t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峰值尿流率仅 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0E0E"/>
        </w:rPr>
        <w:t xml:space="preserve">12 ml/s</w:t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，排尿模式呈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0E0E"/>
        </w:rPr>
        <w:t xml:space="preserve">间断型</w:t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。初始残余尿 60 ml，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0E0E"/>
        </w:rPr>
        <w:t xml:space="preserve">检查结束时残余尿 300 ml</w:t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 —— 提示可能存在排尿功能障碍。注：患者当天有肠道不适（腹泻），可能抑制了排尿。</w:t>
      </w:r>
    </w:p>
    <w:p>
      <w:pPr>
        <w:ind w:left="720" w:first-line="-720"/>
        <w:spacing w:after="80"/>
      </w:pPr>
      <w:r>
        <w:rPr>
          <w:rFonts w:ascii="PingFang SC Semibold" w:hAnsi="PingFang SC Semibold" w:cs="PingFang SC Semibold"/>
          <w:sz w:val="26"/>
          <w:sz-cs w:val="26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0E0E"/>
        </w:rPr>
        <w:t xml:space="preserve">动态尿道镜检查（Dynamic urethroscopy）：</w:t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尿道及膀胱未见异常；无息肉、结石或间质性膀胱炎证据。尿道闭合压正常（63 cmH₂O）。</w:t>
      </w:r>
    </w:p>
    <w:p>
      <w:pPr>
        <w:ind w:left="720" w:first-line="-720"/>
        <w:spacing w:after="80"/>
      </w:pPr>
      <w:r>
        <w:rPr>
          <w:rFonts w:ascii="PingFang SC Semibold" w:hAnsi="PingFang SC Semibold" w:cs="PingFang SC Semibold"/>
          <w:sz w:val="26"/>
          <w:sz-cs w:val="26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0E0E"/>
        </w:rPr>
        <w:t xml:space="preserve">膀胱测压（Cystometrogram）：</w:t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初始尿意出现于 100 ml；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0E0E"/>
        </w:rPr>
        <w:t xml:space="preserve">膀胱容量仅 300 ml</w:t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；出现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0E0E"/>
        </w:rPr>
        <w:t xml:space="preserve">多次异常逼尿肌过度活动（detrusor overactivity）</w:t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，其中一次伴漏尿。</w:t>
      </w:r>
    </w:p>
    <w:p>
      <w:pPr>
        <w:spacing w:after="120"/>
      </w:pPr>
      <w:r>
        <w:rPr>
          <w:rFonts w:ascii="PingFang SC Semibold" w:hAnsi="PingFang SC Semibold" w:cs="PingFang SC Semibold"/>
          <w:sz w:val="30"/>
          <w:sz-cs w:val="30"/>
          <w:b/>
          <w:spacing w:val="0"/>
          <w:color w:val="0E0E0E"/>
        </w:rPr>
        <w:t xml:space="preserve">结论（报告原文意译）</w:t>
      </w:r>
    </w:p>
    <w:p>
      <w:pPr>
        <w:spacing w:after="120"/>
      </w:pP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存在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0E0E"/>
        </w:rPr>
        <w:t xml:space="preserve">显著的逼尿肌过度活动</w:t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。当天未能诱发出压力性尿失禁。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0E0E"/>
        </w:rPr>
        <w:t xml:space="preserve">可能存在排尿功能障碍成分，需要监测</w:t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。已与患者讨论：建议完成排尿日记、减少咖啡因摄入；提示进行膀胱再训练及盆底锻炼；建议试用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0E0E"/>
        </w:rPr>
        <w:t xml:space="preserve">米拉贝隆（Betmiga）50 mg 每日一次</w:t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并已开具处方。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0E0E"/>
        </w:rPr>
        <w:t xml:space="preserve">需要监测残余尿</w:t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。</w:t>
      </w:r>
    </w:p>
    <w:p>
      <w:pPr>
        <w:spacing w:after="120"/>
      </w:pPr>
      <w:r>
        <w:rPr>
          <w:rFonts w:ascii="PingFang SC Semibold" w:hAnsi="PingFang SC Semibold" w:cs="PingFang SC Semibold"/>
          <w:sz w:val="30"/>
          <w:sz-cs w:val="30"/>
          <w:b/>
          <w:spacing w:val="0"/>
          <w:color w:val="0E0E0E"/>
        </w:rPr>
        <w:t xml:space="preserve">补充说明（患者方注，非报告内容）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米拉贝隆处方后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0E0E"/>
        </w:rPr>
        <w:t xml:space="preserve">从未服用</w:t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（2026-08-19确认）。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2026-08-18 MRI 确诊脊髓栓系（马尾脂肪瘤）后回读本报告：逼尿肌过度活动＋小容量（300 ml）＋大量残余尿（300 ml）＝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0E0E"/>
        </w:rPr>
        <w:t xml:space="preserve">与脊髓栓系一致的神经源性膀胱模式</w:t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，为MRI之前即已存在的骶髓受累客观证据。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