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0E0E0E"/>
        </w:rPr>
        <w:t xml:space="preserve">面诊问题清单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343434"/>
        </w:rPr>
        <w:t xml:space="preserve">患者：Yujie CAO · 诊断：脊髓栓系综合征（马尾巨大脂肪瘤 121mm，圆锥L4，皮毛窦S1，左L5神经根被包裹、左S1神经节受压，神经源性膀胱）· 症状进行性加重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手术方案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是否有手术指征？考虑到已记录的进行性加重（疼痛、新发无力、大便习惯改变、急诊查体见肛门括约肌张力减低＋鞍区感觉异常），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紧迫程度如何？等待数周至数月的风险有多大？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针对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她的具体解剖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（脂肪瘤延入左侧神经孔、包裹左L5神经根；左S1神经节受压），您建议的术式是什么——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脂肪瘤全切／大部切除＋松解＋终丝切断／以松解为主、保守处理脂肪瘤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？不同专家对切除范围意见不一，就她的情况您如何权衡、为什么？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您/贵团队每年做多少例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成人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脊髓栓系合并巨大马尾脂肪瘤的松解手术？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贵中心的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再栓系率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和主要并发症率（脑脊液漏、神经功能加重）大概是多少？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术中是否常规使用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神经电生理监测（IONM）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？</w:t>
      </w:r>
    </w:p>
    <w:p>
      <w:pPr>
        <w:ind w:left="720" w:first-line="-720"/>
        <w:spacing w:after="14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皮毛窦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（S1，强化）是否同一次手术切除窦道？术前除不触碰、警惕发热/红肿/分泌物外，还需注意什么？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术前是否需要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全脊柱MRI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（排除第二栓系点/脊髓空洞）？还需要哪些术前检查（神经电生理、复查尿动力学等）？在澳洲提前做好还是来京后做？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功能预后</w:t>
      </w:r>
    </w:p>
    <w:p>
      <w:pPr>
        <w:ind w:left="720" w:first-line="-720"/>
        <w:spacing w:after="14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膀胱/肠道预后：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神经源性膀胱（容量300ml、残余尿300ml）术后更可能稳定还是改善？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骶神经调控（SNM）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的时机与适应证？是否需要神经泌尿科同步介入？</w:t>
      </w:r>
    </w:p>
    <w:p>
      <w:pPr>
        <w:ind w:left="720" w:first-line="-720"/>
        <w:spacing w:after="14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9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生育：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她计划将来怀孕——是否应先手术、术后间隔多久再怀孕？孕期与分娩有何注意事项（我们理解她终生不宜椎管内麻醉——请确认）？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流程与费用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10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从初诊到手术大约要等多久？住院押金多少？候床几周？住院总时长预计？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手术总费用大约多少？大连（辽宁）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异地医保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实际能报销哪些部分（术中神经监测、硬膜修补材料是否在目录内）？</w:t>
      </w:r>
    </w:p>
    <w:p>
      <w:pPr>
        <w:ind w:left="720" w:first-line="-720"/>
        <w:spacing w:after="14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等待手术期间，她应当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做什么/避免什么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（活动、牵拉、按摩、飞行等）？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