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5840" w:w="12240" w:orient="portrait"/>
          <w:pgMar w:bottom="1800" w:top="2160" w:left="1440" w:right="1440" w:header="720" w:footer="720"/>
          <w:pgNumType w:start="1"/>
        </w:sectPr>
      </w:pPr>
      <w:bookmarkStart w:colFirst="0" w:colLast="0" w:name="_heading=h.a84e2m5ppmk3"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04">
      <w:pPr>
        <w:spacing w:line="40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163370061"/>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fmk6g92c45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clywhpd4cy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del Informe de Cierre de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4y6yjwj1m0q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1 Información General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n2ltqnic19u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2 Lista de Verificación de Aceptación Final</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rof92q4m6g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3 Lista de Verificación de los Artefactos del Proyecto</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4 Recursos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c9i6qm33ex8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5 Lecciones Aprendidas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s10du4kpwdz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6 Planes Post-Implantación</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wgjioywkbi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7 No Conformidades Abiertas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ind w:firstLine="720"/>
        <w:rPr>
          <w:b w:val="1"/>
          <w:bCs w:val="1"/>
          <w:i w:val="1"/>
          <w:iCs w:val="1"/>
        </w:rPr>
        <w:sectPr>
          <w:headerReference r:id="rId11" w:type="default"/>
          <w:headerReference r:id="rId12" w:type="first"/>
          <w:footerReference r:id="rId13" w:type="default"/>
          <w:footerReference r:id="rId14"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0F">
      <w:pPr>
        <w:pStyle w:val="Heading1"/>
        <w:ind w:left="0" w:firstLine="0"/>
        <w:jc w:val="both"/>
        <w:rPr/>
      </w:pPr>
      <w:bookmarkStart w:colFirst="0" w:colLast="0" w:name="_heading=h.5fmk6g92c45w" w:id="1"/>
      <w:bookmarkEnd w:id="1"/>
      <w:r w:rsidDel="00000000" w:rsidR="00000000" w:rsidRPr="00000000">
        <w:rPr>
          <w:rtl w:val="0"/>
        </w:rPr>
        <w:t xml:space="preserve">Introducción</w:t>
      </w:r>
    </w:p>
    <w:p w:rsidR="00000000" w:rsidDel="00000000" w:rsidP="00000000" w:rsidRDefault="00000000" w:rsidRPr="00000000" w14:paraId="00000010">
      <w:pPr>
        <w:ind w:firstLine="720"/>
        <w:jc w:val="both"/>
        <w:rPr>
          <w:sz w:val="22"/>
          <w:szCs w:val="22"/>
        </w:rPr>
      </w:pPr>
      <w:r w:rsidDel="00000000" w:rsidR="00000000" w:rsidRPr="00000000">
        <w:rPr>
          <w:sz w:val="22"/>
          <w:szCs w:val="22"/>
          <w:rtl w:val="0"/>
        </w:rPr>
        <w:t xml:space="preserve">Muchos proyectos de tecnologías de la información tienen un enfoque limitado en ejecutar un cierre formal y estructurado, subestimando a menudo el impacto y la utilidad de los datos históricos y metodológicos para el cliente. En muchos casos, los artefactos entregables no son archivados consistentemente, impidiendo el mejoramiento continuo de las soluciones de gestión local y la futura reutilización del software.</w:t>
      </w:r>
    </w:p>
    <w:p w:rsidR="00000000" w:rsidDel="00000000" w:rsidP="00000000" w:rsidRDefault="00000000" w:rsidRPr="00000000" w14:paraId="00000011">
      <w:pPr>
        <w:ind w:firstLine="720"/>
        <w:jc w:val="both"/>
        <w:rPr>
          <w:sz w:val="22"/>
          <w:szCs w:val="22"/>
        </w:rPr>
      </w:pPr>
      <w:r w:rsidDel="00000000" w:rsidR="00000000" w:rsidRPr="00000000">
        <w:rPr>
          <w:sz w:val="22"/>
          <w:szCs w:val="22"/>
          <w:rtl w:val="0"/>
        </w:rPr>
        <w:t xml:space="preserve">Para evitar este escenario, el proyecto Conyapa debe finalizar formalmente delineando de forma clara su fase de cierre antes de que comiencen las actividades operativas de post-implantación en la comuna. Esto implica establecer planes sólidos para la evaluación posterior del sistema, tales como revisiones técnicas posteriores al despliegue en producción.</w:t>
      </w:r>
    </w:p>
    <w:p w:rsidR="00000000" w:rsidDel="00000000" w:rsidP="00000000" w:rsidRDefault="00000000" w:rsidRPr="00000000" w14:paraId="00000012">
      <w:pPr>
        <w:ind w:firstLine="720"/>
        <w:jc w:val="both"/>
        <w:rPr>
          <w:sz w:val="22"/>
          <w:szCs w:val="22"/>
        </w:rPr>
      </w:pPr>
      <w:r w:rsidDel="00000000" w:rsidR="00000000" w:rsidRPr="00000000">
        <w:rPr>
          <w:sz w:val="22"/>
          <w:szCs w:val="22"/>
          <w:rtl w:val="0"/>
        </w:rPr>
        <w:t xml:space="preserve">Diferentes aspectos del proyecto (administrativos, financieros, logísticos y metodológicos) forman parte de este proceso de cierre formal, donde se capturan y contrastan los resultados específicos (tales como el alcance de los módulos para clientes, feriantes y administradores, y los hitos del Roadmap planificados versus los reales). Estos resultados se revisan exhaustivamente hasta lograr un acuerdo mutuo de que la plataforma está lista para su cierre.</w:t>
      </w:r>
    </w:p>
    <w:p w:rsidR="00000000" w:rsidDel="00000000" w:rsidP="00000000" w:rsidRDefault="00000000" w:rsidRPr="00000000" w14:paraId="00000013">
      <w:pPr>
        <w:ind w:firstLine="720"/>
        <w:jc w:val="both"/>
        <w:rPr>
          <w:sz w:val="22"/>
          <w:szCs w:val="22"/>
        </w:rPr>
      </w:pPr>
      <w:r w:rsidDel="00000000" w:rsidR="00000000" w:rsidRPr="00000000">
        <w:rPr>
          <w:sz w:val="22"/>
          <w:szCs w:val="22"/>
          <w:rtl w:val="0"/>
        </w:rPr>
        <w:t xml:space="preserve">Asimismo, este cierre provee la autorización formal para liberar los recursos asignados al proyecto, como el personal de desarrollo y la infraestructura temporal de pruebas. El informe de cierre de proyecto de Conyapa incluye de manera mandatoria:</w:t>
      </w:r>
    </w:p>
    <w:p w:rsidR="00000000" w:rsidDel="00000000" w:rsidP="00000000" w:rsidRDefault="00000000" w:rsidRPr="00000000" w14:paraId="00000014">
      <w:pPr>
        <w:numPr>
          <w:ilvl w:val="0"/>
          <w:numId w:val="3"/>
        </w:numPr>
        <w:spacing w:after="0" w:afterAutospacing="0"/>
        <w:ind w:left="1440" w:hanging="360"/>
        <w:jc w:val="both"/>
        <w:rPr>
          <w:sz w:val="22"/>
          <w:szCs w:val="22"/>
        </w:rPr>
      </w:pPr>
      <w:r w:rsidDel="00000000" w:rsidR="00000000" w:rsidRPr="00000000">
        <w:rPr>
          <w:b w:val="1"/>
          <w:bCs w:val="1"/>
          <w:sz w:val="22"/>
          <w:szCs w:val="22"/>
          <w:rtl w:val="0"/>
        </w:rPr>
        <w:t xml:space="preserve">Aceptación final de la plataforma web Conyapa:</w:t>
      </w:r>
      <w:r w:rsidDel="00000000" w:rsidR="00000000" w:rsidRPr="00000000">
        <w:rPr>
          <w:sz w:val="22"/>
          <w:szCs w:val="22"/>
          <w:rtl w:val="0"/>
        </w:rPr>
        <w:t xml:space="preserve"> Incluye la reafirmación de los planes de mantenimiento correctivo y soporte técnico que resolverán los incidentes una vez que el equipo de desarrollo complete la transferencia tecnológica.</w:t>
      </w:r>
    </w:p>
    <w:p w:rsidR="00000000" w:rsidDel="00000000" w:rsidP="00000000" w:rsidRDefault="00000000" w:rsidRPr="00000000" w14:paraId="00000015">
      <w:pPr>
        <w:numPr>
          <w:ilvl w:val="0"/>
          <w:numId w:val="3"/>
        </w:numPr>
        <w:spacing w:after="0" w:afterAutospacing="0"/>
        <w:ind w:left="1440" w:hanging="360"/>
        <w:jc w:val="both"/>
        <w:rPr>
          <w:sz w:val="22"/>
          <w:szCs w:val="22"/>
        </w:rPr>
      </w:pPr>
      <w:r w:rsidDel="00000000" w:rsidR="00000000" w:rsidRPr="00000000">
        <w:rPr>
          <w:b w:val="1"/>
          <w:bCs w:val="1"/>
          <w:sz w:val="22"/>
          <w:szCs w:val="22"/>
          <w:rtl w:val="0"/>
        </w:rPr>
        <w:t xml:space="preserve">Archivo de los artefactos del proyecto:</w:t>
      </w:r>
      <w:r w:rsidDel="00000000" w:rsidR="00000000" w:rsidRPr="00000000">
        <w:rPr>
          <w:sz w:val="22"/>
          <w:szCs w:val="22"/>
          <w:rtl w:val="0"/>
        </w:rPr>
        <w:t xml:space="preserve"> Almacenamiento indexado de los datos de verificación de la calidad (diagramas UML, planes y resultados de pruebas), la cobertura del alcance ágil (historias de usuario), costes presupuestarios y el cumplimiento del calendario de la Carta Gantt.</w:t>
      </w:r>
    </w:p>
    <w:p w:rsidR="00000000" w:rsidDel="00000000" w:rsidP="00000000" w:rsidRDefault="00000000" w:rsidRPr="00000000" w14:paraId="00000016">
      <w:pPr>
        <w:numPr>
          <w:ilvl w:val="0"/>
          <w:numId w:val="3"/>
        </w:numPr>
        <w:spacing w:after="0" w:afterAutospacing="0"/>
        <w:ind w:left="1440" w:hanging="360"/>
        <w:jc w:val="both"/>
        <w:rPr>
          <w:sz w:val="22"/>
          <w:szCs w:val="22"/>
        </w:rPr>
      </w:pPr>
      <w:r w:rsidDel="00000000" w:rsidR="00000000" w:rsidRPr="00000000">
        <w:rPr>
          <w:b w:val="1"/>
          <w:bCs w:val="1"/>
          <w:sz w:val="22"/>
          <w:szCs w:val="22"/>
          <w:rtl w:val="0"/>
        </w:rPr>
        <w:t xml:space="preserve">Identificación de lecciones aprendidas:</w:t>
      </w:r>
      <w:r w:rsidDel="00000000" w:rsidR="00000000" w:rsidRPr="00000000">
        <w:rPr>
          <w:sz w:val="22"/>
          <w:szCs w:val="22"/>
          <w:rtl w:val="0"/>
        </w:rPr>
        <w:t xml:space="preserve"> Enfoque metodológico en el análisis de las retrospectivas de los sprints de desarrollo.</w:t>
      </w:r>
    </w:p>
    <w:p w:rsidR="00000000" w:rsidDel="00000000" w:rsidP="00000000" w:rsidRDefault="00000000" w:rsidRPr="00000000" w14:paraId="00000017">
      <w:pPr>
        <w:numPr>
          <w:ilvl w:val="0"/>
          <w:numId w:val="3"/>
        </w:numPr>
        <w:ind w:left="1440" w:hanging="360"/>
        <w:jc w:val="both"/>
        <w:rPr>
          <w:sz w:val="22"/>
          <w:szCs w:val="22"/>
        </w:rPr>
      </w:pPr>
      <w:r w:rsidDel="00000000" w:rsidR="00000000" w:rsidRPr="00000000">
        <w:rPr>
          <w:b w:val="1"/>
          <w:bCs w:val="1"/>
          <w:sz w:val="22"/>
          <w:szCs w:val="22"/>
          <w:rtl w:val="0"/>
        </w:rPr>
        <w:t xml:space="preserve">Establecimiento del plan de actividades post-implantación: </w:t>
      </w:r>
      <w:r w:rsidDel="00000000" w:rsidR="00000000" w:rsidRPr="00000000">
        <w:rPr>
          <w:sz w:val="22"/>
          <w:szCs w:val="22"/>
          <w:rtl w:val="0"/>
        </w:rPr>
        <w:t xml:space="preserve">Estrategia para asegurar la disponibilidad del mapa interactivo en Leaflet y la estabilidad en el consumo de la API.</w:t>
      </w:r>
    </w:p>
    <w:p w:rsidR="00000000" w:rsidDel="00000000" w:rsidP="00000000" w:rsidRDefault="00000000" w:rsidRPr="00000000" w14:paraId="00000018">
      <w:pPr>
        <w:pStyle w:val="Heading1"/>
        <w:ind w:left="0" w:firstLine="0"/>
        <w:jc w:val="both"/>
        <w:rPr/>
      </w:pPr>
      <w:bookmarkStart w:colFirst="0" w:colLast="0" w:name="_heading=h.clywhpd4cywy" w:id="2"/>
      <w:bookmarkEnd w:id="2"/>
      <w:r w:rsidDel="00000000" w:rsidR="00000000" w:rsidRPr="00000000">
        <w:rPr>
          <w:rtl w:val="0"/>
        </w:rPr>
        <w:t xml:space="preserve">Uso del Informe de Cierre de Proyecto</w:t>
      </w:r>
    </w:p>
    <w:p w:rsidR="00000000" w:rsidDel="00000000" w:rsidP="00000000" w:rsidRDefault="00000000" w:rsidRPr="00000000" w14:paraId="00000019">
      <w:pPr>
        <w:ind w:firstLine="720"/>
        <w:jc w:val="both"/>
        <w:rPr>
          <w:sz w:val="22"/>
          <w:szCs w:val="22"/>
        </w:rPr>
      </w:pPr>
      <w:r w:rsidDel="00000000" w:rsidR="00000000" w:rsidRPr="00000000">
        <w:rPr>
          <w:sz w:val="22"/>
          <w:szCs w:val="22"/>
          <w:rtl w:val="0"/>
        </w:rPr>
        <w:t xml:space="preserve">El uso de este informe, encargado de sancionar la aceptación final del ecosistema Conyapa, asume que los representantes y contrapartes técnicas del GOREM han aprobado previamente que el software está en condiciones óptimas para su puesta en producción, habiendo firmado la aceptación previa a la implantación en los servidores definitivos.</w:t>
      </w:r>
    </w:p>
    <w:p w:rsidR="00000000" w:rsidDel="00000000" w:rsidP="00000000" w:rsidRDefault="00000000" w:rsidRPr="00000000" w14:paraId="0000001A">
      <w:pPr>
        <w:ind w:firstLine="720"/>
        <w:jc w:val="both"/>
        <w:rPr>
          <w:sz w:val="22"/>
          <w:szCs w:val="22"/>
        </w:rPr>
      </w:pPr>
      <w:r w:rsidDel="00000000" w:rsidR="00000000" w:rsidRPr="00000000">
        <w:rPr>
          <w:sz w:val="22"/>
          <w:szCs w:val="22"/>
          <w:rtl w:val="0"/>
        </w:rPr>
        <w:t xml:space="preserve">Asimismo, se asume que la información técnica y los indicadores de avance fueron analizados y revisados minuciosamente a lo largo de todo el ciclo de vida de desarrollo ágil; datos que los representantes del Gobierno Regional deben utilizar como criterio de control durante este hito final.</w:t>
      </w:r>
    </w:p>
    <w:p w:rsidR="00000000" w:rsidDel="00000000" w:rsidP="00000000" w:rsidRDefault="00000000" w:rsidRPr="00000000" w14:paraId="0000001B">
      <w:pPr>
        <w:ind w:firstLine="720"/>
        <w:jc w:val="both"/>
        <w:rPr>
          <w:sz w:val="22"/>
          <w:szCs w:val="22"/>
        </w:rPr>
      </w:pPr>
      <w:r w:rsidDel="00000000" w:rsidR="00000000" w:rsidRPr="00000000">
        <w:rPr>
          <w:sz w:val="22"/>
          <w:szCs w:val="22"/>
          <w:rtl w:val="0"/>
        </w:rPr>
        <w:t xml:space="preserve">Toda la documentación técnica utilizada para elaborar este informe debe mantenerse en un repositorio centralizado e independiente, funcionando como entrada crítica para la revisión de fin de fase del cierre.</w:t>
      </w:r>
    </w:p>
    <w:p w:rsidR="00000000" w:rsidDel="00000000" w:rsidP="00000000" w:rsidRDefault="00000000" w:rsidRPr="00000000" w14:paraId="0000001C">
      <w:pPr>
        <w:ind w:firstLine="720"/>
        <w:jc w:val="both"/>
        <w:rPr>
          <w:sz w:val="22"/>
          <w:szCs w:val="22"/>
        </w:rPr>
      </w:pPr>
      <w:r w:rsidDel="00000000" w:rsidR="00000000" w:rsidRPr="00000000">
        <w:rPr>
          <w:sz w:val="22"/>
          <w:szCs w:val="22"/>
          <w:rtl w:val="0"/>
        </w:rPr>
        <w:t xml:space="preserve">Finalmente, el uso del informe de cierre de Conyapa asume la existencia de un proceso estructurado para la gestión de no conformidades. Cualquier incidencia menor, bug remanente o brecha operativa abierta y documentada en esta etapa de cierre, será gestionada, controlada y resuelta bajo este proceso de calidad, garantizando un traspaso de la plataforma con el estándar técnico exigido.</w:t>
      </w:r>
    </w:p>
    <w:p w:rsidR="00000000" w:rsidDel="00000000" w:rsidP="00000000" w:rsidRDefault="00000000" w:rsidRPr="00000000" w14:paraId="0000001D">
      <w:pPr>
        <w:ind w:firstLine="720"/>
        <w:jc w:val="both"/>
        <w:rPr/>
      </w:pPr>
      <w:r w:rsidDel="00000000" w:rsidR="00000000" w:rsidRPr="00000000">
        <w:rPr>
          <w:rtl w:val="0"/>
        </w:rPr>
      </w:r>
    </w:p>
    <w:p w:rsidR="00000000" w:rsidDel="00000000" w:rsidP="00000000" w:rsidRDefault="00000000" w:rsidRPr="00000000" w14:paraId="0000001E">
      <w:pPr>
        <w:pStyle w:val="Heading1"/>
        <w:pageBreakBefore w:val="0"/>
        <w:tabs>
          <w:tab w:val="left" w:leader="none" w:pos="0"/>
          <w:tab w:val="left" w:leader="none" w:pos="1980"/>
          <w:tab w:val="left" w:leader="none" w:pos="0"/>
          <w:tab w:val="left" w:leader="none" w:pos="1980"/>
        </w:tabs>
        <w:ind w:firstLine="0"/>
        <w:rPr/>
      </w:pPr>
      <w:bookmarkStart w:colFirst="0" w:colLast="0" w:name="_heading=h.4y6yjwj1m0qm" w:id="3"/>
      <w:bookmarkEnd w:id="3"/>
      <w:r w:rsidDel="00000000" w:rsidR="00000000" w:rsidRPr="00000000">
        <w:rPr>
          <w:rtl w:val="0"/>
        </w:rPr>
        <w:t xml:space="preserve">Sección 1</w:t>
        <w:tab/>
        <w:t xml:space="preserve">Información General</w:t>
      </w:r>
    </w:p>
    <w:p w:rsidR="00000000" w:rsidDel="00000000" w:rsidP="00000000" w:rsidRDefault="00000000" w:rsidRPr="00000000" w14:paraId="0000001F">
      <w:pPr>
        <w:tabs>
          <w:tab w:val="left" w:leader="none" w:pos="1276"/>
        </w:tabs>
        <w:ind w:firstLine="720"/>
        <w:jc w:val="both"/>
        <w:rPr>
          <w:sz w:val="22"/>
          <w:szCs w:val="22"/>
        </w:rPr>
      </w:pPr>
      <w:r w:rsidDel="00000000" w:rsidR="00000000" w:rsidRPr="00000000">
        <w:rPr>
          <w:sz w:val="22"/>
          <w:szCs w:val="22"/>
          <w:rtl w:val="0"/>
        </w:rPr>
        <w:t xml:space="preserve">Establecer un nuevo modelo de interacción digital para feriantes, ferias y clientes, de tal forma que los productores y comerciantes puedan visibilizar sus puestos y los clientes puedan contar con información clara y centralizada de las ferias a su alrededor. Con esto, se busca dinamizar la economía local, mejorar la rentabilidad de los feriantes al reducir las mermas por falta de visibilidad y ofrecer a los clientes una plataforma centralizada para ubicar ferias activas, revisar perfiles comerciales y validar la calidad del servicio a través de reseñas moderadas.</w:t>
      </w:r>
    </w:p>
    <w:p w:rsidR="00000000" w:rsidDel="00000000" w:rsidP="00000000" w:rsidRDefault="00000000" w:rsidRPr="00000000" w14:paraId="00000020">
      <w:pPr>
        <w:tabs>
          <w:tab w:val="left" w:leader="none" w:pos="1276"/>
        </w:tabs>
        <w:ind w:firstLine="720"/>
        <w:jc w:val="both"/>
        <w:rPr>
          <w:sz w:val="22"/>
          <w:szCs w:val="22"/>
        </w:rPr>
      </w:pPr>
      <w:r w:rsidDel="00000000" w:rsidR="00000000" w:rsidRPr="00000000">
        <w:rPr>
          <w:sz w:val="22"/>
          <w:szCs w:val="22"/>
          <w:rtl w:val="0"/>
        </w:rPr>
        <w:t xml:space="preserve">Como objetivo secundario, esto permitirá descentralizar la información comercial de la comuna, entregando al municipio herramientas avanzadas de control, auditoría y métricas de satisfacción, ayudando a que los canales de comercio tradicional compitan en igualdad de condiciones tecnológicas y de comunicación frente a las grandes cadenas de supermercados.</w:t>
      </w:r>
    </w:p>
    <w:p w:rsidR="00000000" w:rsidDel="00000000" w:rsidP="00000000" w:rsidRDefault="00000000" w:rsidRPr="00000000" w14:paraId="00000021">
      <w:pPr>
        <w:tabs>
          <w:tab w:val="left" w:leader="none" w:pos="1276"/>
        </w:tabs>
        <w:ind w:firstLine="720"/>
        <w:jc w:val="both"/>
        <w:rPr>
          <w:sz w:val="22"/>
          <w:szCs w:val="22"/>
        </w:rPr>
      </w:pPr>
      <w:r w:rsidDel="00000000" w:rsidR="00000000" w:rsidRPr="00000000">
        <w:rPr>
          <w:sz w:val="22"/>
          <w:szCs w:val="22"/>
          <w:rtl w:val="0"/>
        </w:rPr>
        <w:t xml:space="preserve">Para ello, se implementó una solución de software moderna e integral basada en una de las arquitecturas más robustas y adoptadas del mercado, garantizando que el sistema sea fácilmente mantenible, seguro y altamente escalable. En consistencia con este estándar, el desarrollo del backend de la plataforma y la API rest se construyó utilizando Node.js complementado con el ORM Sequelize, operando sobre un motor de base de datos relacional PostgreSQL. Esta pila tecnológica ha demostrado una alta eficiencia en el manejo de persistencia compleja de datos (como geolocalizaciones y estructuras JSONB para listas de compras) y un soporte óptimo ante demandas concurrentes de usuarios en entornos web y móviles.</w:t>
        <w:br w:type="textWrapping"/>
        <w:br w:type="textWrapping"/>
        <w:t xml:space="preserve">Para ello, se implementó una solución de software moderna e integral basada en una de las arquitecturas más robustas y adoptadas del mercado, garantizando que el sistema sea fácilmente mantenible, seguro y altamente escalable. En consistencia con este estándar, el desarrollo del backend de la plataforma y la API REST se construyó utilizando Node.js complementado con el ORM Sequelize, operando sobre un motor de base de datos relacional PostgreSQL. Esta pila tecnológica ha demostrado una alta eficiencia en el manejo de persistencia compleja de datos (como geolocalizaciones y estructuras JSONB para listas de compras) y un soporte óptimo ante demandas concurrentes de usuarios en entornos web y móviles.</w:t>
      </w:r>
    </w:p>
    <w:p w:rsidR="00000000" w:rsidDel="00000000" w:rsidP="00000000" w:rsidRDefault="00000000" w:rsidRPr="00000000" w14:paraId="00000022">
      <w:pPr>
        <w:tabs>
          <w:tab w:val="left" w:leader="none" w:pos="1276"/>
        </w:tabs>
        <w:spacing w:after="240" w:before="240" w:lineRule="auto"/>
        <w:ind w:firstLine="720"/>
        <w:jc w:val="both"/>
        <w:rPr>
          <w:sz w:val="22"/>
          <w:szCs w:val="22"/>
        </w:rPr>
      </w:pPr>
      <w:r w:rsidDel="00000000" w:rsidR="00000000" w:rsidRPr="00000000">
        <w:rPr>
          <w:sz w:val="22"/>
          <w:szCs w:val="22"/>
          <w:rtl w:val="0"/>
        </w:rPr>
        <w:t xml:space="preserve">Por su parte, la interfaz de usuario y el frontend de la aplicación se desarrollaron utilizando React, una biblioteca de JavaScript líder en el mercado que permite construir arquitecturas basadas en componentes reutilizables, garantizando una experiencia fluida, reactiva y de alto rendimiento para los clientes, feriantes y administradores. Para resolver la necesidad crítica de georreferenciación y visualización espacial, se integró Leaflet, una biblioteca de mapas interactivos de código abierto que destaca por su ligereza y óptimo desempeño, haciendo posible que el mapa cargue de manera eficiente, posicionando dinámicamente las ferias y los puestos de los feriantes activos en tiempo real.</w:t>
      </w:r>
    </w:p>
    <w:p w:rsidR="00000000" w:rsidDel="00000000" w:rsidP="00000000" w:rsidRDefault="00000000" w:rsidRPr="00000000" w14:paraId="00000023">
      <w:pPr>
        <w:tabs>
          <w:tab w:val="left" w:leader="none" w:pos="1276"/>
        </w:tabs>
        <w:ind w:firstLine="720"/>
        <w:jc w:val="both"/>
        <w:rPr/>
      </w:pPr>
      <w:r w:rsidDel="00000000" w:rsidR="00000000" w:rsidRPr="00000000">
        <w:rPr>
          <w:rtl w:val="0"/>
        </w:rPr>
      </w:r>
    </w:p>
    <w:p w:rsidR="00000000" w:rsidDel="00000000" w:rsidP="00000000" w:rsidRDefault="00000000" w:rsidRPr="00000000" w14:paraId="00000024">
      <w:pPr>
        <w:tabs>
          <w:tab w:val="left" w:leader="none" w:pos="1276"/>
        </w:tabs>
        <w:ind w:firstLine="720"/>
        <w:jc w:val="both"/>
        <w:rPr/>
      </w:pPr>
      <w:r w:rsidDel="00000000" w:rsidR="00000000" w:rsidRPr="00000000">
        <w:rPr>
          <w:rtl w:val="0"/>
        </w:rPr>
      </w:r>
    </w:p>
    <w:p w:rsidR="00000000" w:rsidDel="00000000" w:rsidP="00000000" w:rsidRDefault="00000000" w:rsidRPr="00000000" w14:paraId="00000025">
      <w:pPr>
        <w:pStyle w:val="Heading1"/>
        <w:pageBreakBefore w:val="0"/>
        <w:tabs>
          <w:tab w:val="left" w:leader="none" w:pos="0"/>
          <w:tab w:val="left" w:leader="none" w:pos="1980"/>
          <w:tab w:val="left" w:leader="none" w:pos="0"/>
          <w:tab w:val="left" w:leader="none" w:pos="1980"/>
        </w:tabs>
        <w:ind w:firstLine="0"/>
        <w:rPr/>
      </w:pPr>
      <w:bookmarkStart w:colFirst="0" w:colLast="0" w:name="_heading=h.4m86658m4d3u" w:id="4"/>
      <w:bookmarkEnd w:id="4"/>
      <w:r w:rsidDel="00000000" w:rsidR="00000000" w:rsidRPr="00000000">
        <w:rPr>
          <w:rtl w:val="0"/>
        </w:rPr>
      </w:r>
    </w:p>
    <w:p w:rsidR="00000000" w:rsidDel="00000000" w:rsidP="00000000" w:rsidRDefault="00000000" w:rsidRPr="00000000" w14:paraId="00000026">
      <w:pPr>
        <w:pStyle w:val="Heading1"/>
        <w:pageBreakBefore w:val="0"/>
        <w:tabs>
          <w:tab w:val="left" w:leader="none" w:pos="0"/>
          <w:tab w:val="left" w:leader="none" w:pos="1980"/>
          <w:tab w:val="left" w:leader="none" w:pos="0"/>
          <w:tab w:val="left" w:leader="none" w:pos="1980"/>
        </w:tabs>
        <w:ind w:firstLine="0"/>
        <w:rPr/>
      </w:pPr>
      <w:bookmarkStart w:colFirst="0" w:colLast="0" w:name="_heading=h.hi0hnschav0z" w:id="5"/>
      <w:bookmarkEnd w:id="5"/>
      <w:r w:rsidDel="00000000" w:rsidR="00000000" w:rsidRPr="00000000">
        <w:rPr>
          <w:rtl w:val="0"/>
        </w:rPr>
      </w:r>
    </w:p>
    <w:p w:rsidR="00000000" w:rsidDel="00000000" w:rsidP="00000000" w:rsidRDefault="00000000" w:rsidRPr="00000000" w14:paraId="00000027">
      <w:pPr>
        <w:pStyle w:val="Heading1"/>
        <w:pageBreakBefore w:val="0"/>
        <w:tabs>
          <w:tab w:val="left" w:leader="none" w:pos="0"/>
          <w:tab w:val="left" w:leader="none" w:pos="1980"/>
          <w:tab w:val="left" w:leader="none" w:pos="0"/>
          <w:tab w:val="left" w:leader="none" w:pos="1980"/>
        </w:tabs>
        <w:ind w:firstLine="0"/>
        <w:rPr/>
      </w:pPr>
      <w:bookmarkStart w:colFirst="0" w:colLast="0" w:name="_heading=h.n2ltqnic19u4" w:id="6"/>
      <w:bookmarkEnd w:id="6"/>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28">
      <w:pPr>
        <w:spacing w:line="276" w:lineRule="auto"/>
        <w:ind w:firstLine="720"/>
        <w:rPr>
          <w:sz w:val="22"/>
          <w:szCs w:val="22"/>
        </w:rPr>
      </w:pPr>
      <w:r w:rsidDel="00000000" w:rsidR="00000000" w:rsidRPr="00000000">
        <w:rPr>
          <w:sz w:val="22"/>
          <w:szCs w:val="22"/>
          <w:rtl w:val="0"/>
        </w:rPr>
        <w:t xml:space="preserve">El Gobierno Regional Metropolitano (GOREM) certifica que la totalidad de los módulos informáticos, arquitecturas de software y servicios SaaS reseñados en la presente acta de recepción han sido desplegados y terminados en su totalidad. Habiendo sido sometidos a las fases correspondientes de pruebas de QA, validación de carga y aceptación de historias de usuario, se constata que cumplen estrictamente con las especificaciones técnicas formales y demás requisitos arquitectónicos convenidos entre las partes, destacando los siguientes ítems finalizados correctamente:</w:t>
      </w:r>
    </w:p>
    <w:p w:rsidR="00000000" w:rsidDel="00000000" w:rsidP="00000000" w:rsidRDefault="00000000" w:rsidRPr="00000000" w14:paraId="00000029">
      <w:pPr>
        <w:numPr>
          <w:ilvl w:val="0"/>
          <w:numId w:val="2"/>
        </w:numPr>
        <w:spacing w:after="0" w:afterAutospacing="0" w:line="276" w:lineRule="auto"/>
        <w:ind w:left="1440" w:hanging="360"/>
        <w:rPr>
          <w:sz w:val="22"/>
          <w:szCs w:val="22"/>
          <w:u w:val="none"/>
        </w:rPr>
      </w:pPr>
      <w:r w:rsidDel="00000000" w:rsidR="00000000" w:rsidRPr="00000000">
        <w:rPr>
          <w:b w:val="1"/>
          <w:bCs w:val="1"/>
          <w:sz w:val="22"/>
          <w:szCs w:val="22"/>
          <w:rtl w:val="0"/>
        </w:rPr>
        <w:t xml:space="preserve">Geolocalización Interactiva y Mapeo de Ferias: </w:t>
      </w:r>
      <w:r w:rsidDel="00000000" w:rsidR="00000000" w:rsidRPr="00000000">
        <w:rPr>
          <w:sz w:val="22"/>
          <w:szCs w:val="22"/>
          <w:rtl w:val="0"/>
        </w:rPr>
        <w:t xml:space="preserve">Disponibilidad y renderizado en tiempo real en el mapa interactivo de los puestos de feriantes y ferias libres activas, condicionado de forma dinámica según la comuna de visualización elegida.</w:t>
      </w:r>
    </w:p>
    <w:p w:rsidR="00000000" w:rsidDel="00000000" w:rsidP="00000000" w:rsidRDefault="00000000" w:rsidRPr="00000000" w14:paraId="0000002A">
      <w:pPr>
        <w:numPr>
          <w:ilvl w:val="0"/>
          <w:numId w:val="2"/>
        </w:numPr>
        <w:spacing w:after="0" w:afterAutospacing="0" w:line="276" w:lineRule="auto"/>
        <w:ind w:left="1440" w:hanging="360"/>
        <w:rPr>
          <w:sz w:val="22"/>
          <w:szCs w:val="22"/>
          <w:u w:val="none"/>
        </w:rPr>
      </w:pPr>
      <w:r w:rsidDel="00000000" w:rsidR="00000000" w:rsidRPr="00000000">
        <w:rPr>
          <w:b w:val="1"/>
          <w:bCs w:val="1"/>
          <w:sz w:val="22"/>
          <w:szCs w:val="22"/>
          <w:rtl w:val="0"/>
        </w:rPr>
        <w:t xml:space="preserve">Acceso Web Responsivo:</w:t>
      </w:r>
      <w:r w:rsidDel="00000000" w:rsidR="00000000" w:rsidRPr="00000000">
        <w:rPr>
          <w:sz w:val="22"/>
          <w:szCs w:val="22"/>
          <w:rtl w:val="0"/>
        </w:rPr>
        <w:t xml:space="preserve"> Interfaz pública optimizada y accesible para navegadores web de escritorio y dispositivos móviles, garantizando una correcta experiencia de usuario (UX) mediante Tailwind CSS.</w:t>
      </w:r>
    </w:p>
    <w:p w:rsidR="00000000" w:rsidDel="00000000" w:rsidP="00000000" w:rsidRDefault="00000000" w:rsidRPr="00000000" w14:paraId="0000002B">
      <w:pPr>
        <w:numPr>
          <w:ilvl w:val="0"/>
          <w:numId w:val="2"/>
        </w:numPr>
        <w:spacing w:after="0" w:afterAutospacing="0" w:line="276" w:lineRule="auto"/>
        <w:ind w:left="1440" w:hanging="360"/>
        <w:rPr>
          <w:sz w:val="22"/>
          <w:szCs w:val="22"/>
          <w:u w:val="none"/>
        </w:rPr>
      </w:pPr>
      <w:r w:rsidDel="00000000" w:rsidR="00000000" w:rsidRPr="00000000">
        <w:rPr>
          <w:b w:val="1"/>
          <w:bCs w:val="1"/>
          <w:sz w:val="22"/>
          <w:szCs w:val="22"/>
          <w:rtl w:val="0"/>
        </w:rPr>
        <w:t xml:space="preserve">Gestión del Control de Accesos y Roles: </w:t>
      </w:r>
      <w:r w:rsidDel="00000000" w:rsidR="00000000" w:rsidRPr="00000000">
        <w:rPr>
          <w:sz w:val="22"/>
          <w:szCs w:val="22"/>
          <w:rtl w:val="0"/>
        </w:rPr>
        <w:t xml:space="preserve">Flujo completo de autenticación que permite la navegación pública en modo de "usuario invitado" (para clientes que solo desean explorar el mapa) y el acceso seguro mediante JSON Web Tokens (JWT) para usuarios registrados (feriantes, clientes habituales y administradores).</w:t>
      </w:r>
    </w:p>
    <w:p w:rsidR="00000000" w:rsidDel="00000000" w:rsidP="00000000" w:rsidRDefault="00000000" w:rsidRPr="00000000" w14:paraId="0000002C">
      <w:pPr>
        <w:numPr>
          <w:ilvl w:val="0"/>
          <w:numId w:val="2"/>
        </w:numPr>
        <w:spacing w:after="0" w:afterAutospacing="0" w:line="276" w:lineRule="auto"/>
        <w:ind w:left="1440" w:hanging="360"/>
        <w:rPr>
          <w:sz w:val="22"/>
          <w:szCs w:val="22"/>
          <w:u w:val="none"/>
        </w:rPr>
      </w:pPr>
      <w:r w:rsidDel="00000000" w:rsidR="00000000" w:rsidRPr="00000000">
        <w:rPr>
          <w:b w:val="1"/>
          <w:bCs w:val="1"/>
          <w:sz w:val="22"/>
          <w:szCs w:val="22"/>
          <w:rtl w:val="0"/>
        </w:rPr>
        <w:t xml:space="preserve">Módulo de Administración y Moderación Municipal: </w:t>
      </w:r>
      <w:r w:rsidDel="00000000" w:rsidR="00000000" w:rsidRPr="00000000">
        <w:rPr>
          <w:sz w:val="22"/>
          <w:szCs w:val="22"/>
          <w:rtl w:val="0"/>
        </w:rPr>
        <w:t xml:space="preserve">Panel de control (mantenedor) destinado a los administradores del GOREM y municipios asociados para la gestión, aprobación y moderación de cuentas de feriantes y reportes de la comunidad.</w:t>
      </w:r>
    </w:p>
    <w:p w:rsidR="00000000" w:rsidDel="00000000" w:rsidP="00000000" w:rsidRDefault="00000000" w:rsidRPr="00000000" w14:paraId="0000002D">
      <w:pPr>
        <w:numPr>
          <w:ilvl w:val="0"/>
          <w:numId w:val="2"/>
        </w:numPr>
        <w:spacing w:after="0" w:afterAutospacing="0" w:line="276" w:lineRule="auto"/>
        <w:ind w:left="1440" w:hanging="360"/>
        <w:rPr>
          <w:sz w:val="22"/>
          <w:szCs w:val="22"/>
          <w:u w:val="none"/>
        </w:rPr>
      </w:pPr>
      <w:r w:rsidDel="00000000" w:rsidR="00000000" w:rsidRPr="00000000">
        <w:rPr>
          <w:b w:val="1"/>
          <w:bCs w:val="1"/>
          <w:sz w:val="22"/>
          <w:szCs w:val="22"/>
          <w:rtl w:val="0"/>
        </w:rPr>
        <w:t xml:space="preserve">Ficha de Catálogo Dinámico de Rubros: </w:t>
      </w:r>
      <w:r w:rsidDel="00000000" w:rsidR="00000000" w:rsidRPr="00000000">
        <w:rPr>
          <w:sz w:val="22"/>
          <w:szCs w:val="22"/>
          <w:rtl w:val="0"/>
        </w:rPr>
        <w:t xml:space="preserve">Despliegue en tiempo real de la oferta de productos e información de contacto (categoría, días de feria, descripción) de acuerdo al feriante seleccionado.</w:t>
      </w:r>
    </w:p>
    <w:p w:rsidR="00000000" w:rsidDel="00000000" w:rsidP="00000000" w:rsidRDefault="00000000" w:rsidRPr="00000000" w14:paraId="0000002E">
      <w:pPr>
        <w:numPr>
          <w:ilvl w:val="0"/>
          <w:numId w:val="2"/>
        </w:numPr>
        <w:spacing w:line="276" w:lineRule="auto"/>
        <w:ind w:left="1440" w:hanging="360"/>
        <w:rPr>
          <w:sz w:val="22"/>
          <w:szCs w:val="22"/>
          <w:u w:val="none"/>
        </w:rPr>
      </w:pPr>
      <w:r w:rsidDel="00000000" w:rsidR="00000000" w:rsidRPr="00000000">
        <w:rPr>
          <w:b w:val="1"/>
          <w:bCs w:val="1"/>
          <w:sz w:val="22"/>
          <w:szCs w:val="22"/>
          <w:rtl w:val="0"/>
        </w:rPr>
        <w:t xml:space="preserve">Módulo de Listas de Compras: </w:t>
      </w:r>
      <w:r w:rsidDel="00000000" w:rsidR="00000000" w:rsidRPr="00000000">
        <w:rPr>
          <w:sz w:val="22"/>
          <w:szCs w:val="22"/>
          <w:rtl w:val="0"/>
        </w:rPr>
        <w:t xml:space="preserve">Funcionalidad interactiva orientada al cliente para planificar la ruta de abastecimiento, permitiendo estructurar, añadir y chequear los ítems requeridos antes de asistir presencialmente a la feria libre.</w:t>
      </w:r>
    </w:p>
    <w:p w:rsidR="00000000" w:rsidDel="00000000" w:rsidP="00000000" w:rsidRDefault="00000000" w:rsidRPr="00000000" w14:paraId="0000002F">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030">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031">
      <w:pPr>
        <w:pStyle w:val="Heading1"/>
        <w:pageBreakBefore w:val="0"/>
        <w:tabs>
          <w:tab w:val="left" w:leader="none" w:pos="0"/>
          <w:tab w:val="left" w:leader="none" w:pos="1980"/>
          <w:tab w:val="left" w:leader="none" w:pos="0"/>
          <w:tab w:val="left" w:leader="none" w:pos="1980"/>
        </w:tabs>
        <w:ind w:firstLine="0"/>
        <w:rPr/>
      </w:pPr>
      <w:bookmarkStart w:colFirst="0" w:colLast="0" w:name="_heading=h.ti9wyl2axtgg" w:id="7"/>
      <w:bookmarkEnd w:id="7"/>
      <w:r w:rsidDel="00000000" w:rsidR="00000000" w:rsidRPr="00000000">
        <w:rPr>
          <w:rtl w:val="0"/>
        </w:rPr>
      </w:r>
    </w:p>
    <w:p w:rsidR="00000000" w:rsidDel="00000000" w:rsidP="00000000" w:rsidRDefault="00000000" w:rsidRPr="00000000" w14:paraId="00000032">
      <w:pPr>
        <w:pStyle w:val="Heading1"/>
        <w:pageBreakBefore w:val="0"/>
        <w:tabs>
          <w:tab w:val="left" w:leader="none" w:pos="0"/>
          <w:tab w:val="left" w:leader="none" w:pos="1980"/>
          <w:tab w:val="left" w:leader="none" w:pos="0"/>
          <w:tab w:val="left" w:leader="none" w:pos="1980"/>
        </w:tabs>
        <w:ind w:firstLine="0"/>
        <w:rPr/>
      </w:pPr>
      <w:bookmarkStart w:colFirst="0" w:colLast="0" w:name="_heading=h.rof92q4m6g6" w:id="8"/>
      <w:bookmarkEnd w:id="8"/>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33">
      <w:pPr>
        <w:ind w:firstLine="720"/>
        <w:jc w:val="both"/>
        <w:rPr>
          <w:sz w:val="22"/>
          <w:szCs w:val="22"/>
        </w:rPr>
      </w:pPr>
      <w:bookmarkStart w:colFirst="0" w:colLast="0" w:name="_heading=h.pycufmlrpvfp" w:id="9"/>
      <w:bookmarkEnd w:id="9"/>
      <w:r w:rsidDel="00000000" w:rsidR="00000000" w:rsidRPr="00000000">
        <w:rPr>
          <w:sz w:val="22"/>
          <w:szCs w:val="22"/>
          <w:rtl w:val="0"/>
        </w:rPr>
        <w:t xml:space="preserve">La lista de verificación de los artefactos está constituida por todos los documentos entregables al cliente, detallando su estado. Los artefactos requeridos en el proyecto ConYapa son los siguientes:</w:t>
      </w:r>
    </w:p>
    <w:sdt>
      <w:sdtPr>
        <w:lock w:val="contentLocked"/>
        <w:id w:val="-388559300"/>
        <w:tag w:val="goog_rdk_0"/>
      </w:sdtPr>
      <w:sdtContent>
        <w:tbl>
          <w:tblPr>
            <w:tblStyle w:val="Table1"/>
            <w:tblpPr w:leftFromText="180" w:rightFromText="180" w:topFromText="180" w:bottomFromText="180" w:vertAnchor="text" w:horzAnchor="text" w:tblpX="1680" w:tblpY="0"/>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1500"/>
            <w:tblGridChange w:id="0">
              <w:tblGrid>
                <w:gridCol w:w="4905"/>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034">
                <w:pPr>
                  <w:widowControl w:val="0"/>
                  <w:spacing w:after="0" w:line="276" w:lineRule="auto"/>
                  <w:ind w:left="0"/>
                  <w:jc w:val="center"/>
                  <w:rPr/>
                </w:pPr>
                <w:r w:rsidDel="00000000" w:rsidR="00000000" w:rsidRPr="00000000">
                  <w:rPr>
                    <w:b w:val="1"/>
                    <w:bCs w:val="1"/>
                    <w:rtl w:val="0"/>
                  </w:rPr>
                  <w:t xml:space="preserve">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035">
                <w:pPr>
                  <w:widowControl w:val="0"/>
                  <w:spacing w:after="0" w:line="276" w:lineRule="auto"/>
                  <w:ind w:left="0"/>
                  <w:jc w:val="center"/>
                  <w:rPr/>
                </w:pPr>
                <w:r w:rsidDel="00000000" w:rsidR="00000000" w:rsidRPr="00000000">
                  <w:rPr>
                    <w:b w:val="1"/>
                    <w:bCs w:val="1"/>
                    <w:rtl w:val="0"/>
                  </w:rPr>
                  <w:t xml:space="preserve">Estado</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6">
                <w:pPr>
                  <w:widowControl w:val="0"/>
                  <w:spacing w:after="0" w:line="276" w:lineRule="auto"/>
                  <w:ind w:left="0"/>
                  <w:rPr/>
                </w:pPr>
                <w:r w:rsidDel="00000000" w:rsidR="00000000" w:rsidRPr="00000000">
                  <w:rPr>
                    <w:rtl w:val="0"/>
                  </w:rPr>
                  <w:t xml:space="preserve">Acta de constitución del proyecto</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7">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8">
                <w:pPr>
                  <w:widowControl w:val="0"/>
                  <w:spacing w:after="0" w:line="276" w:lineRule="auto"/>
                  <w:ind w:left="0"/>
                  <w:rPr/>
                </w:pPr>
                <w:r w:rsidDel="00000000" w:rsidR="00000000" w:rsidRPr="00000000">
                  <w:rPr>
                    <w:rtl w:val="0"/>
                  </w:rPr>
                  <w:t xml:space="preserve">Roadmap</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9">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A">
                <w:pPr>
                  <w:widowControl w:val="0"/>
                  <w:spacing w:after="0" w:line="276" w:lineRule="auto"/>
                  <w:ind w:left="0"/>
                  <w:rPr/>
                </w:pPr>
                <w:r w:rsidDel="00000000" w:rsidR="00000000" w:rsidRPr="00000000">
                  <w:rPr>
                    <w:rtl w:val="0"/>
                  </w:rPr>
                  <w:t xml:space="preserve">Documento de definición e identificación del proyecto</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B">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C">
                <w:pPr>
                  <w:widowControl w:val="0"/>
                  <w:spacing w:after="0" w:line="276" w:lineRule="auto"/>
                  <w:ind w:left="0"/>
                  <w:rPr/>
                </w:pPr>
                <w:r w:rsidDel="00000000" w:rsidR="00000000" w:rsidRPr="00000000">
                  <w:rPr>
                    <w:rtl w:val="0"/>
                  </w:rPr>
                  <w:t xml:space="preserve">Informe de cierre del proyecto</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E">
                <w:pPr>
                  <w:widowControl w:val="0"/>
                  <w:spacing w:after="0" w:line="276" w:lineRule="auto"/>
                  <w:ind w:left="0"/>
                  <w:rPr/>
                </w:pPr>
                <w:r w:rsidDel="00000000" w:rsidR="00000000" w:rsidRPr="00000000">
                  <w:rPr>
                    <w:rtl w:val="0"/>
                  </w:rPr>
                  <w:t xml:space="preserve">Diagrama de actividad</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F">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ind w:left="0"/>
                  <w:rPr/>
                </w:pPr>
                <w:r w:rsidDel="00000000" w:rsidR="00000000" w:rsidRPr="00000000">
                  <w:rPr>
                    <w:rtl w:val="0"/>
                  </w:rPr>
                  <w:t xml:space="preserve">Diagrama de clases</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1">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ind w:left="0"/>
                  <w:rPr/>
                </w:pPr>
                <w:r w:rsidDel="00000000" w:rsidR="00000000" w:rsidRPr="00000000">
                  <w:rPr>
                    <w:rtl w:val="0"/>
                  </w:rPr>
                  <w:t xml:space="preserve">Diagrama de Arquitectura</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ind w:left="0"/>
                  <w:rPr/>
                </w:pPr>
                <w:r w:rsidDel="00000000" w:rsidR="00000000" w:rsidRPr="00000000">
                  <w:rPr>
                    <w:rtl w:val="0"/>
                  </w:rPr>
                  <w:t xml:space="preserve">Diagrama de componentes</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ind w:left="0"/>
                  <w:rPr/>
                </w:pPr>
                <w:r w:rsidDel="00000000" w:rsidR="00000000" w:rsidRPr="00000000">
                  <w:rPr>
                    <w:rtl w:val="0"/>
                  </w:rPr>
                  <w:t xml:space="preserve">Diagrama de casos de uso</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ind w:left="0"/>
                  <w:rPr/>
                </w:pPr>
                <w:r w:rsidDel="00000000" w:rsidR="00000000" w:rsidRPr="00000000">
                  <w:rPr>
                    <w:rtl w:val="0"/>
                  </w:rPr>
                  <w:t xml:space="preserve">Definición del plan de pruebas</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ind w:left="0"/>
                  <w:rPr/>
                </w:pPr>
                <w:r w:rsidDel="00000000" w:rsidR="00000000" w:rsidRPr="00000000">
                  <w:rPr>
                    <w:rtl w:val="0"/>
                  </w:rPr>
                  <w:t xml:space="preserve">Carta Gantt plan de pruebas</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B">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ind w:left="0"/>
                  <w:rPr/>
                </w:pPr>
                <w:r w:rsidDel="00000000" w:rsidR="00000000" w:rsidRPr="00000000">
                  <w:rPr>
                    <w:rtl w:val="0"/>
                  </w:rPr>
                  <w:t xml:space="preserve">Resultados plan de pruebas</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E">
                <w:pPr>
                  <w:widowControl w:val="0"/>
                  <w:spacing w:after="0" w:line="276" w:lineRule="auto"/>
                  <w:ind w:left="0"/>
                  <w:rPr/>
                </w:pPr>
                <w:r w:rsidDel="00000000" w:rsidR="00000000" w:rsidRPr="00000000">
                  <w:rPr>
                    <w:rtl w:val="0"/>
                  </w:rPr>
                  <w:t xml:space="preserve">Documentos de avance de sprint</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ind w:left="0"/>
                  <w:rPr/>
                </w:pPr>
                <w:r w:rsidDel="00000000" w:rsidR="00000000" w:rsidRPr="00000000">
                  <w:rPr>
                    <w:rtl w:val="0"/>
                  </w:rPr>
                  <w:t xml:space="preserve">Historias de usuario</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1">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ind w:left="0"/>
                  <w:rPr/>
                </w:pPr>
                <w:r w:rsidDel="00000000" w:rsidR="00000000" w:rsidRPr="00000000">
                  <w:rPr>
                    <w:rtl w:val="0"/>
                  </w:rPr>
                  <w:t xml:space="preserve">Product Backlog</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4">
                <w:pPr>
                  <w:widowControl w:val="0"/>
                  <w:spacing w:after="0" w:line="276" w:lineRule="auto"/>
                  <w:ind w:left="0"/>
                  <w:rPr/>
                </w:pPr>
                <w:r w:rsidDel="00000000" w:rsidR="00000000" w:rsidRPr="00000000">
                  <w:rPr>
                    <w:rtl w:val="0"/>
                  </w:rPr>
                  <w:t xml:space="preserve">Sprint Backlog</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ind w:left="0"/>
                  <w:rPr/>
                </w:pPr>
                <w:r w:rsidDel="00000000" w:rsidR="00000000" w:rsidRPr="00000000">
                  <w:rPr>
                    <w:rtl w:val="0"/>
                  </w:rPr>
                  <w:t xml:space="preserve">Resumen Reunión Retrospectiva</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ind w:left="0"/>
                  <w:rPr/>
                </w:pPr>
                <w:r w:rsidDel="00000000" w:rsidR="00000000" w:rsidRPr="00000000">
                  <w:rPr>
                    <w:rtl w:val="0"/>
                  </w:rPr>
                  <w:t xml:space="preserve">Finalizado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ind w:left="0"/>
                  <w:rPr/>
                </w:pPr>
                <w:r w:rsidDel="00000000" w:rsidR="00000000" w:rsidRPr="00000000">
                  <w:rPr>
                    <w:rtl w:val="0"/>
                  </w:rPr>
                  <w:t xml:space="preserve">Manual de usuario</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ind w:left="0"/>
                  <w:rPr/>
                </w:pPr>
                <w:r w:rsidDel="00000000" w:rsidR="00000000" w:rsidRPr="00000000">
                  <w:rPr>
                    <w:rtl w:val="0"/>
                  </w:rPr>
                  <w:t xml:space="preserve">Finalizado</w:t>
                </w:r>
              </w:p>
            </w:tc>
          </w:tr>
        </w:tbl>
      </w:sdtContent>
    </w:sdt>
    <w:p w:rsidR="00000000" w:rsidDel="00000000" w:rsidP="00000000" w:rsidRDefault="00000000" w:rsidRPr="00000000" w14:paraId="0000005A">
      <w:pPr>
        <w:spacing w:after="160" w:line="259" w:lineRule="auto"/>
        <w:ind w:left="0"/>
        <w:rPr>
          <w:sz w:val="24"/>
          <w:szCs w:val="24"/>
        </w:rPr>
      </w:pPr>
      <w:bookmarkStart w:colFirst="0" w:colLast="0" w:name="_heading=h.44oirenzp607" w:id="10"/>
      <w:bookmarkEnd w:id="10"/>
      <w:r w:rsidDel="00000000" w:rsidR="00000000" w:rsidRPr="00000000">
        <w:rPr>
          <w:rtl w:val="0"/>
        </w:rPr>
      </w:r>
    </w:p>
    <w:p w:rsidR="00000000" w:rsidDel="00000000" w:rsidP="00000000" w:rsidRDefault="00000000" w:rsidRPr="00000000" w14:paraId="0000005B">
      <w:pPr>
        <w:ind w:firstLine="720"/>
        <w:jc w:val="both"/>
        <w:rPr/>
      </w:pPr>
      <w:r w:rsidDel="00000000" w:rsidR="00000000" w:rsidRPr="00000000">
        <w:rPr>
          <w:rtl w:val="0"/>
        </w:rPr>
      </w:r>
    </w:p>
    <w:p w:rsidR="00000000" w:rsidDel="00000000" w:rsidP="00000000" w:rsidRDefault="00000000" w:rsidRPr="00000000" w14:paraId="0000005C">
      <w:pPr>
        <w:spacing w:after="160" w:line="259" w:lineRule="auto"/>
        <w:ind w:left="0" w:firstLine="0"/>
        <w:rPr/>
      </w:pPr>
      <w:bookmarkStart w:colFirst="0" w:colLast="0" w:name="_heading=h.44oirenzp607" w:id="10"/>
      <w:bookmarkEnd w:id="10"/>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ageBreakBefore w:val="0"/>
        <w:tabs>
          <w:tab w:val="left" w:leader="none" w:pos="0"/>
          <w:tab w:val="left" w:leader="none" w:pos="1980"/>
          <w:tab w:val="left" w:leader="none" w:pos="0"/>
          <w:tab w:val="left" w:leader="none" w:pos="1980"/>
        </w:tabs>
        <w:ind w:firstLine="0"/>
        <w:rPr/>
      </w:pPr>
      <w:r w:rsidDel="00000000" w:rsidR="00000000" w:rsidRPr="00000000">
        <w:rPr>
          <w:rtl w:val="0"/>
        </w:rPr>
      </w:r>
    </w:p>
    <w:p w:rsidR="00000000" w:rsidDel="00000000" w:rsidP="00000000" w:rsidRDefault="00000000" w:rsidRPr="00000000" w14:paraId="0000005E">
      <w:pPr>
        <w:pStyle w:val="Heading1"/>
        <w:pageBreakBefore w:val="0"/>
        <w:tabs>
          <w:tab w:val="left" w:leader="none" w:pos="0"/>
          <w:tab w:val="left" w:leader="none" w:pos="1980"/>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5F">
      <w:pPr>
        <w:ind w:firstLine="720"/>
        <w:jc w:val="both"/>
        <w:rPr>
          <w:sz w:val="22"/>
          <w:szCs w:val="22"/>
        </w:rPr>
      </w:pPr>
      <w:r w:rsidDel="00000000" w:rsidR="00000000" w:rsidRPr="00000000">
        <w:rPr>
          <w:sz w:val="22"/>
          <w:szCs w:val="22"/>
          <w:rtl w:val="0"/>
        </w:rPr>
        <w:t xml:space="preserve">Posterior a la puesta en marcha definitiva de la plataforma y durante su etapa de régimen, las actividades de mantenimiento correctivo y evolutivo se ejecutarán bajo un esquema de trabajo conjunto, formalizado mediante un Acuerdo de Nivel de Servicio (SLA) suscrito entre la mesa técnica del proyecto y el Gobierno Regional Metropolitano (GOREM). Este acuerdo garantizará tiempos máximos de respuesta y resolución estandarizados ante contingencias críticas, caídas del servicio o imprevistos en la infraestructura.</w:t>
      </w:r>
    </w:p>
    <w:p w:rsidR="00000000" w:rsidDel="00000000" w:rsidP="00000000" w:rsidRDefault="00000000" w:rsidRPr="00000000" w14:paraId="00000060">
      <w:pPr>
        <w:ind w:firstLine="720"/>
        <w:jc w:val="both"/>
        <w:rPr>
          <w:sz w:val="22"/>
          <w:szCs w:val="22"/>
        </w:rPr>
      </w:pPr>
      <w:r w:rsidDel="00000000" w:rsidR="00000000" w:rsidRPr="00000000">
        <w:rPr>
          <w:sz w:val="22"/>
          <w:szCs w:val="22"/>
          <w:rtl w:val="0"/>
        </w:rPr>
        <w:t xml:space="preserve">Para asegurar el cumplimiento de estos compromisos durante la vigencia del contrato de soporte, se dispondrá de un equipo técnico permanente compuesto por un Analista de Sistemas (encargado del monitoreo de la API, gestión de incidencias del módulo de administración municipal y moderación) y un Desarrollador Full-Stack (responsable de resolver bugs en la interfaz de React, optimizar consultas en Sequelize y velar por la estabilidad del despliegue).</w:t>
      </w:r>
    </w:p>
    <w:p w:rsidR="00000000" w:rsidDel="00000000" w:rsidP="00000000" w:rsidRDefault="00000000" w:rsidRPr="00000000" w14:paraId="00000061">
      <w:pPr>
        <w:ind w:firstLine="720"/>
        <w:jc w:val="both"/>
        <w:rPr/>
      </w:pPr>
      <w:r w:rsidDel="00000000" w:rsidR="00000000" w:rsidRPr="00000000">
        <w:rPr>
          <w:rtl w:val="0"/>
        </w:rPr>
      </w:r>
    </w:p>
    <w:p w:rsidR="00000000" w:rsidDel="00000000" w:rsidP="00000000" w:rsidRDefault="00000000" w:rsidRPr="00000000" w14:paraId="00000062">
      <w:pPr>
        <w:pStyle w:val="Heading1"/>
        <w:pageBreakBefore w:val="0"/>
        <w:tabs>
          <w:tab w:val="left" w:leader="none" w:pos="0"/>
          <w:tab w:val="left" w:leader="none" w:pos="1980"/>
          <w:tab w:val="left" w:leader="none" w:pos="0"/>
          <w:tab w:val="left" w:leader="none" w:pos="1980"/>
        </w:tabs>
        <w:ind w:firstLine="0"/>
        <w:rPr/>
      </w:pPr>
      <w:bookmarkStart w:colFirst="0" w:colLast="0" w:name="_heading=h.c9i6qm33ex8a" w:id="11"/>
      <w:bookmarkEnd w:id="11"/>
      <w:r w:rsidDel="00000000" w:rsidR="00000000" w:rsidRPr="00000000">
        <w:rPr>
          <w:rtl w:val="0"/>
        </w:rPr>
        <w:t xml:space="preserve">Sección 5</w:t>
        <w:tab/>
        <w:t xml:space="preserve">Lecciones Aprendidas</w:t>
      </w:r>
    </w:p>
    <w:p w:rsidR="00000000" w:rsidDel="00000000" w:rsidP="00000000" w:rsidRDefault="00000000" w:rsidRPr="00000000" w14:paraId="00000063">
      <w:pPr>
        <w:ind w:firstLine="720"/>
        <w:jc w:val="both"/>
        <w:rPr>
          <w:sz w:val="22"/>
          <w:szCs w:val="22"/>
        </w:rPr>
      </w:pPr>
      <w:r w:rsidDel="00000000" w:rsidR="00000000" w:rsidRPr="00000000">
        <w:rPr>
          <w:sz w:val="22"/>
          <w:szCs w:val="22"/>
          <w:rtl w:val="0"/>
        </w:rPr>
        <w:t xml:space="preserve">La construcción de un ecosistema digital moderno basado en una arquitectura desacoplada con React en el frontend y Node.js con PostgreSQL en el backend, consolidó capacidades técnicas clave dentro del equipo de ingeniería. Se demostró la viabilidad de implementar soluciones de alta eficiencia a través de software de código abierto (open-source), evitando costos asociados a licencias propietarias y entregando un producto robusto y perfectamente adaptable a las necesidades de la administración pública.</w:t>
      </w:r>
    </w:p>
    <w:p w:rsidR="00000000" w:rsidDel="00000000" w:rsidP="00000000" w:rsidRDefault="00000000" w:rsidRPr="00000000" w14:paraId="00000064">
      <w:pPr>
        <w:ind w:firstLine="720"/>
        <w:jc w:val="both"/>
        <w:rPr>
          <w:sz w:val="22"/>
          <w:szCs w:val="22"/>
        </w:rPr>
      </w:pPr>
      <w:r w:rsidDel="00000000" w:rsidR="00000000" w:rsidRPr="00000000">
        <w:rPr>
          <w:sz w:val="22"/>
          <w:szCs w:val="22"/>
          <w:rtl w:val="0"/>
        </w:rPr>
        <w:t xml:space="preserve">Por otro lado, el diseño y la integración del componente de georreferenciación interactiva utilizando Leaflet significó un hito de vanguardia en la entrega de soluciones de valor para la comunidad. Esta implementación permitió comprender el impacto de la localización en tiempo real dentro del comercio local, logrando conectar de manera orgánica las ubicaciones de los feriantes con la demanda real de los clientes.</w:t>
      </w:r>
    </w:p>
    <w:p w:rsidR="00000000" w:rsidDel="00000000" w:rsidP="00000000" w:rsidRDefault="00000000" w:rsidRPr="00000000" w14:paraId="00000065">
      <w:pPr>
        <w:ind w:firstLine="720"/>
        <w:jc w:val="both"/>
        <w:rPr>
          <w:sz w:val="22"/>
          <w:szCs w:val="22"/>
        </w:rPr>
      </w:pPr>
      <w:r w:rsidDel="00000000" w:rsidR="00000000" w:rsidRPr="00000000">
        <w:rPr>
          <w:sz w:val="22"/>
          <w:szCs w:val="22"/>
          <w:rtl w:val="0"/>
        </w:rPr>
        <w:t xml:space="preserve">Asimismo, la gestión del proyecto bajo un enfoque ágil evidenció que el éxito de un SaaS de alcance municipal depende críticamente de una definición temprana y rigurosa de las historias de usuario y de un flujo constante de retroalimentación con las contrapartes institucionales para evitar desvíos en el alcance de los sprints.</w:t>
      </w:r>
    </w:p>
    <w:p w:rsidR="00000000" w:rsidDel="00000000" w:rsidP="00000000" w:rsidRDefault="00000000" w:rsidRPr="00000000" w14:paraId="00000066">
      <w:pPr>
        <w:pStyle w:val="Heading1"/>
        <w:pageBreakBefore w:val="0"/>
        <w:tabs>
          <w:tab w:val="left" w:leader="none" w:pos="0"/>
          <w:tab w:val="left" w:leader="none" w:pos="1980"/>
          <w:tab w:val="left" w:leader="none" w:pos="0"/>
          <w:tab w:val="left" w:leader="none" w:pos="1980"/>
        </w:tabs>
        <w:ind w:firstLine="0"/>
        <w:rPr/>
      </w:pPr>
      <w:bookmarkStart w:colFirst="0" w:colLast="0" w:name="_heading=h.tm5dmidoav1e" w:id="12"/>
      <w:bookmarkEnd w:id="12"/>
      <w:r w:rsidDel="00000000" w:rsidR="00000000" w:rsidRPr="00000000">
        <w:rPr>
          <w:rtl w:val="0"/>
        </w:rPr>
      </w:r>
    </w:p>
    <w:p w:rsidR="00000000" w:rsidDel="00000000" w:rsidP="00000000" w:rsidRDefault="00000000" w:rsidRPr="00000000" w14:paraId="00000067">
      <w:pPr>
        <w:pStyle w:val="Heading1"/>
        <w:pageBreakBefore w:val="0"/>
        <w:tabs>
          <w:tab w:val="left" w:leader="none" w:pos="0"/>
          <w:tab w:val="left" w:leader="none" w:pos="1980"/>
          <w:tab w:val="left" w:leader="none" w:pos="0"/>
          <w:tab w:val="left" w:leader="none" w:pos="1980"/>
        </w:tabs>
        <w:ind w:firstLine="0"/>
        <w:rPr/>
      </w:pPr>
      <w:bookmarkStart w:colFirst="0" w:colLast="0" w:name="_heading=h.s10du4kpwdzn" w:id="13"/>
      <w:bookmarkEnd w:id="13"/>
      <w:r w:rsidDel="00000000" w:rsidR="00000000" w:rsidRPr="00000000">
        <w:rPr>
          <w:rtl w:val="0"/>
        </w:rPr>
        <w:t xml:space="preserve">Sección 6</w:t>
        <w:tab/>
        <w:t xml:space="preserve">Planes Post-Implantación</w:t>
      </w:r>
    </w:p>
    <w:p w:rsidR="00000000" w:rsidDel="00000000" w:rsidP="00000000" w:rsidRDefault="00000000" w:rsidRPr="00000000" w14:paraId="00000068">
      <w:pPr>
        <w:ind w:firstLine="720"/>
        <w:jc w:val="both"/>
        <w:rPr>
          <w:sz w:val="22"/>
          <w:szCs w:val="22"/>
        </w:rPr>
      </w:pPr>
      <w:r w:rsidDel="00000000" w:rsidR="00000000" w:rsidRPr="00000000">
        <w:rPr>
          <w:sz w:val="22"/>
          <w:szCs w:val="22"/>
          <w:rtl w:val="0"/>
        </w:rPr>
        <w:t xml:space="preserve">Una vez completado el despliegue inicial en el entorno de producción, se dará inicio a un periodo de marcha blanca de 30 días corridos. Esta fase tendrá como objetivo principal monitorear el comportamiento del aplicativo ante la concurrencia real de clientes y feriantes, permitiendo realizar ajustes de indexación y tuning sobre la base de datos PostgreSQL.</w:t>
      </w:r>
    </w:p>
    <w:p w:rsidR="00000000" w:rsidDel="00000000" w:rsidP="00000000" w:rsidRDefault="00000000" w:rsidRPr="00000000" w14:paraId="00000069">
      <w:pPr>
        <w:ind w:firstLine="720"/>
        <w:jc w:val="both"/>
        <w:rPr>
          <w:sz w:val="22"/>
          <w:szCs w:val="22"/>
        </w:rPr>
      </w:pPr>
      <w:r w:rsidDel="00000000" w:rsidR="00000000" w:rsidRPr="00000000">
        <w:rPr>
          <w:sz w:val="22"/>
          <w:szCs w:val="22"/>
          <w:rtl w:val="0"/>
        </w:rPr>
        <w:t xml:space="preserve">Durante este lapso, se establecerá formalmente una política de ciclo de vida de los datos, definiendo los criterios para el purgado o archivado histórico de registros antiguos (tales como logs de auditoría de la administración o geolocalizaciones efímeras ya vencidas). Esta estrategia de gobernanza de datos asegurará que el crecimiento del volumen de información no degrade el rendimiento de las consultas ni sature el servidor de aplicaciones en el mediano y largo plazo.</w:t>
      </w:r>
    </w:p>
    <w:p w:rsidR="00000000" w:rsidDel="00000000" w:rsidP="00000000" w:rsidRDefault="00000000" w:rsidRPr="00000000" w14:paraId="0000006A">
      <w:pPr>
        <w:ind w:left="0" w:firstLine="0"/>
        <w:jc w:val="both"/>
        <w:rPr/>
      </w:pPr>
      <w:r w:rsidDel="00000000" w:rsidR="00000000" w:rsidRPr="00000000">
        <w:rPr>
          <w:rtl w:val="0"/>
        </w:rPr>
      </w:r>
    </w:p>
    <w:p w:rsidR="00000000" w:rsidDel="00000000" w:rsidP="00000000" w:rsidRDefault="00000000" w:rsidRPr="00000000" w14:paraId="0000006B">
      <w:pPr>
        <w:pStyle w:val="Heading1"/>
        <w:pageBreakBefore w:val="0"/>
        <w:tabs>
          <w:tab w:val="left" w:leader="none" w:pos="0"/>
          <w:tab w:val="left" w:leader="none" w:pos="1980"/>
          <w:tab w:val="left" w:leader="none" w:pos="0"/>
          <w:tab w:val="left" w:leader="none" w:pos="1980"/>
        </w:tabs>
        <w:ind w:firstLine="0"/>
        <w:rPr/>
      </w:pPr>
      <w:bookmarkStart w:colFirst="0" w:colLast="0" w:name="_heading=h.wgjioywkbi8s" w:id="14"/>
      <w:bookmarkEnd w:id="14"/>
      <w:r w:rsidDel="00000000" w:rsidR="00000000" w:rsidRPr="00000000">
        <w:rPr>
          <w:rtl w:val="0"/>
        </w:rPr>
        <w:t xml:space="preserve">Sección 7</w:t>
        <w:tab/>
        <w:t xml:space="preserve">No Conformidades Abiertas</w:t>
      </w:r>
    </w:p>
    <w:p w:rsidR="00000000" w:rsidDel="00000000" w:rsidP="00000000" w:rsidRDefault="00000000" w:rsidRPr="00000000" w14:paraId="0000006C">
      <w:pPr>
        <w:spacing w:after="240" w:before="240" w:lineRule="auto"/>
        <w:ind w:firstLine="720"/>
        <w:jc w:val="both"/>
        <w:rPr>
          <w:sz w:val="22"/>
          <w:szCs w:val="22"/>
        </w:rPr>
      </w:pPr>
      <w:r w:rsidDel="00000000" w:rsidR="00000000" w:rsidRPr="00000000">
        <w:rPr>
          <w:sz w:val="22"/>
          <w:szCs w:val="22"/>
          <w:rtl w:val="0"/>
        </w:rPr>
        <w:t xml:space="preserve">Al concluir el plazo límite establecido para la liberación de la línea base del proyecto, las siguientes funcionalidades no fueron finalizadas en su totalidad o quedaron sujetas a iteraciones posteriores, catalogándose formalmente como no conformidades abiertas:</w:t>
      </w:r>
    </w:p>
    <w:p w:rsidR="00000000" w:rsidDel="00000000" w:rsidP="00000000" w:rsidRDefault="00000000" w:rsidRPr="00000000" w14:paraId="0000006D">
      <w:pPr>
        <w:numPr>
          <w:ilvl w:val="0"/>
          <w:numId w:val="1"/>
        </w:numPr>
        <w:spacing w:after="0" w:afterAutospacing="0" w:before="240" w:lineRule="auto"/>
        <w:ind w:left="1440" w:hanging="360"/>
        <w:jc w:val="both"/>
        <w:rPr>
          <w:sz w:val="22"/>
          <w:szCs w:val="22"/>
        </w:rPr>
      </w:pPr>
      <w:r w:rsidDel="00000000" w:rsidR="00000000" w:rsidRPr="00000000">
        <w:rPr>
          <w:b w:val="1"/>
          <w:bCs w:val="1"/>
          <w:sz w:val="22"/>
          <w:szCs w:val="22"/>
          <w:rtl w:val="0"/>
        </w:rPr>
        <w:t xml:space="preserve">Dashboard y Módulo de Informes de Gestión:</w:t>
      </w:r>
      <w:r w:rsidDel="00000000" w:rsidR="00000000" w:rsidRPr="00000000">
        <w:rPr>
          <w:sz w:val="22"/>
          <w:szCs w:val="22"/>
          <w:rtl w:val="0"/>
        </w:rPr>
        <w:t xml:space="preserve"> Ventana analítica destinada al administrador municipal para la visualización de estadísticas agregadas sobre afluencia de público, rubros activos e indicadores de satisfacción en la comuna.</w:t>
      </w:r>
    </w:p>
    <w:p w:rsidR="00000000" w:rsidDel="00000000" w:rsidP="00000000" w:rsidRDefault="00000000" w:rsidRPr="00000000" w14:paraId="0000006E">
      <w:pPr>
        <w:numPr>
          <w:ilvl w:val="0"/>
          <w:numId w:val="1"/>
        </w:numPr>
        <w:spacing w:after="0" w:afterAutospacing="0" w:before="0" w:beforeAutospacing="0" w:lineRule="auto"/>
        <w:ind w:left="1440" w:hanging="360"/>
        <w:jc w:val="both"/>
        <w:rPr>
          <w:sz w:val="22"/>
          <w:szCs w:val="22"/>
        </w:rPr>
      </w:pPr>
      <w:r w:rsidDel="00000000" w:rsidR="00000000" w:rsidRPr="00000000">
        <w:rPr>
          <w:b w:val="1"/>
          <w:bCs w:val="1"/>
          <w:sz w:val="22"/>
          <w:szCs w:val="22"/>
          <w:rtl w:val="0"/>
        </w:rPr>
        <w:t xml:space="preserve">Selector Manual de Ubicación de Usuario:</w:t>
      </w:r>
      <w:r w:rsidDel="00000000" w:rsidR="00000000" w:rsidRPr="00000000">
        <w:rPr>
          <w:sz w:val="22"/>
          <w:szCs w:val="22"/>
          <w:rtl w:val="0"/>
        </w:rPr>
        <w:t xml:space="preserve"> Limitación temporal en la experiencia de usuario del mapa; la aplicación actualmente rastrea la posición de forma automática mediante el GPS del dispositivo o muestra el consolidado general de ferias en el mapa de Leaflet, quedando pendiente la funcionalidad para que el cliente configure o simule manualmente su ubicación en zonas específicas o microbarrios definidos dentro de la comuna.</w:t>
      </w:r>
    </w:p>
    <w:p w:rsidR="00000000" w:rsidDel="00000000" w:rsidP="00000000" w:rsidRDefault="00000000" w:rsidRPr="00000000" w14:paraId="0000006F">
      <w:pPr>
        <w:numPr>
          <w:ilvl w:val="0"/>
          <w:numId w:val="1"/>
        </w:numPr>
        <w:spacing w:after="240" w:before="0" w:beforeAutospacing="0" w:lineRule="auto"/>
        <w:ind w:left="1440" w:hanging="360"/>
        <w:jc w:val="both"/>
        <w:rPr>
          <w:sz w:val="22"/>
          <w:szCs w:val="22"/>
          <w:u w:val="none"/>
        </w:rPr>
      </w:pPr>
      <w:r w:rsidDel="00000000" w:rsidR="00000000" w:rsidRPr="00000000">
        <w:rPr>
          <w:sz w:val="22"/>
          <w:szCs w:val="22"/>
          <w:rtl w:val="0"/>
        </w:rPr>
        <w:t xml:space="preserve">Restablecimiento de contraseña: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71">
      <w:pPr>
        <w:ind w:firstLine="720"/>
        <w:jc w:val="both"/>
        <w:rPr>
          <w:sz w:val="22"/>
          <w:szCs w:val="22"/>
        </w:rPr>
      </w:pPr>
      <w:r w:rsidDel="00000000" w:rsidR="00000000" w:rsidRPr="00000000">
        <w:rPr>
          <w:rtl w:val="0"/>
        </w:rPr>
      </w:r>
    </w:p>
    <w:p w:rsidR="00000000" w:rsidDel="00000000" w:rsidP="00000000" w:rsidRDefault="00000000" w:rsidRPr="00000000" w14:paraId="00000072">
      <w:pPr>
        <w:ind w:firstLine="720"/>
        <w:rPr/>
      </w:pPr>
      <w:r w:rsidDel="00000000" w:rsidR="00000000" w:rsidRPr="00000000">
        <w:rPr>
          <w:rtl w:val="0"/>
        </w:rPr>
      </w:r>
    </w:p>
    <w:sectPr>
      <w:headerReference r:id="rId15"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4" name="image2.png"/>
          <a:graphic>
            <a:graphicData uri="http://schemas.openxmlformats.org/drawingml/2006/picture">
              <pic:pic>
                <pic:nvPicPr>
                  <pic:cNvPr descr="DIR_logo_grayscale no text" id="0" name="image2.png"/>
                  <pic:cNvPicPr preferRelativeResize="0"/>
                </pic:nvPicPr>
                <pic:blipFill>
                  <a:blip r:embed="rId1"/>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7B">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 Av. Américo Vespucio 1501, Maipú, Cerrillos, Región Metropolitana</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2" name="image1.png"/>
          <a:graphic>
            <a:graphicData uri="http://schemas.openxmlformats.org/drawingml/2006/picture">
              <pic:pic>
                <pic:nvPicPr>
                  <pic:cNvPr descr="1-BusJust" id="0" name="image1.png"/>
                  <pic:cNvPicPr preferRelativeResize="0"/>
                </pic:nvPicPr>
                <pic:blipFill>
                  <a:blip r:embed="rId1"/>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981200" cy="438150"/>
          <wp:effectExtent b="0" l="0" r="0" t="0"/>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981200" cy="438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726441</wp:posOffset>
              </wp:positionH>
              <wp:positionV relativeFrom="paragraph">
                <wp:posOffset>246380</wp:posOffset>
              </wp:positionV>
              <wp:extent cx="3811270" cy="346075"/>
              <wp:effectExtent b="0" l="0" r="0" t="0"/>
              <wp:wrapTopAndBottom distB="0" distT="0"/>
              <wp:docPr id="1"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10bc-t1-3.doc | DRAFT |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726441</wp:posOffset>
              </wp:positionH>
              <wp:positionV relativeFrom="paragraph">
                <wp:posOffset>246380</wp:posOffset>
              </wp:positionV>
              <wp:extent cx="3811270" cy="346075"/>
              <wp:effectExtent b="0" l="0" r="0" t="0"/>
              <wp:wrapTopAndBottom distB="0" distT="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811270" cy="34607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981200" cy="438150"/>
          <wp:effectExtent b="0" l="0" r="0" t="0"/>
          <wp:docPr id="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981200" cy="438150"/>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5meIdkMplOcPnSGWOQBL0l0aQ==">CgMxLjAaHwoBMBIaChgICVIUChJ0YWJsZS4yZXE5bXB5NDIzNGMyDmguYTg0ZTJtNXBwbWszMg5oLjVmbWs2ZzkyYzQ1dzIOaC5jbHl3aHBkNGN5d3kyDmguNHk2eWp3ajFtMHFtMg5oLjRtODY2NThtNGQzdTIOaC5oaTBobnNjaGF2MHoyDmgubjJsdHFuaWMxOXU0Mg5oLnRpOXd5bDJheHRnZzINaC5yb2Y5MnE0bTZnNjIOaC5weWN1Zm1scnB2ZnAyDmguNDRvaXJlbnpwNjA3Mg5oLjQ0b2lyZW56cDYwNzIOaC5jOWk2cW0zM2V4OGEyDmgudG01ZG1pZG9hdjFlMg5oLnMxMGR1NGtwd2R6bjIOaC53Z2ppb3l3a2JpOHM4AHIhMWczS1luRTJlZzRmX18tV3E1RGpBY3dlNWFSMlRwc1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