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11754"/>
        <w:tblW w:w="8833.0" w:type="dxa"/>
        <w:jc w:val="left"/>
        <w:tblInd w:w="-108.0" w:type="dxa"/>
        <w:tblLayout w:type="fixed"/>
        <w:tblLook w:val="04A0"/>
      </w:tblPr>
      <w:tblGrid>
        <w:gridCol w:w="2093"/>
        <w:gridCol w:w="6740"/>
        <w:tblGridChange w:id="0">
          <w:tblGrid>
            <w:gridCol w:w="2093"/>
            <w:gridCol w:w="6740"/>
          </w:tblGrid>
        </w:tblGridChange>
      </w:tblGrid>
      <w:tr>
        <w:trPr>
          <w:cantSplit w:val="0"/>
          <w:tblHeader w:val="0"/>
        </w:trPr>
        <w:tc>
          <w:tcPr/>
          <w:p w:rsidR="00000000" w:rsidDel="00000000" w:rsidP="00000000" w:rsidRDefault="00000000" w:rsidRPr="00000000" w14:paraId="00000003">
            <w:pPr>
              <w:ind w:left="0" w:firstLine="0"/>
              <w:rPr>
                <w:b w:val="0"/>
                <w:bCs w:val="0"/>
                <w:i w:val="1"/>
                <w:iCs w:val="1"/>
                <w:color w:val="404040"/>
              </w:rPr>
            </w:pPr>
            <w:r w:rsidDel="00000000" w:rsidR="00000000" w:rsidRPr="00000000">
              <w:rPr>
                <w:i w:val="1"/>
                <w:iCs w:val="1"/>
                <w:color w:val="404040"/>
                <w:sz w:val="22"/>
                <w:szCs w:val="22"/>
                <w:rtl w:val="0"/>
              </w:rPr>
              <w:t xml:space="preserve"> </w:t>
            </w:r>
            <w:r w:rsidDel="00000000" w:rsidR="00000000" w:rsidRPr="00000000">
              <w:rPr>
                <w:rtl w:val="0"/>
              </w:rPr>
            </w:r>
          </w:p>
          <w:p w:rsidR="00000000" w:rsidDel="00000000" w:rsidP="00000000" w:rsidRDefault="00000000" w:rsidRPr="00000000" w14:paraId="00000004">
            <w:pPr>
              <w:ind w:left="0" w:firstLine="0"/>
              <w:rPr>
                <w:i w:val="1"/>
                <w:iCs w:val="1"/>
                <w:color w:val="404040"/>
                <w:sz w:val="22"/>
                <w:szCs w:val="22"/>
              </w:rPr>
            </w:pPr>
            <w:r w:rsidDel="00000000" w:rsidR="00000000" w:rsidRPr="00000000">
              <w:rPr>
                <w:rtl w:val="0"/>
              </w:rPr>
            </w:r>
          </w:p>
        </w:tc>
        <w:tc>
          <w:tcPr/>
          <w:p w:rsidR="00000000" w:rsidDel="00000000" w:rsidP="00000000" w:rsidRDefault="00000000" w:rsidRPr="00000000" w14:paraId="00000005">
            <w:pPr>
              <w:ind w:left="0" w:firstLine="0"/>
              <w:rPr>
                <w:i w:val="1"/>
                <w:iCs w:val="1"/>
                <w:color w:val="404040"/>
                <w:sz w:val="22"/>
                <w:szCs w:val="22"/>
              </w:rPr>
            </w:pPr>
            <w:r w:rsidDel="00000000" w:rsidR="00000000" w:rsidRPr="00000000">
              <w:rPr>
                <w:rtl w:val="0"/>
              </w:rPr>
            </w:r>
          </w:p>
        </w:tc>
      </w:tr>
    </w:tbl>
    <w:p w:rsidR="00000000" w:rsidDel="00000000" w:rsidP="00000000" w:rsidRDefault="00000000" w:rsidRPr="00000000" w14:paraId="00000006">
      <w:pPr>
        <w:ind w:firstLine="36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310515</wp:posOffset>
            </wp:positionH>
            <wp:positionV relativeFrom="paragraph">
              <wp:posOffset>-614041</wp:posOffset>
            </wp:positionV>
            <wp:extent cx="4619625" cy="89535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19625" cy="895350"/>
                    </a:xfrm>
                    <a:prstGeom prst="rect"/>
                    <a:ln/>
                  </pic:spPr>
                </pic:pic>
              </a:graphicData>
            </a:graphic>
          </wp:anchor>
        </w:drawing>
      </w:r>
    </w:p>
    <w:p w:rsidR="00000000" w:rsidDel="00000000" w:rsidP="00000000" w:rsidRDefault="00000000" w:rsidRPr="00000000" w14:paraId="00000007">
      <w:pPr>
        <w:ind w:firstLine="360"/>
        <w:rPr/>
      </w:pPr>
      <w:r w:rsidDel="00000000" w:rsidR="00000000" w:rsidRPr="00000000">
        <w:rPr>
          <w:rtl w:val="0"/>
        </w:rPr>
      </w:r>
    </w:p>
    <w:p w:rsidR="00000000" w:rsidDel="00000000" w:rsidP="00000000" w:rsidRDefault="00000000" w:rsidRPr="00000000" w14:paraId="00000008">
      <w:pPr>
        <w:ind w:firstLine="360"/>
        <w:rPr/>
      </w:pPr>
      <w:r w:rsidDel="00000000" w:rsidR="00000000" w:rsidRPr="00000000">
        <w:rPr>
          <w:rtl w:val="0"/>
        </w:rPr>
      </w:r>
    </w:p>
    <w:p w:rsidR="00000000" w:rsidDel="00000000" w:rsidP="00000000" w:rsidRDefault="00000000" w:rsidRPr="00000000" w14:paraId="00000009">
      <w:pPr>
        <w:ind w:firstLine="360"/>
        <w:rPr/>
      </w:pPr>
      <w:r w:rsidDel="00000000" w:rsidR="00000000" w:rsidRPr="00000000">
        <w:rPr>
          <w:rtl w:val="0"/>
        </w:rPr>
      </w:r>
    </w:p>
    <w:p w:rsidR="00000000" w:rsidDel="00000000" w:rsidP="00000000" w:rsidRDefault="00000000" w:rsidRPr="00000000" w14:paraId="0000000A">
      <w:pPr>
        <w:ind w:firstLine="36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296228</wp:posOffset>
                </wp:positionH>
                <wp:positionV relativeFrom="page">
                  <wp:posOffset>2243139</wp:posOffset>
                </wp:positionV>
                <wp:extent cx="5953125" cy="1743075"/>
                <wp:effectExtent b="0" l="0" r="0" t="0"/>
                <wp:wrapSquare wrapText="bothSides" distB="0" distT="0" distL="114300" distR="114300"/>
                <wp:docPr id="1" name=""/>
                <a:graphic>
                  <a:graphicData uri="http://schemas.microsoft.com/office/word/2010/wordprocessingShape">
                    <wps:wsp>
                      <wps:cNvSpPr/>
                      <wps:cNvPr id="2" name="Shape 2"/>
                      <wps:spPr>
                        <a:xfrm>
                          <a:off x="2383725" y="2922750"/>
                          <a:ext cx="5924550" cy="1714500"/>
                        </a:xfrm>
                        <a:custGeom>
                          <a:rect b="b" l="l" r="r" t="t"/>
                          <a:pathLst>
                            <a:path extrusionOk="0" h="1714500" w="5924550">
                              <a:moveTo>
                                <a:pt x="0" y="0"/>
                              </a:moveTo>
                              <a:lnTo>
                                <a:pt x="0" y="1714500"/>
                              </a:lnTo>
                              <a:lnTo>
                                <a:pt x="5924550" y="1714500"/>
                              </a:lnTo>
                              <a:lnTo>
                                <a:pt x="5924550" y="0"/>
                              </a:lnTo>
                              <a:close/>
                            </a:path>
                          </a:pathLst>
                        </a:cu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t xml:space="preserve">Verificación de Alcances</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r>
                            <w:r w:rsidDel="00000000" w:rsidR="00000000" w:rsidRPr="00000000">
                              <w:rPr>
                                <w:rFonts w:ascii="Times New Roman" w:cs="Times New Roman" w:eastAsia="Times New Roman" w:hAnsi="Times New Roman"/>
                                <w:b w:val="0"/>
                                <w:i w:val="0"/>
                                <w:smallCaps w:val="1"/>
                                <w:strike w:val="0"/>
                                <w:color w:val="1f3864"/>
                                <w:sz w:val="28"/>
                                <w:vertAlign w:val="baseline"/>
                              </w:rPr>
                              <w:t xml:space="preserve">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1f3864"/>
                                <w:sz w:val="28"/>
                                <w:vertAlign w:val="baseline"/>
                              </w:rPr>
                            </w:r>
                            <w:r w:rsidDel="00000000" w:rsidR="00000000" w:rsidRPr="00000000">
                              <w:rPr>
                                <w:rFonts w:ascii="Times New Roman" w:cs="Times New Roman" w:eastAsia="Times New Roman" w:hAnsi="Times New Roman"/>
                                <w:b w:val="0"/>
                                <w:i w:val="0"/>
                                <w:smallCaps w:val="1"/>
                                <w:strike w:val="0"/>
                                <w:color w:val="4472c4"/>
                                <w:sz w:val="28"/>
                                <w:vertAlign w:val="baseline"/>
                              </w:rPr>
                              <w:t xml:space="preserve">     </w:t>
                            </w:r>
                          </w:p>
                        </w:txbxContent>
                      </wps:txbx>
                      <wps:bodyPr anchorCtr="0" anchor="t" bIns="0" lIns="182875" spcFirstLastPara="1" rIns="1828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296228</wp:posOffset>
                </wp:positionH>
                <wp:positionV relativeFrom="page">
                  <wp:posOffset>2243139</wp:posOffset>
                </wp:positionV>
                <wp:extent cx="5953125" cy="174307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53125" cy="1743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B">
      <w:pPr>
        <w:pStyle w:val="Heading6"/>
        <w:ind w:firstLine="360"/>
        <w:rPr/>
      </w:pPr>
      <w:r w:rsidDel="00000000" w:rsidR="00000000" w:rsidRPr="00000000">
        <w:rPr>
          <w:rtl w:val="0"/>
        </w:rPr>
      </w:r>
    </w:p>
    <w:p w:rsidR="00000000" w:rsidDel="00000000" w:rsidP="00000000" w:rsidRDefault="00000000" w:rsidRPr="00000000" w14:paraId="0000000C">
      <w:pPr>
        <w:ind w:firstLine="360"/>
        <w:rPr/>
      </w:pPr>
      <w:r w:rsidDel="00000000" w:rsidR="00000000" w:rsidRPr="00000000">
        <w:rPr>
          <w:rtl w:val="0"/>
        </w:rPr>
      </w:r>
    </w:p>
    <w:p w:rsidR="00000000" w:rsidDel="00000000" w:rsidP="00000000" w:rsidRDefault="00000000" w:rsidRPr="00000000" w14:paraId="0000000D">
      <w:pPr>
        <w:ind w:left="1776" w:firstLine="347.99999999999983"/>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F">
      <w:pPr>
        <w:ind w:firstLine="360"/>
        <w:rPr/>
      </w:pPr>
      <w:r w:rsidDel="00000000" w:rsidR="00000000" w:rsidRPr="00000000">
        <w:rPr>
          <w:rtl w:val="0"/>
        </w:rPr>
      </w:r>
    </w:p>
    <w:p w:rsidR="00000000" w:rsidDel="00000000" w:rsidP="00000000" w:rsidRDefault="00000000" w:rsidRPr="00000000" w14:paraId="00000010">
      <w:pPr>
        <w:ind w:firstLine="360"/>
        <w:rPr/>
      </w:pPr>
      <w:r w:rsidDel="00000000" w:rsidR="00000000" w:rsidRPr="00000000">
        <w:rPr>
          <w:rtl w:val="0"/>
        </w:rPr>
      </w:r>
    </w:p>
    <w:p w:rsidR="00000000" w:rsidDel="00000000" w:rsidP="00000000" w:rsidRDefault="00000000" w:rsidRPr="00000000" w14:paraId="00000011">
      <w:pPr>
        <w:ind w:firstLine="360"/>
        <w:rPr/>
      </w:pPr>
      <w:r w:rsidDel="00000000" w:rsidR="00000000" w:rsidRPr="00000000">
        <w:rPr>
          <w:rtl w:val="0"/>
        </w:rPr>
      </w:r>
    </w:p>
    <w:p w:rsidR="00000000" w:rsidDel="00000000" w:rsidP="00000000" w:rsidRDefault="00000000" w:rsidRPr="00000000" w14:paraId="00000012">
      <w:pPr>
        <w:ind w:firstLine="36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02"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Índice</w:t>
      </w:r>
    </w:p>
    <w:sdt>
      <w:sdtPr>
        <w:id w:val="-1121077118"/>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esjy3i8vb5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Presentación y 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grjsq7ktec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Entradas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kgour9f1nk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Herramientas y Técnicas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bcoqid4ca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Salidas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firstLine="360"/>
        <w:rPr/>
      </w:pPr>
      <w:r w:rsidDel="00000000" w:rsidR="00000000" w:rsidRPr="00000000">
        <w:rPr>
          <w:rtl w:val="0"/>
        </w:rPr>
      </w:r>
    </w:p>
    <w:p w:rsidR="00000000" w:rsidDel="00000000" w:rsidP="00000000" w:rsidRDefault="00000000" w:rsidRPr="00000000" w14:paraId="0000001B">
      <w:pPr>
        <w:ind w:firstLine="360"/>
        <w:rPr/>
      </w:pPr>
      <w:r w:rsidDel="00000000" w:rsidR="00000000" w:rsidRPr="00000000">
        <w:rPr>
          <w:rtl w:val="0"/>
        </w:rPr>
      </w:r>
    </w:p>
    <w:p w:rsidR="00000000" w:rsidDel="00000000" w:rsidP="00000000" w:rsidRDefault="00000000" w:rsidRPr="00000000" w14:paraId="0000001C">
      <w:pPr>
        <w:ind w:firstLine="360"/>
        <w:rPr/>
      </w:pPr>
      <w:r w:rsidDel="00000000" w:rsidR="00000000" w:rsidRPr="00000000">
        <w:rPr>
          <w:rtl w:val="0"/>
        </w:rPr>
      </w:r>
    </w:p>
    <w:p w:rsidR="00000000" w:rsidDel="00000000" w:rsidP="00000000" w:rsidRDefault="00000000" w:rsidRPr="00000000" w14:paraId="0000001D">
      <w:pPr>
        <w:ind w:firstLine="360"/>
        <w:rPr/>
      </w:pPr>
      <w:r w:rsidDel="00000000" w:rsidR="00000000" w:rsidRPr="00000000">
        <w:rPr>
          <w:rtl w:val="0"/>
        </w:rPr>
      </w:r>
    </w:p>
    <w:p w:rsidR="00000000" w:rsidDel="00000000" w:rsidP="00000000" w:rsidRDefault="00000000" w:rsidRPr="00000000" w14:paraId="0000001E">
      <w:pPr>
        <w:ind w:firstLine="360"/>
        <w:rPr/>
      </w:pPr>
      <w:r w:rsidDel="00000000" w:rsidR="00000000" w:rsidRPr="00000000">
        <w:rPr>
          <w:rtl w:val="0"/>
        </w:rPr>
      </w:r>
    </w:p>
    <w:p w:rsidR="00000000" w:rsidDel="00000000" w:rsidP="00000000" w:rsidRDefault="00000000" w:rsidRPr="00000000" w14:paraId="0000001F">
      <w:pPr>
        <w:ind w:firstLine="360"/>
        <w:rPr/>
      </w:pPr>
      <w:r w:rsidDel="00000000" w:rsidR="00000000" w:rsidRPr="00000000">
        <w:rPr>
          <w:rtl w:val="0"/>
        </w:rPr>
      </w:r>
    </w:p>
    <w:p w:rsidR="00000000" w:rsidDel="00000000" w:rsidP="00000000" w:rsidRDefault="00000000" w:rsidRPr="00000000" w14:paraId="00000020">
      <w:pPr>
        <w:ind w:firstLine="360"/>
        <w:rPr/>
      </w:pPr>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numPr>
          <w:ilvl w:val="0"/>
          <w:numId w:val="1"/>
        </w:numPr>
        <w:ind w:left="502" w:hanging="360"/>
        <w:rPr>
          <w:rFonts w:ascii="Arial" w:cs="Arial" w:eastAsia="Arial" w:hAnsi="Arial"/>
          <w:b w:val="1"/>
          <w:bCs w:val="1"/>
          <w:color w:val="2e75b5"/>
        </w:rPr>
      </w:pPr>
      <w:bookmarkStart w:colFirst="0" w:colLast="0" w:name="_heading=h.vesjy3i8vb5k" w:id="0"/>
      <w:bookmarkEnd w:id="0"/>
      <w:r w:rsidDel="00000000" w:rsidR="00000000" w:rsidRPr="00000000">
        <w:rPr>
          <w:rFonts w:ascii="Arial" w:cs="Arial" w:eastAsia="Arial" w:hAnsi="Arial"/>
          <w:b w:val="1"/>
          <w:bCs w:val="1"/>
          <w:color w:val="2e75b5"/>
          <w:rtl w:val="0"/>
        </w:rPr>
        <w:t xml:space="preserve">Presentación y Objetivo</w:t>
      </w:r>
    </w:p>
    <w:p w:rsidR="00000000" w:rsidDel="00000000" w:rsidP="00000000" w:rsidRDefault="00000000" w:rsidRPr="00000000" w14:paraId="0000002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documento se elabora con el fin de formalizar la aceptación de los entregables del proyecto que se han completado. En este proceso, se revisa en conjunto con el cliente, el Gobierno Regional Metropolitano (GOREM), los entregables del proyecto, asegurándose de que se han completado satisfactoriamente, verificando su aceptación formal. Aquí, se corrobora con exactitud los entregables y su cumplimiento de los requisitos de calidad especificados para cada uno de ellos.</w:t>
      </w:r>
    </w:p>
    <w:p w:rsidR="00000000" w:rsidDel="00000000" w:rsidP="00000000" w:rsidRDefault="00000000" w:rsidRPr="00000000" w14:paraId="00000024">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Style w:val="Heading1"/>
        <w:numPr>
          <w:ilvl w:val="0"/>
          <w:numId w:val="1"/>
        </w:numPr>
        <w:ind w:left="502" w:hanging="360"/>
        <w:rPr>
          <w:b w:val="1"/>
          <w:bCs w:val="1"/>
          <w:color w:val="2e75b5"/>
        </w:rPr>
      </w:pPr>
      <w:bookmarkStart w:colFirst="0" w:colLast="0" w:name="_heading=h.ggrjsq7ktec8" w:id="1"/>
      <w:bookmarkEnd w:id="1"/>
      <w:r w:rsidDel="00000000" w:rsidR="00000000" w:rsidRPr="00000000">
        <w:rPr>
          <w:rFonts w:ascii="Arial" w:cs="Arial" w:eastAsia="Arial" w:hAnsi="Arial"/>
          <w:b w:val="1"/>
          <w:bCs w:val="1"/>
          <w:color w:val="2e75b5"/>
          <w:rtl w:val="0"/>
        </w:rPr>
        <w:t xml:space="preserve">Entradas</w:t>
      </w:r>
      <w:r w:rsidDel="00000000" w:rsidR="00000000" w:rsidRPr="00000000">
        <w:rPr>
          <w:rtl w:val="0"/>
        </w:rPr>
      </w:r>
    </w:p>
    <w:p w:rsidR="00000000" w:rsidDel="00000000" w:rsidP="00000000" w:rsidRDefault="00000000" w:rsidRPr="00000000" w14:paraId="00000026">
      <w:pPr>
        <w:ind w:left="0"/>
        <w:rPr/>
      </w:pPr>
      <w:r w:rsidDel="00000000" w:rsidR="00000000" w:rsidRPr="00000000">
        <w:rPr>
          <w:rFonts w:ascii="Arial" w:cs="Arial" w:eastAsia="Arial" w:hAnsi="Arial"/>
          <w:sz w:val="24"/>
          <w:szCs w:val="24"/>
          <w:rtl w:val="0"/>
        </w:rPr>
        <w:t xml:space="preserve">Los entregables servirán como entrada para el proceso de verificación de alcances, evaluando el cumplimiento de los requisitos de calidad definidos para cada uno de ellos. En definitiva, los documentos de entrada revisados en el presente documento son:</w:t>
      </w:r>
      <w:r w:rsidDel="00000000" w:rsidR="00000000" w:rsidRPr="00000000">
        <w:rPr>
          <w:rtl w:val="0"/>
        </w:rPr>
      </w:r>
    </w:p>
    <w:p w:rsidR="00000000" w:rsidDel="00000000" w:rsidP="00000000" w:rsidRDefault="00000000" w:rsidRPr="00000000" w14:paraId="00000027">
      <w:pPr>
        <w:ind w:left="0"/>
        <w:rPr/>
      </w:pPr>
      <w:r w:rsidDel="00000000" w:rsidR="00000000" w:rsidRPr="00000000">
        <w:rPr>
          <w:rtl w:val="0"/>
        </w:rPr>
      </w:r>
    </w:p>
    <w:p w:rsidR="00000000" w:rsidDel="00000000" w:rsidP="00000000" w:rsidRDefault="00000000" w:rsidRPr="00000000" w14:paraId="00000028">
      <w:pPr>
        <w:ind w:left="0"/>
        <w:rPr/>
      </w:pPr>
      <w:r w:rsidDel="00000000" w:rsidR="00000000" w:rsidRPr="00000000">
        <w:rPr/>
        <w:drawing>
          <wp:inline distB="114300" distT="114300" distL="114300" distR="114300">
            <wp:extent cx="5612130" cy="20193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2A">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2B">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2C">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2D">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2E">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2F">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30">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31">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32">
      <w:pPr>
        <w:ind w:left="0"/>
        <w:jc w:val="left"/>
        <w:rPr>
          <w:rFonts w:ascii="Arial" w:cs="Arial" w:eastAsia="Arial" w:hAnsi="Arial"/>
        </w:rPr>
      </w:pPr>
      <w:r w:rsidDel="00000000" w:rsidR="00000000" w:rsidRPr="00000000">
        <w:rPr>
          <w:rtl w:val="0"/>
        </w:rPr>
      </w:r>
    </w:p>
    <w:p w:rsidR="00000000" w:rsidDel="00000000" w:rsidP="00000000" w:rsidRDefault="00000000" w:rsidRPr="00000000" w14:paraId="00000033">
      <w:pPr>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Los documentos de entrada se definen a continuación:</w:t>
      </w:r>
    </w:p>
    <w:sdt>
      <w:sdtPr>
        <w:lock w:val="contentLocked"/>
        <w:id w:val="1435320007"/>
        <w:tag w:val="goog_rdk_0"/>
      </w:sdtPr>
      <w:sdtContent>
        <w:tbl>
          <w:tblPr>
            <w:tblStyle w:val="Table2"/>
            <w:tblpPr w:leftFromText="180" w:rightFromText="180" w:topFromText="180" w:bottomFromText="180" w:vertAnchor="text" w:horzAnchor="text" w:tblpX="1044.000000000000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4905"/>
            <w:gridCol w:w="1500"/>
            <w:tblGridChange w:id="0">
              <w:tblGrid>
                <w:gridCol w:w="675"/>
                <w:gridCol w:w="4905"/>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034">
                <w:pPr>
                  <w:widowControl w:val="0"/>
                  <w:spacing w:after="0" w:line="276" w:lineRule="auto"/>
                  <w:ind w:left="0"/>
                  <w:jc w:val="center"/>
                  <w:rPr>
                    <w:rFonts w:ascii="Arial" w:cs="Arial" w:eastAsia="Arial" w:hAnsi="Arial"/>
                  </w:rPr>
                </w:pPr>
                <w:r w:rsidDel="00000000" w:rsidR="00000000" w:rsidRPr="00000000">
                  <w:rPr>
                    <w:rFonts w:ascii="Arial" w:cs="Arial" w:eastAsia="Arial" w:hAnsi="Arial"/>
                    <w:b w:val="1"/>
                    <w:bCs w:val="1"/>
                    <w:rtl w:val="0"/>
                  </w:rPr>
                  <w:t xml:space="preserve">Ítem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035">
                <w:pPr>
                  <w:widowControl w:val="0"/>
                  <w:spacing w:after="0" w:line="276" w:lineRule="auto"/>
                  <w:ind w:left="0"/>
                  <w:jc w:val="center"/>
                  <w:rPr>
                    <w:rFonts w:ascii="Arial" w:cs="Arial" w:eastAsia="Arial" w:hAnsi="Arial"/>
                  </w:rPr>
                </w:pPr>
                <w:r w:rsidDel="00000000" w:rsidR="00000000" w:rsidRPr="00000000">
                  <w:rPr>
                    <w:rFonts w:ascii="Arial" w:cs="Arial" w:eastAsia="Arial" w:hAnsi="Arial"/>
                    <w:b w:val="1"/>
                    <w:bCs w:val="1"/>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036">
                <w:pPr>
                  <w:widowControl w:val="0"/>
                  <w:spacing w:after="0" w:line="276" w:lineRule="auto"/>
                  <w:ind w:left="0"/>
                  <w:jc w:val="center"/>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7">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B1.1</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8">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Acta de constitución del proyecto</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9">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B1.2</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B">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Roadmap</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C">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B1.3</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E">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Documento de definición e identificación del proyecto</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B1.4</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Informe de cierre del proyecto</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B2.1</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actividad</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B2.2</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clases</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B2.3</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Arquitectura</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B2.4</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componentes</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B2.5</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casos de uso</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B3.1</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Definición del plan de pruebas</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B3.2</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Carta Gantt plan de pruebas</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B3.3</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Resultados plan de pruebas</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B4.1</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Documentos de avance de sprint</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B4.2</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Historias de usuario</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B4.3</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Product Backlog</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B4.4</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Sprint Backlog</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Resumen Reunión Retrospectiva</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B5.1</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Manual de usuario</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Completado</w:t>
                </w:r>
              </w:p>
            </w:tc>
          </w:tr>
        </w:tbl>
      </w:sdtContent>
    </w:sdt>
    <w:p w:rsidR="00000000" w:rsidDel="00000000" w:rsidP="00000000" w:rsidRDefault="00000000" w:rsidRPr="00000000" w14:paraId="0000006D">
      <w:pPr>
        <w:ind w:left="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1"/>
        <w:numPr>
          <w:ilvl w:val="0"/>
          <w:numId w:val="1"/>
        </w:numPr>
        <w:ind w:left="502" w:hanging="360"/>
        <w:rPr>
          <w:b w:val="1"/>
          <w:bCs w:val="1"/>
          <w:color w:val="2e75b5"/>
        </w:rPr>
      </w:pPr>
      <w:bookmarkStart w:colFirst="0" w:colLast="0" w:name="_heading=h.wkgour9f1nk5" w:id="2"/>
      <w:bookmarkEnd w:id="2"/>
      <w:r w:rsidDel="00000000" w:rsidR="00000000" w:rsidRPr="00000000">
        <w:rPr>
          <w:rFonts w:ascii="Arial" w:cs="Arial" w:eastAsia="Arial" w:hAnsi="Arial"/>
          <w:b w:val="1"/>
          <w:bCs w:val="1"/>
          <w:color w:val="2e75b5"/>
          <w:rtl w:val="0"/>
        </w:rPr>
        <w:t xml:space="preserve">Herramientas y Técnicas</w:t>
      </w:r>
      <w:r w:rsidDel="00000000" w:rsidR="00000000" w:rsidRPr="00000000">
        <w:rPr>
          <w:rtl w:val="0"/>
        </w:rPr>
      </w:r>
    </w:p>
    <w:p w:rsidR="00000000" w:rsidDel="00000000" w:rsidP="00000000" w:rsidRDefault="00000000" w:rsidRPr="00000000" w14:paraId="00000070">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Las herramientas y técnicas de inspección para examinar y verificar los documentos de entrada se definen a continuación:</w:t>
      </w:r>
    </w:p>
    <w:p w:rsidR="00000000" w:rsidDel="00000000" w:rsidP="00000000" w:rsidRDefault="00000000" w:rsidRPr="00000000" w14:paraId="00000071">
      <w:pPr>
        <w:spacing w:after="240" w:before="240" w:lineRule="auto"/>
        <w:ind w:left="0"/>
        <w:rPr/>
      </w:pPr>
      <w:r w:rsidDel="00000000" w:rsidR="00000000" w:rsidRPr="00000000">
        <w:rPr>
          <w:rFonts w:ascii="Arial" w:cs="Arial" w:eastAsia="Arial" w:hAnsi="Arial"/>
          <w:sz w:val="24"/>
          <w:szCs w:val="24"/>
          <w:rtl w:val="0"/>
        </w:rPr>
        <w:t xml:space="preserve">El proceso de inspección implicó la aplicación de metodologías estructuradas de control de calidad y revisión técnico-operativa. Se efectuaron revisiones de los entregables, incluyendo auditorías internas para detectar anomalías presentes en ellos, utilizando las siguientes herramientas y técnicas:</w:t>
      </w:r>
      <w:r w:rsidDel="00000000" w:rsidR="00000000" w:rsidRPr="00000000">
        <w:rPr>
          <w:rtl w:val="0"/>
        </w:rPr>
      </w:r>
    </w:p>
    <w:p w:rsidR="00000000" w:rsidDel="00000000" w:rsidP="00000000" w:rsidRDefault="00000000" w:rsidRPr="00000000" w14:paraId="00000072">
      <w:pPr>
        <w:keepNext w:val="0"/>
        <w:keepLines w:val="0"/>
        <w:spacing w:after="80" w:before="280" w:lineRule="auto"/>
        <w:ind w:left="0"/>
        <w:rPr/>
      </w:pPr>
      <w:r w:rsidDel="00000000" w:rsidR="00000000" w:rsidRPr="00000000">
        <w:rPr>
          <w:b w:val="1"/>
          <w:bCs w:val="1"/>
          <w:color w:val="2e75b5"/>
          <w:sz w:val="26"/>
          <w:szCs w:val="26"/>
          <w:rtl w:val="0"/>
        </w:rPr>
        <w:t xml:space="preserve">Listas de Verificación (Checklists) de Calidad</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Checklist se definen como h</w:t>
      </w:r>
      <w:r w:rsidDel="00000000" w:rsidR="00000000" w:rsidRPr="00000000">
        <w:rPr>
          <w:rFonts w:ascii="Arial" w:cs="Arial" w:eastAsia="Arial" w:hAnsi="Arial"/>
          <w:sz w:val="24"/>
          <w:szCs w:val="24"/>
          <w:rtl w:val="0"/>
        </w:rPr>
        <w:t xml:space="preserve">erramientas estructuradas que contienen un conjunto de requisitos, estándares o criterios preestablecidos que el entregable debe cumplir obligatoriamente.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Fonts w:ascii="Arial" w:cs="Arial" w:eastAsia="Arial" w:hAnsi="Arial"/>
          <w:sz w:val="24"/>
          <w:szCs w:val="24"/>
          <w:rtl w:val="0"/>
        </w:rPr>
        <w:t xml:space="preserve">Para el proyecto ConYapa, s</w:t>
      </w:r>
      <w:r w:rsidDel="00000000" w:rsidR="00000000" w:rsidRPr="00000000">
        <w:rPr>
          <w:rFonts w:ascii="Arial" w:cs="Arial" w:eastAsia="Arial" w:hAnsi="Arial"/>
          <w:sz w:val="24"/>
          <w:szCs w:val="24"/>
          <w:rtl w:val="0"/>
        </w:rPr>
        <w:t xml:space="preserve">e diseñaron listas de verificación específicas para cada categoría de documento de entrada. Por ejemplo, para los </w:t>
      </w:r>
      <w:r w:rsidDel="00000000" w:rsidR="00000000" w:rsidRPr="00000000">
        <w:rPr>
          <w:rFonts w:ascii="Arial" w:cs="Arial" w:eastAsia="Arial" w:hAnsi="Arial"/>
          <w:sz w:val="24"/>
          <w:szCs w:val="24"/>
          <w:rtl w:val="0"/>
        </w:rPr>
        <w:t xml:space="preserve">Diagramas (Arquitectura, Componentes, Casos de Uso)</w:t>
      </w:r>
      <w:r w:rsidDel="00000000" w:rsidR="00000000" w:rsidRPr="00000000">
        <w:rPr>
          <w:rFonts w:ascii="Arial" w:cs="Arial" w:eastAsia="Arial" w:hAnsi="Arial"/>
          <w:sz w:val="24"/>
          <w:szCs w:val="24"/>
          <w:rtl w:val="0"/>
        </w:rPr>
        <w:t xml:space="preserve"> se verificó la adherencia a la notación UML estándar; para la </w:t>
      </w:r>
      <w:r w:rsidDel="00000000" w:rsidR="00000000" w:rsidRPr="00000000">
        <w:rPr>
          <w:rFonts w:ascii="Arial" w:cs="Arial" w:eastAsia="Arial" w:hAnsi="Arial"/>
          <w:sz w:val="24"/>
          <w:szCs w:val="24"/>
          <w:rtl w:val="0"/>
        </w:rPr>
        <w:t xml:space="preserve">Gestión Ágil (Product Backlog, Historias de Usuario)</w:t>
      </w:r>
      <w:r w:rsidDel="00000000" w:rsidR="00000000" w:rsidRPr="00000000">
        <w:rPr>
          <w:rFonts w:ascii="Arial" w:cs="Arial" w:eastAsia="Arial" w:hAnsi="Arial"/>
          <w:sz w:val="24"/>
          <w:szCs w:val="24"/>
          <w:rtl w:val="0"/>
        </w:rPr>
        <w:t xml:space="preserve"> se validó que las historias cumplieran con los criterios INVEST y que el backlog estuviera priorizado según el valor de negocio para el GOREM.</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color w:val="2e75b5"/>
        </w:rPr>
      </w:pPr>
      <w:r w:rsidDel="00000000" w:rsidR="00000000" w:rsidRPr="00000000">
        <w:rPr>
          <w:b w:val="1"/>
          <w:bCs w:val="1"/>
          <w:color w:val="2e75b5"/>
          <w:sz w:val="26"/>
          <w:szCs w:val="26"/>
          <w:rtl w:val="0"/>
        </w:rPr>
        <w:t xml:space="preserve">Revisiones Técnicas Formales (Peer Reviews)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realizan s</w:t>
      </w:r>
      <w:r w:rsidDel="00000000" w:rsidR="00000000" w:rsidRPr="00000000">
        <w:rPr>
          <w:rFonts w:ascii="Arial" w:cs="Arial" w:eastAsia="Arial" w:hAnsi="Arial"/>
          <w:sz w:val="24"/>
          <w:szCs w:val="24"/>
          <w:rtl w:val="0"/>
        </w:rPr>
        <w:t xml:space="preserve">esiones de revisión donde el equipo de desarrollo y los analistas examinan minuciosamente el artefacto técnico en conjunto para identificar errores de lógica, omisiones o inconsistencias antes de la presentación final.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verificación de alcances, se llevaron a cabo  lecturas guiadas (</w:t>
      </w:r>
      <w:r w:rsidDel="00000000" w:rsidR="00000000" w:rsidRPr="00000000">
        <w:rPr>
          <w:rFonts w:ascii="Arial" w:cs="Arial" w:eastAsia="Arial" w:hAnsi="Arial"/>
          <w:sz w:val="24"/>
          <w:szCs w:val="24"/>
          <w:rtl w:val="0"/>
        </w:rPr>
        <w:t xml:space="preserve">walkthroughs</w:t>
      </w:r>
      <w:r w:rsidDel="00000000" w:rsidR="00000000" w:rsidRPr="00000000">
        <w:rPr>
          <w:rFonts w:ascii="Arial" w:cs="Arial" w:eastAsia="Arial" w:hAnsi="Arial"/>
          <w:sz w:val="24"/>
          <w:szCs w:val="24"/>
          <w:rtl w:val="0"/>
        </w:rPr>
        <w:t xml:space="preserve">) de los documentos. Esto permitió, por ejemplo, asegurar que la lógica de las pruebas de software cubriera el 100% de los casos de uso documentados y que el manual fuera comprensible para los usuarios finales de la institución.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color w:val="2e75b5"/>
        </w:rPr>
      </w:pPr>
      <w:r w:rsidDel="00000000" w:rsidR="00000000" w:rsidRPr="00000000">
        <w:rPr>
          <w:b w:val="1"/>
          <w:bCs w:val="1"/>
          <w:color w:val="2e75b5"/>
          <w:sz w:val="26"/>
          <w:szCs w:val="26"/>
          <w:rtl w:val="0"/>
        </w:rPr>
        <w:t xml:space="preserve">Juicio de Expertos y Auditorías de Configuración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 a una evaluación</w:t>
      </w:r>
      <w:r w:rsidDel="00000000" w:rsidR="00000000" w:rsidRPr="00000000">
        <w:rPr>
          <w:rFonts w:ascii="Arial" w:cs="Arial" w:eastAsia="Arial" w:hAnsi="Arial"/>
          <w:sz w:val="24"/>
          <w:szCs w:val="24"/>
          <w:rtl w:val="0"/>
        </w:rPr>
        <w:t xml:space="preserve"> y validación de los entregables por parte de profesionales con conocimientos especializados en desarrollo de software, gestión de proyectos y arquitectura de sistemas.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verificación de alcances del proyecto, se auditaron</w:t>
      </w:r>
      <w:r w:rsidDel="00000000" w:rsidR="00000000" w:rsidRPr="00000000">
        <w:rPr>
          <w:rFonts w:ascii="Arial" w:cs="Arial" w:eastAsia="Arial" w:hAnsi="Arial"/>
          <w:sz w:val="24"/>
          <w:szCs w:val="24"/>
          <w:rtl w:val="0"/>
        </w:rPr>
        <w:t xml:space="preserve"> la </w:t>
      </w:r>
      <w:r w:rsidDel="00000000" w:rsidR="00000000" w:rsidRPr="00000000">
        <w:rPr>
          <w:rFonts w:ascii="Arial" w:cs="Arial" w:eastAsia="Arial" w:hAnsi="Arial"/>
          <w:sz w:val="24"/>
          <w:szCs w:val="24"/>
          <w:rtl w:val="0"/>
        </w:rPr>
        <w:t xml:space="preserve">Carta Gantt</w:t>
      </w:r>
      <w:r w:rsidDel="00000000" w:rsidR="00000000" w:rsidRPr="00000000">
        <w:rPr>
          <w:rFonts w:ascii="Arial" w:cs="Arial" w:eastAsia="Arial" w:hAnsi="Arial"/>
          <w:sz w:val="24"/>
          <w:szCs w:val="24"/>
          <w:rtl w:val="0"/>
        </w:rPr>
        <w:t xml:space="preserve"> y el </w:t>
      </w:r>
      <w:r w:rsidDel="00000000" w:rsidR="00000000" w:rsidRPr="00000000">
        <w:rPr>
          <w:rFonts w:ascii="Arial" w:cs="Arial" w:eastAsia="Arial" w:hAnsi="Arial"/>
          <w:sz w:val="24"/>
          <w:szCs w:val="24"/>
          <w:rtl w:val="0"/>
        </w:rPr>
        <w:t xml:space="preserve">Sprint Backlog</w:t>
      </w:r>
      <w:r w:rsidDel="00000000" w:rsidR="00000000" w:rsidRPr="00000000">
        <w:rPr>
          <w:rFonts w:ascii="Arial" w:cs="Arial" w:eastAsia="Arial" w:hAnsi="Arial"/>
          <w:sz w:val="24"/>
          <w:szCs w:val="24"/>
          <w:rtl w:val="0"/>
        </w:rPr>
        <w:t xml:space="preserve"> para comprobar la viabilidad de los tiempos respecto a la velocidad real del equipo. Asimismo, se revisó el </w:t>
      </w:r>
      <w:r w:rsidDel="00000000" w:rsidR="00000000" w:rsidRPr="00000000">
        <w:rPr>
          <w:rFonts w:ascii="Arial" w:cs="Arial" w:eastAsia="Arial" w:hAnsi="Arial"/>
          <w:sz w:val="24"/>
          <w:szCs w:val="24"/>
          <w:rtl w:val="0"/>
        </w:rPr>
        <w:t xml:space="preserve">Informe de Cierre de Proyecto</w:t>
      </w:r>
      <w:r w:rsidDel="00000000" w:rsidR="00000000" w:rsidRPr="00000000">
        <w:rPr>
          <w:rFonts w:ascii="Arial" w:cs="Arial" w:eastAsia="Arial" w:hAnsi="Arial"/>
          <w:sz w:val="24"/>
          <w:szCs w:val="24"/>
          <w:rtl w:val="0"/>
        </w:rPr>
        <w:t xml:space="preserve"> y el </w:t>
      </w:r>
      <w:r w:rsidDel="00000000" w:rsidR="00000000" w:rsidRPr="00000000">
        <w:rPr>
          <w:rFonts w:ascii="Arial" w:cs="Arial" w:eastAsia="Arial" w:hAnsi="Arial"/>
          <w:sz w:val="24"/>
          <w:szCs w:val="24"/>
          <w:rtl w:val="0"/>
        </w:rPr>
        <w:t xml:space="preserve">Resumen de la Reunión Retrospectiva</w:t>
      </w:r>
      <w:r w:rsidDel="00000000" w:rsidR="00000000" w:rsidRPr="00000000">
        <w:rPr>
          <w:rFonts w:ascii="Arial" w:cs="Arial" w:eastAsia="Arial" w:hAnsi="Arial"/>
          <w:sz w:val="24"/>
          <w:szCs w:val="24"/>
          <w:rtl w:val="0"/>
        </w:rPr>
        <w:t xml:space="preserve"> para asegurar que las lecciones aprendidas y los compromisos de mejora quedaran correctamente indexados.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86">
      <w:pPr>
        <w:pStyle w:val="Heading1"/>
        <w:numPr>
          <w:ilvl w:val="0"/>
          <w:numId w:val="1"/>
        </w:numPr>
        <w:ind w:left="502" w:hanging="360"/>
        <w:rPr>
          <w:b w:val="1"/>
          <w:bCs w:val="1"/>
          <w:color w:val="2e75b5"/>
        </w:rPr>
      </w:pPr>
      <w:bookmarkStart w:colFirst="0" w:colLast="0" w:name="_heading=h.vbcoqid4ca77" w:id="3"/>
      <w:bookmarkEnd w:id="3"/>
      <w:r w:rsidDel="00000000" w:rsidR="00000000" w:rsidRPr="00000000">
        <w:rPr>
          <w:rFonts w:ascii="Arial" w:cs="Arial" w:eastAsia="Arial" w:hAnsi="Arial"/>
          <w:b w:val="1"/>
          <w:bCs w:val="1"/>
          <w:color w:val="2e75b5"/>
          <w:rtl w:val="0"/>
        </w:rPr>
        <w:t xml:space="preserve">Salidas</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drawing>
          <wp:inline distB="114300" distT="114300" distL="114300" distR="114300">
            <wp:extent cx="5612130" cy="24638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Fonts w:ascii="Arial" w:cs="Arial" w:eastAsia="Arial" w:hAnsi="Arial"/>
          <w:sz w:val="24"/>
          <w:szCs w:val="24"/>
          <w:rtl w:val="0"/>
        </w:rPr>
        <w:t xml:space="preserve">Los documentos aceptados se detallan a continuación:</w:t>
      </w:r>
      <w:r w:rsidDel="00000000" w:rsidR="00000000" w:rsidRPr="00000000">
        <w:rPr>
          <w:rtl w:val="0"/>
        </w:rPr>
      </w:r>
    </w:p>
    <w:p w:rsidR="00000000" w:rsidDel="00000000" w:rsidP="00000000" w:rsidRDefault="00000000" w:rsidRPr="00000000" w14:paraId="0000008A">
      <w:pPr>
        <w:ind w:left="0"/>
        <w:rPr>
          <w:rFonts w:ascii="Arial" w:cs="Arial" w:eastAsia="Arial" w:hAnsi="Arial"/>
        </w:rPr>
      </w:pPr>
      <w:r w:rsidDel="00000000" w:rsidR="00000000" w:rsidRPr="00000000">
        <w:rPr>
          <w:rtl w:val="0"/>
        </w:rPr>
      </w:r>
    </w:p>
    <w:tbl>
      <w:tblPr>
        <w:tblStyle w:val="Table3"/>
        <w:tblpPr w:leftFromText="180" w:rightFromText="180" w:topFromText="180" w:bottomFromText="180" w:vertAnchor="text" w:horzAnchor="text" w:tblpX="954.0000000000003"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65"/>
        <w:gridCol w:w="1500"/>
        <w:tblGridChange w:id="0">
          <w:tblGrid>
            <w:gridCol w:w="615"/>
            <w:gridCol w:w="4965"/>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ind w:left="0"/>
              <w:jc w:val="center"/>
              <w:rPr>
                <w:rFonts w:ascii="Arial" w:cs="Arial" w:eastAsia="Arial" w:hAnsi="Arial"/>
              </w:rPr>
            </w:pPr>
            <w:r w:rsidDel="00000000" w:rsidR="00000000" w:rsidRPr="00000000">
              <w:rPr>
                <w:rFonts w:ascii="Arial" w:cs="Arial" w:eastAsia="Arial" w:hAnsi="Arial"/>
                <w:b w:val="1"/>
                <w:bCs w:val="1"/>
                <w:rtl w:val="0"/>
              </w:rPr>
              <w:t xml:space="preserve">Ítem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ind w:left="0"/>
              <w:jc w:val="left"/>
              <w:rPr>
                <w:rFonts w:ascii="Arial" w:cs="Arial" w:eastAsia="Arial" w:hAnsi="Arial"/>
              </w:rPr>
            </w:pPr>
            <w:r w:rsidDel="00000000" w:rsidR="00000000" w:rsidRPr="00000000">
              <w:rPr>
                <w:rFonts w:ascii="Arial" w:cs="Arial" w:eastAsia="Arial" w:hAnsi="Arial"/>
                <w:b w:val="1"/>
                <w:bCs w:val="1"/>
                <w:rtl w:val="0"/>
              </w:rPr>
              <w:t xml:space="preserve">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ind w:left="0"/>
              <w:jc w:val="left"/>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B1.1</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Acta de constitución del proyecto</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B1.2</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Roadmap</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B1.3</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Documento de definición e identificación del proyecto</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B1.4</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Informe de cierre del proyecto</w:t>
            </w:r>
          </w:p>
        </w:tc>
        <w:tc>
          <w:tcPr>
            <w:tcBorders>
              <w:top w:color="cccccc" w:space="0" w:sz="4" w:val="single"/>
              <w:left w:color="cccccc" w:space="0" w:sz="4" w:val="single"/>
              <w:bottom w:color="cccccc" w:space="0" w:sz="4" w:val="single"/>
              <w:right w:color="cccccc"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B2.1</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actividad</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B2.2</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clases</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B2.3</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Arquitectura</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B2.4</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componentes</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B2.5</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Diagrama de casos de uso</w:t>
            </w:r>
          </w:p>
        </w:tc>
        <w:tc>
          <w:tcPr>
            <w:tcBorders>
              <w:top w:color="cccccc" w:space="0" w:sz="4" w:val="single"/>
              <w:left w:color="cccccc" w:space="0" w:sz="4" w:val="single"/>
              <w:bottom w:color="cccccc" w:space="0" w:sz="4" w:val="single"/>
              <w:right w:color="cccccc" w:space="0" w:sz="4" w:val="single"/>
            </w:tcBorders>
            <w:shd w:fill="d9d2e9" w:val="clear"/>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B3.1</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Definición del plan de pruebas</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B3.2</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Carta Gantt plan de pruebas</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B3.3</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Resultados plan de pruebas</w:t>
            </w:r>
          </w:p>
        </w:tc>
        <w:tc>
          <w:tcPr>
            <w:tcBorders>
              <w:top w:color="cccccc" w:space="0" w:sz="4" w:val="single"/>
              <w:left w:color="cccccc" w:space="0" w:sz="4" w:val="single"/>
              <w:bottom w:color="cccccc" w:space="0" w:sz="4" w:val="single"/>
              <w:right w:color="cccccc"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B4.1</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Documentos de avance de sprint</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B4.2</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Historias de usuario</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B4.3</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Product Backlog</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B4.4</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Sprint Backlog</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B4.5</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Resumen Reunión Retrospectiva</w:t>
            </w:r>
          </w:p>
        </w:tc>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B5.1</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Manual de usuario</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ind w:left="0"/>
              <w:jc w:val="left"/>
              <w:rPr>
                <w:rFonts w:ascii="Arial" w:cs="Arial" w:eastAsia="Arial" w:hAnsi="Arial"/>
              </w:rPr>
            </w:pPr>
            <w:r w:rsidDel="00000000" w:rsidR="00000000" w:rsidRPr="00000000">
              <w:rPr>
                <w:rFonts w:ascii="Arial" w:cs="Arial" w:eastAsia="Arial" w:hAnsi="Arial"/>
                <w:rtl w:val="0"/>
              </w:rPr>
              <w:t xml:space="preserve">Aceptado</w:t>
            </w:r>
          </w:p>
        </w:tc>
      </w:tr>
    </w:tbl>
    <w:p w:rsidR="00000000" w:rsidDel="00000000" w:rsidP="00000000" w:rsidRDefault="00000000" w:rsidRPr="00000000" w14:paraId="000000C4">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Tras el proceso de inspección, control y revisión en conjunto con el Gobierno Regional Metropolitano (GOREM), se constató la recepción conforme y la </w:t>
      </w:r>
      <w:r w:rsidDel="00000000" w:rsidR="00000000" w:rsidRPr="00000000">
        <w:rPr>
          <w:rFonts w:ascii="Arial" w:cs="Arial" w:eastAsia="Arial" w:hAnsi="Arial"/>
          <w:sz w:val="24"/>
          <w:szCs w:val="24"/>
          <w:rtl w:val="0"/>
        </w:rPr>
        <w:t xml:space="preserve">aceptación del 100% de los documentos entregados,</w:t>
      </w:r>
      <w:r w:rsidDel="00000000" w:rsidR="00000000" w:rsidRPr="00000000">
        <w:rPr>
          <w:rFonts w:ascii="Arial" w:cs="Arial" w:eastAsia="Arial" w:hAnsi="Arial"/>
          <w:sz w:val="24"/>
          <w:szCs w:val="24"/>
          <w:rtl w:val="0"/>
        </w:rPr>
        <w:t xml:space="preserve"> los cuales cumplen a cabalidad con los requisitos de calidad exigidos. A la fecha de emisión de este documento, la contraparte institucional no ha solicitado modificaciones respecto al alcance inicialmente pactado.</w:t>
      </w:r>
    </w:p>
    <w:p w:rsidR="00000000" w:rsidDel="00000000" w:rsidP="00000000" w:rsidRDefault="00000000" w:rsidRPr="00000000" w14:paraId="000000C5">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No obstante, con miras a garantizar la excelencia técnica y la sostenibilidad de la plataforma tecnológica en su fase de entrega final, el equipo de proyecto concentrará sus esfuerzos en las siguientes líneas de acción inmediatas:</w:t>
      </w:r>
    </w:p>
    <w:p w:rsidR="00000000" w:rsidDel="00000000" w:rsidP="00000000" w:rsidRDefault="00000000" w:rsidRPr="00000000" w14:paraId="000000C6">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Aceleración de los Ciclos de Desarrollo:</w:t>
      </w:r>
      <w:r w:rsidDel="00000000" w:rsidR="00000000" w:rsidRPr="00000000">
        <w:rPr>
          <w:rFonts w:ascii="Arial" w:cs="Arial" w:eastAsia="Arial" w:hAnsi="Arial"/>
          <w:sz w:val="24"/>
          <w:szCs w:val="24"/>
          <w:rtl w:val="0"/>
        </w:rPr>
        <w:t xml:space="preserve"> Con el fin de asegurar holgura en los cronogramas finales, se reestructurará la planificación de los próximos sprints. Esto permitirá priorizar las funcionalidades críticas del core del sistema y agilizar la programación sin comprometer los estándares de calidad técnica ya validados.</w:t>
      </w:r>
    </w:p>
    <w:p w:rsidR="00000000" w:rsidDel="00000000" w:rsidP="00000000" w:rsidRDefault="00000000" w:rsidRPr="00000000" w14:paraId="000000C7">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Alineación y Compromiso del Equipo:</w:t>
      </w:r>
      <w:r w:rsidDel="00000000" w:rsidR="00000000" w:rsidRPr="00000000">
        <w:rPr>
          <w:rFonts w:ascii="Arial" w:cs="Arial" w:eastAsia="Arial" w:hAnsi="Arial"/>
          <w:sz w:val="24"/>
          <w:szCs w:val="24"/>
          <w:rtl w:val="0"/>
        </w:rPr>
        <w:t xml:space="preserve"> Reconociendo que los tiempos de entrega previos se mantuvieron en el límite de los plazos establecidos, se implementarán sesiones de sincronización interna más estrictas. Como equipo cohesionado, se reforzará la corresponsabilidad de cada rol dentro del flujo de trabajo, asegurando que el cumplimiento de los hitos individuales proteja el éxito colectivo y la entrega impecable del producto final al GOREM.</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Aceptación del Cliente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Aprobado por el Cliente del Proyecto: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Jose Ignacio Gutiérrez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Jefe Departamento de Informática en Gobierno Regional de Santiago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Fecha: 20/06/2026</w:t>
      </w:r>
    </w:p>
    <w:p w:rsidR="00000000" w:rsidDel="00000000" w:rsidP="00000000" w:rsidRDefault="00000000" w:rsidRPr="00000000" w14:paraId="000000CD">
      <w:pPr>
        <w:ind w:firstLine="360"/>
        <w:rPr>
          <w:rFonts w:ascii="Arial" w:cs="Arial" w:eastAsia="Arial" w:hAnsi="Arial"/>
          <w:sz w:val="24"/>
          <w:szCs w:val="24"/>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CE">
      <w:pPr>
        <w:ind w:firstLine="360"/>
        <w:rPr>
          <w:b w:val="1"/>
          <w:bCs w:val="1"/>
          <w:i w:val="1"/>
          <w:iCs w:val="1"/>
        </w:rPr>
      </w:pPr>
      <w:r w:rsidDel="00000000" w:rsidR="00000000" w:rsidRPr="00000000">
        <w:rPr/>
        <w:drawing>
          <wp:inline distB="0" distT="0" distL="0" distR="0">
            <wp:extent cx="2457450" cy="628650"/>
            <wp:effectExtent b="0" l="0" r="0" t="0"/>
            <wp:docPr descr="firma_de_michael_jackson_png_by_nicole1niikiitha-d4mdyqv" id="4" name="image4.png"/>
            <a:graphic>
              <a:graphicData uri="http://schemas.openxmlformats.org/drawingml/2006/picture">
                <pic:pic>
                  <pic:nvPicPr>
                    <pic:cNvPr descr="firma_de_michael_jackson_png_by_nicole1niikiitha-d4mdyqv" id="0" name="image4.png"/>
                    <pic:cNvPicPr preferRelativeResize="0"/>
                  </pic:nvPicPr>
                  <pic:blipFill>
                    <a:blip r:embed="rId11">
                      <a:alphaModFix amt="52999"/>
                    </a:blip>
                    <a:srcRect b="0" l="0" r="0" t="0"/>
                    <a:stretch>
                      <a:fillRect/>
                    </a:stretch>
                  </pic:blipFill>
                  <pic:spPr>
                    <a:xfrm rot="10800000">
                      <a:off x="0" y="0"/>
                      <a:ext cx="24574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firstLine="36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tbl>
      <w:tblPr>
        <w:tblStyle w:val="Table4"/>
        <w:tblW w:w="8828.0" w:type="dxa"/>
        <w:jc w:val="left"/>
        <w:tblInd w:w="-108.0" w:type="dxa"/>
        <w:tblLayout w:type="fixed"/>
        <w:tblLook w:val="04A0"/>
      </w:tblPr>
      <w:tblGrid>
        <w:gridCol w:w="1843"/>
        <w:gridCol w:w="3544"/>
        <w:gridCol w:w="3441"/>
        <w:tblGridChange w:id="0">
          <w:tblGrid>
            <w:gridCol w:w="1843"/>
            <w:gridCol w:w="3544"/>
            <w:gridCol w:w="3441"/>
          </w:tblGrid>
        </w:tblGridChange>
      </w:tblGrid>
      <w:tr>
        <w:trPr>
          <w:cantSplit w:val="0"/>
          <w:tblHeader w:val="0"/>
        </w:trPr>
        <w:tc>
          <w:tcPr/>
          <w:p w:rsidR="00000000" w:rsidDel="00000000" w:rsidP="00000000" w:rsidRDefault="00000000" w:rsidRPr="00000000" w14:paraId="000000D1">
            <w:pPr>
              <w:ind w:firstLine="360"/>
              <w:rPr>
                <w:b w:val="0"/>
                <w:bCs w:val="0"/>
              </w:rPr>
            </w:pPr>
            <w:r w:rsidDel="00000000" w:rsidR="00000000" w:rsidRPr="00000000">
              <w:rPr>
                <w:b w:val="0"/>
                <w:bCs w:val="0"/>
                <w:rtl w:val="0"/>
              </w:rPr>
              <w:t xml:space="preserve">Versión</w:t>
            </w:r>
          </w:p>
        </w:tc>
        <w:tc>
          <w:tcPr/>
          <w:p w:rsidR="00000000" w:rsidDel="00000000" w:rsidP="00000000" w:rsidRDefault="00000000" w:rsidRPr="00000000" w14:paraId="000000D2">
            <w:pPr>
              <w:ind w:firstLine="360"/>
              <w:rPr>
                <w:b w:val="0"/>
                <w:bCs w:val="0"/>
              </w:rPr>
            </w:pPr>
            <w:r w:rsidDel="00000000" w:rsidR="00000000" w:rsidRPr="00000000">
              <w:rPr>
                <w:b w:val="0"/>
                <w:bCs w:val="0"/>
                <w:rtl w:val="0"/>
              </w:rPr>
              <w:t xml:space="preserve">Autor</w:t>
            </w:r>
          </w:p>
        </w:tc>
        <w:tc>
          <w:tcPr/>
          <w:p w:rsidR="00000000" w:rsidDel="00000000" w:rsidP="00000000" w:rsidRDefault="00000000" w:rsidRPr="00000000" w14:paraId="000000D3">
            <w:pPr>
              <w:ind w:firstLine="360"/>
              <w:rPr>
                <w:b w:val="0"/>
                <w:bCs w:val="0"/>
              </w:rPr>
            </w:pPr>
            <w:r w:rsidDel="00000000" w:rsidR="00000000" w:rsidRPr="00000000">
              <w:rPr>
                <w:b w:val="0"/>
                <w:bCs w:val="0"/>
                <w:rtl w:val="0"/>
              </w:rPr>
              <w:t xml:space="preserve">Descripción</w:t>
            </w:r>
          </w:p>
        </w:tc>
      </w:tr>
      <w:tr>
        <w:trPr>
          <w:cantSplit w:val="0"/>
          <w:tblHeader w:val="0"/>
        </w:trPr>
        <w:tc>
          <w:tcPr/>
          <w:p w:rsidR="00000000" w:rsidDel="00000000" w:rsidP="00000000" w:rsidRDefault="00000000" w:rsidRPr="00000000" w14:paraId="000000D4">
            <w:pPr>
              <w:ind w:firstLine="360"/>
              <w:rPr>
                <w:b w:val="0"/>
                <w:bCs w:val="0"/>
              </w:rPr>
            </w:pPr>
            <w:r w:rsidDel="00000000" w:rsidR="00000000" w:rsidRPr="00000000">
              <w:rPr>
                <w:b w:val="0"/>
                <w:bCs w:val="0"/>
                <w:rtl w:val="0"/>
              </w:rPr>
              <w:t xml:space="preserve">1.0</w:t>
            </w:r>
          </w:p>
        </w:tc>
        <w:tc>
          <w:tcPr/>
          <w:p w:rsidR="00000000" w:rsidDel="00000000" w:rsidP="00000000" w:rsidRDefault="00000000" w:rsidRPr="00000000" w14:paraId="000000D5">
            <w:pPr>
              <w:ind w:firstLine="360"/>
              <w:rPr/>
            </w:pPr>
            <w:r w:rsidDel="00000000" w:rsidR="00000000" w:rsidRPr="00000000">
              <w:rPr>
                <w:rtl w:val="0"/>
              </w:rPr>
              <w:t xml:space="preserve">Samuel Parra</w:t>
            </w:r>
          </w:p>
        </w:tc>
        <w:tc>
          <w:tcPr/>
          <w:p w:rsidR="00000000" w:rsidDel="00000000" w:rsidP="00000000" w:rsidRDefault="00000000" w:rsidRPr="00000000" w14:paraId="000000D6">
            <w:pPr>
              <w:ind w:firstLine="360"/>
              <w:rPr/>
            </w:pPr>
            <w:r w:rsidDel="00000000" w:rsidR="00000000" w:rsidRPr="00000000">
              <w:rPr>
                <w:rtl w:val="0"/>
              </w:rPr>
              <w:t xml:space="preserve">Creación</w:t>
            </w:r>
          </w:p>
        </w:tc>
      </w:tr>
      <w:tr>
        <w:trPr>
          <w:cantSplit w:val="0"/>
          <w:tblHeader w:val="0"/>
        </w:trPr>
        <w:tc>
          <w:tcPr/>
          <w:p w:rsidR="00000000" w:rsidDel="00000000" w:rsidP="00000000" w:rsidRDefault="00000000" w:rsidRPr="00000000" w14:paraId="000000D7">
            <w:pPr>
              <w:ind w:firstLine="360"/>
              <w:rPr/>
            </w:pPr>
            <w:r w:rsidDel="00000000" w:rsidR="00000000" w:rsidRPr="00000000">
              <w:rPr>
                <w:rtl w:val="0"/>
              </w:rPr>
            </w:r>
          </w:p>
        </w:tc>
        <w:tc>
          <w:tcPr/>
          <w:p w:rsidR="00000000" w:rsidDel="00000000" w:rsidP="00000000" w:rsidRDefault="00000000" w:rsidRPr="00000000" w14:paraId="000000D8">
            <w:pPr>
              <w:ind w:firstLine="360"/>
              <w:rPr/>
            </w:pPr>
            <w:r w:rsidDel="00000000" w:rsidR="00000000" w:rsidRPr="00000000">
              <w:rPr>
                <w:rtl w:val="0"/>
              </w:rPr>
            </w:r>
          </w:p>
        </w:tc>
        <w:tc>
          <w:tcPr/>
          <w:p w:rsidR="00000000" w:rsidDel="00000000" w:rsidP="00000000" w:rsidRDefault="00000000" w:rsidRPr="00000000" w14:paraId="000000D9">
            <w:pPr>
              <w:ind w:firstLine="360"/>
              <w:rPr/>
            </w:pPr>
            <w:r w:rsidDel="00000000" w:rsidR="00000000" w:rsidRPr="00000000">
              <w:rPr>
                <w:rtl w:val="0"/>
              </w:rPr>
            </w:r>
          </w:p>
        </w:tc>
      </w:tr>
    </w:tbl>
    <w:p w:rsidR="00000000" w:rsidDel="00000000" w:rsidP="00000000" w:rsidRDefault="00000000" w:rsidRPr="00000000" w14:paraId="000000DA">
      <w:pPr>
        <w:ind w:left="0" w:firstLine="0"/>
        <w:rPr/>
      </w:pPr>
      <w:r w:rsidDel="00000000" w:rsidR="00000000" w:rsidRPr="00000000">
        <w:rPr>
          <w:rtl w:val="0"/>
        </w:rPr>
      </w:r>
    </w:p>
    <w:sectPr>
      <w:pgSz w:h="15840" w:w="12240" w:orient="portrait"/>
      <w:pgMar w:bottom="1417" w:top="1417" w:left="1701" w:right="1701" w:header="426"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spacing w:after="160" w:line="259"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2" w:hanging="360"/>
    </w:pPr>
    <w:rPr>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22uEKjE5lWuSiFqXkRgOeo21uA==">CgMxLjAaHwoBMBIaChgICVIUChJ0YWJsZS4yZXE5bXB5NDIzNGMyDmgudmVzankzaTh2YjVrMg5oLmdncmpzcTdrdGVjODIOaC53a2dvdXI5ZjFuazUyDmgudmJjb3FpZDRjYTc3OAByITFJUW5NUVU4Mnd6VjU3akNNVE5XeVpRVkF0S2ItZVRuYQ==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