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priori-v2.1-user-manual"/>
    <w:p>
      <w:pPr>
        <w:pStyle w:val="Heading1"/>
      </w:pPr>
      <w:r>
        <w:t xml:space="preserve">Priori v2.1 — User Manual</w:t>
      </w:r>
    </w:p>
    <w:p>
      <w:pPr>
        <w:pStyle w:val="FirstParagraph"/>
      </w:pPr>
      <w:r>
        <w:rPr>
          <w:b/>
          <w:bCs/>
        </w:rPr>
        <w:t xml:space="preserve">Version:</w:t>
      </w:r>
      <w:r>
        <w:t xml:space="preserve"> </w:t>
      </w:r>
      <w:r>
        <w:t xml:space="preserve">2.1</w:t>
      </w:r>
      <w:r>
        <w:br/>
      </w:r>
      <w:r>
        <w:rPr>
          <w:b/>
          <w:bCs/>
        </w:rPr>
        <w:t xml:space="preserve">Audience:</w:t>
      </w:r>
      <w:r>
        <w:t xml:space="preserve"> </w:t>
      </w:r>
      <w:r>
        <w:t xml:space="preserve">Registered patent attorneys (prosecution and litigation practice)</w:t>
      </w:r>
      <w:r>
        <w:br/>
      </w:r>
      <w:r>
        <w:rPr>
          <w:b/>
          <w:bCs/>
        </w:rPr>
        <w:t xml:space="preserve">Last updated:</w:t>
      </w:r>
      <w:r>
        <w:t xml:space="preserve"> </w:t>
      </w:r>
      <w:r>
        <w:t xml:space="preserve">May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ae2e41c71917377bfe9269cf4278e17d1276084">
        <w:r>
          <w:rPr>
            <w:rStyle w:val="Hyperlink"/>
          </w:rPr>
          <w:t xml:space="preserve">Access and Login</w:t>
        </w:r>
      </w:hyperlink>
    </w:p>
    <w:p>
      <w:pPr>
        <w:pStyle w:val="Compact"/>
        <w:numPr>
          <w:ilvl w:val="0"/>
          <w:numId w:val="1001"/>
        </w:numPr>
      </w:pPr>
      <w:hyperlink w:anchor="X86e9b1753955898e41ce774f7d5bf66b49c8c93">
        <w:r>
          <w:rPr>
            <w:rStyle w:val="Hyperlink"/>
          </w:rPr>
          <w:t xml:space="preserve">Navigation Overview</w:t>
        </w:r>
      </w:hyperlink>
    </w:p>
    <w:p>
      <w:pPr>
        <w:pStyle w:val="Compact"/>
        <w:numPr>
          <w:ilvl w:val="0"/>
          <w:numId w:val="1001"/>
        </w:numPr>
      </w:pPr>
      <w:hyperlink w:anchor="Xd578f82d54fc5f7ceb08b3f19663511c9de09fb">
        <w:r>
          <w:rPr>
            <w:rStyle w:val="Hyperlink"/>
          </w:rPr>
          <w:t xml:space="preserve">Pre-Filing Tools</w:t>
        </w:r>
      </w:hyperlink>
    </w:p>
    <w:p>
      <w:pPr>
        <w:pStyle w:val="Compact"/>
        <w:numPr>
          <w:ilvl w:val="1"/>
          <w:numId w:val="1002"/>
        </w:numPr>
      </w:pPr>
      <w:r>
        <w:t xml:space="preserve">4.1 Patent Search</w:t>
      </w:r>
    </w:p>
    <w:p>
      <w:pPr>
        <w:pStyle w:val="Compact"/>
        <w:numPr>
          <w:ilvl w:val="1"/>
          <w:numId w:val="1002"/>
        </w:numPr>
      </w:pPr>
      <w:r>
        <w:t xml:space="preserve">4.2 Prior Art Search</w:t>
      </w:r>
    </w:p>
    <w:p>
      <w:pPr>
        <w:pStyle w:val="Compact"/>
        <w:numPr>
          <w:ilvl w:val="1"/>
          <w:numId w:val="1002"/>
        </w:numPr>
      </w:pPr>
      <w:r>
        <w:t xml:space="preserve">4.3 Patent Application Generator</w:t>
      </w:r>
    </w:p>
    <w:p>
      <w:pPr>
        <w:pStyle w:val="Compact"/>
        <w:numPr>
          <w:ilvl w:val="1"/>
          <w:numId w:val="1002"/>
        </w:numPr>
      </w:pPr>
      <w:r>
        <w:t xml:space="preserve">4.4 Figure Generator</w:t>
      </w:r>
    </w:p>
    <w:p>
      <w:pPr>
        <w:pStyle w:val="Compact"/>
        <w:numPr>
          <w:ilvl w:val="1"/>
          <w:numId w:val="1002"/>
        </w:numPr>
      </w:pPr>
      <w:r>
        <w:t xml:space="preserve">4.5 FTO Analysis</w:t>
      </w:r>
    </w:p>
    <w:p>
      <w:pPr>
        <w:pStyle w:val="Compact"/>
        <w:numPr>
          <w:ilvl w:val="1"/>
          <w:numId w:val="1002"/>
        </w:numPr>
      </w:pPr>
      <w:r>
        <w:t xml:space="preserve">4.6 Cost Estimator</w:t>
      </w:r>
    </w:p>
    <w:p>
      <w:pPr>
        <w:pStyle w:val="Compact"/>
        <w:numPr>
          <w:ilvl w:val="1"/>
          <w:numId w:val="1002"/>
        </w:numPr>
      </w:pPr>
      <w:r>
        <w:t xml:space="preserve">4.7 Claim Similarity Scorer</w:t>
      </w:r>
    </w:p>
    <w:p>
      <w:pPr>
        <w:pStyle w:val="Compact"/>
        <w:numPr>
          <w:ilvl w:val="0"/>
          <w:numId w:val="1001"/>
        </w:numPr>
      </w:pPr>
      <w:hyperlink w:anchor="X6c96875044115f5f7e0d9b76b5861669b35000a">
        <w:r>
          <w:rPr>
            <w:rStyle w:val="Hyperlink"/>
          </w:rPr>
          <w:t xml:space="preserve">Prosecution Tools</w:t>
        </w:r>
      </w:hyperlink>
    </w:p>
    <w:p>
      <w:pPr>
        <w:pStyle w:val="Compact"/>
        <w:numPr>
          <w:ilvl w:val="1"/>
          <w:numId w:val="1003"/>
        </w:numPr>
      </w:pPr>
      <w:r>
        <w:t xml:space="preserve">5.1 IFW Collector</w:t>
      </w:r>
    </w:p>
    <w:p>
      <w:pPr>
        <w:pStyle w:val="Compact"/>
        <w:numPr>
          <w:ilvl w:val="1"/>
          <w:numId w:val="1003"/>
        </w:numPr>
      </w:pPr>
      <w:r>
        <w:t xml:space="preserve">5.2 Restriction / Election Response</w:t>
      </w:r>
    </w:p>
    <w:p>
      <w:pPr>
        <w:pStyle w:val="Compact"/>
        <w:numPr>
          <w:ilvl w:val="1"/>
          <w:numId w:val="1003"/>
        </w:numPr>
      </w:pPr>
      <w:r>
        <w:t xml:space="preserve">5.3 OA Response</w:t>
      </w:r>
    </w:p>
    <w:p>
      <w:pPr>
        <w:pStyle w:val="Compact"/>
        <w:numPr>
          <w:ilvl w:val="1"/>
          <w:numId w:val="1003"/>
        </w:numPr>
      </w:pPr>
      <w:r>
        <w:t xml:space="preserve">5.4 IDS Generator</w:t>
      </w:r>
    </w:p>
    <w:p>
      <w:pPr>
        <w:pStyle w:val="Compact"/>
        <w:numPr>
          <w:ilvl w:val="1"/>
          <w:numId w:val="1003"/>
        </w:numPr>
      </w:pPr>
      <w:r>
        <w:t xml:space="preserve">5.5 ADS Generator</w:t>
      </w:r>
    </w:p>
    <w:p>
      <w:pPr>
        <w:pStyle w:val="Compact"/>
        <w:numPr>
          <w:ilvl w:val="1"/>
          <w:numId w:val="1003"/>
        </w:numPr>
      </w:pPr>
      <w:r>
        <w:t xml:space="preserve">5.6 Continuation / CIP Generator</w:t>
      </w:r>
    </w:p>
    <w:p>
      <w:pPr>
        <w:pStyle w:val="Compact"/>
        <w:numPr>
          <w:ilvl w:val="1"/>
          <w:numId w:val="1003"/>
        </w:numPr>
      </w:pPr>
      <w:r>
        <w:t xml:space="preserve">5.7 Certificate of Mailing</w:t>
      </w:r>
    </w:p>
    <w:p>
      <w:pPr>
        <w:pStyle w:val="Compact"/>
        <w:numPr>
          <w:ilvl w:val="1"/>
          <w:numId w:val="1003"/>
        </w:numPr>
      </w:pPr>
      <w:r>
        <w:t xml:space="preserve">5.8 Prosecution Monitor</w:t>
      </w:r>
    </w:p>
    <w:p>
      <w:pPr>
        <w:pStyle w:val="Compact"/>
        <w:numPr>
          <w:ilvl w:val="1"/>
          <w:numId w:val="1003"/>
        </w:numPr>
      </w:pPr>
      <w:r>
        <w:t xml:space="preserve">5.9 Fee Log</w:t>
      </w:r>
    </w:p>
    <w:p>
      <w:pPr>
        <w:pStyle w:val="Compact"/>
        <w:numPr>
          <w:ilvl w:val="1"/>
          <w:numId w:val="1003"/>
        </w:numPr>
      </w:pPr>
      <w:r>
        <w:t xml:space="preserve">5.10 Correspondence</w:t>
      </w:r>
    </w:p>
    <w:p>
      <w:pPr>
        <w:pStyle w:val="Compact"/>
        <w:numPr>
          <w:ilvl w:val="0"/>
          <w:numId w:val="1001"/>
        </w:numPr>
      </w:pPr>
      <w:hyperlink w:anchor="X46f5775a6e018b0901900f994f0267074aeff92">
        <w:r>
          <w:rPr>
            <w:rStyle w:val="Hyperlink"/>
          </w:rPr>
          <w:t xml:space="preserve">Review Tools</w:t>
        </w:r>
      </w:hyperlink>
    </w:p>
    <w:p>
      <w:pPr>
        <w:pStyle w:val="Compact"/>
        <w:numPr>
          <w:ilvl w:val="1"/>
          <w:numId w:val="1004"/>
        </w:numPr>
      </w:pPr>
      <w:r>
        <w:t xml:space="preserve">6.1 Quality Review (OCQR)</w:t>
      </w:r>
    </w:p>
    <w:p>
      <w:pPr>
        <w:pStyle w:val="Compact"/>
        <w:numPr>
          <w:ilvl w:val="1"/>
          <w:numId w:val="1004"/>
        </w:numPr>
      </w:pPr>
      <w:r>
        <w:t xml:space="preserve">6.2 In-House Counsel Review</w:t>
      </w:r>
    </w:p>
    <w:p>
      <w:pPr>
        <w:pStyle w:val="Compact"/>
        <w:numPr>
          <w:ilvl w:val="1"/>
          <w:numId w:val="1004"/>
        </w:numPr>
      </w:pPr>
      <w:r>
        <w:t xml:space="preserve">6.3 Inventor Review</w:t>
      </w:r>
    </w:p>
    <w:p>
      <w:pPr>
        <w:pStyle w:val="Compact"/>
        <w:numPr>
          <w:ilvl w:val="0"/>
          <w:numId w:val="1001"/>
        </w:numPr>
      </w:pPr>
      <w:hyperlink w:anchor="Xa2d90f40418bef674a5c3640b020ba7bb140ad3">
        <w:r>
          <w:rPr>
            <w:rStyle w:val="Hyperlink"/>
          </w:rPr>
          <w:t xml:space="preserve">Analysis Tools</w:t>
        </w:r>
      </w:hyperlink>
    </w:p>
    <w:p>
      <w:pPr>
        <w:pStyle w:val="Compact"/>
        <w:numPr>
          <w:ilvl w:val="1"/>
          <w:numId w:val="1005"/>
        </w:numPr>
      </w:pPr>
      <w:r>
        <w:t xml:space="preserve">7.1 AI Patent Assistant</w:t>
      </w:r>
    </w:p>
    <w:p>
      <w:pPr>
        <w:pStyle w:val="Compact"/>
        <w:numPr>
          <w:ilvl w:val="1"/>
          <w:numId w:val="1005"/>
        </w:numPr>
      </w:pPr>
      <w:r>
        <w:t xml:space="preserve">7.2 Claim Construction</w:t>
      </w:r>
    </w:p>
    <w:p>
      <w:pPr>
        <w:pStyle w:val="Compact"/>
        <w:numPr>
          <w:ilvl w:val="1"/>
          <w:numId w:val="1005"/>
        </w:numPr>
      </w:pPr>
      <w:r>
        <w:t xml:space="preserve">7.3 Infringement Analysis</w:t>
      </w:r>
    </w:p>
    <w:p>
      <w:pPr>
        <w:pStyle w:val="Compact"/>
        <w:numPr>
          <w:ilvl w:val="1"/>
          <w:numId w:val="1005"/>
        </w:numPr>
      </w:pPr>
      <w:r>
        <w:t xml:space="preserve">7.4 Claim Element Analysis</w:t>
      </w:r>
    </w:p>
    <w:p>
      <w:pPr>
        <w:pStyle w:val="Compact"/>
        <w:numPr>
          <w:ilvl w:val="1"/>
          <w:numId w:val="1005"/>
        </w:numPr>
      </w:pPr>
      <w:r>
        <w:t xml:space="preserve">7.5 Invalidity Chart Builder</w:t>
      </w:r>
    </w:p>
    <w:p>
      <w:pPr>
        <w:pStyle w:val="Compact"/>
        <w:numPr>
          <w:ilvl w:val="1"/>
          <w:numId w:val="1005"/>
        </w:numPr>
      </w:pPr>
      <w:r>
        <w:t xml:space="preserve">7.6 Prior Art Mapper</w:t>
      </w:r>
    </w:p>
    <w:p>
      <w:pPr>
        <w:pStyle w:val="Compact"/>
        <w:numPr>
          <w:ilvl w:val="1"/>
          <w:numId w:val="1005"/>
        </w:numPr>
      </w:pPr>
      <w:r>
        <w:t xml:space="preserve">7.7 Competitive Analysis (Scope Tuner)</w:t>
      </w:r>
    </w:p>
    <w:p>
      <w:pPr>
        <w:pStyle w:val="Compact"/>
        <w:numPr>
          <w:ilvl w:val="1"/>
          <w:numId w:val="1005"/>
        </w:numPr>
      </w:pPr>
      <w:r>
        <w:t xml:space="preserve">7.8 Citation Analyzer</w:t>
      </w:r>
    </w:p>
    <w:p>
      <w:pPr>
        <w:pStyle w:val="Compact"/>
        <w:numPr>
          <w:ilvl w:val="1"/>
          <w:numId w:val="1005"/>
        </w:numPr>
      </w:pPr>
      <w:r>
        <w:t xml:space="preserve">7.9 Document Q&amp;A</w:t>
      </w:r>
    </w:p>
    <w:p>
      <w:pPr>
        <w:pStyle w:val="Compact"/>
        <w:numPr>
          <w:ilvl w:val="0"/>
          <w:numId w:val="1001"/>
        </w:numPr>
      </w:pPr>
      <w:hyperlink w:anchor="X304dc5b45345e7ff6e09fa64c339321299cbca1">
        <w:r>
          <w:rPr>
            <w:rStyle w:val="Hyperlink"/>
          </w:rPr>
          <w:t xml:space="preserve">Portfolio Tools</w:t>
        </w:r>
      </w:hyperlink>
    </w:p>
    <w:p>
      <w:pPr>
        <w:pStyle w:val="Compact"/>
        <w:numPr>
          <w:ilvl w:val="1"/>
          <w:numId w:val="1006"/>
        </w:numPr>
      </w:pPr>
      <w:r>
        <w:t xml:space="preserve">8.1 Portfolio Dashboard</w:t>
      </w:r>
    </w:p>
    <w:p>
      <w:pPr>
        <w:pStyle w:val="Compact"/>
        <w:numPr>
          <w:ilvl w:val="1"/>
          <w:numId w:val="1006"/>
        </w:numPr>
      </w:pPr>
      <w:r>
        <w:t xml:space="preserve">8.2 Prosecution Intelligence</w:t>
      </w:r>
    </w:p>
    <w:p>
      <w:pPr>
        <w:pStyle w:val="Compact"/>
        <w:numPr>
          <w:ilvl w:val="1"/>
          <w:numId w:val="1006"/>
        </w:numPr>
      </w:pPr>
      <w:r>
        <w:t xml:space="preserve">8.3 Corpus Manager</w:t>
      </w:r>
    </w:p>
    <w:p>
      <w:pPr>
        <w:pStyle w:val="Compact"/>
        <w:numPr>
          <w:ilvl w:val="1"/>
          <w:numId w:val="1006"/>
        </w:numPr>
      </w:pPr>
      <w:r>
        <w:t xml:space="preserve">8.4 Patent Fetcher</w:t>
      </w:r>
    </w:p>
    <w:p>
      <w:pPr>
        <w:pStyle w:val="Compact"/>
        <w:numPr>
          <w:ilvl w:val="1"/>
          <w:numId w:val="1006"/>
        </w:numPr>
      </w:pPr>
      <w:r>
        <w:t xml:space="preserve">8.5 Practice Notes</w:t>
      </w:r>
    </w:p>
    <w:p>
      <w:pPr>
        <w:pStyle w:val="Compact"/>
        <w:numPr>
          <w:ilvl w:val="1"/>
          <w:numId w:val="1006"/>
        </w:numPr>
      </w:pPr>
      <w:r>
        <w:t xml:space="preserve">8.6 Prompt Manager</w:t>
      </w:r>
    </w:p>
    <w:p>
      <w:pPr>
        <w:pStyle w:val="Compact"/>
        <w:numPr>
          <w:ilvl w:val="0"/>
          <w:numId w:val="1001"/>
        </w:numPr>
      </w:pPr>
      <w:hyperlink w:anchor="X7c1885bc6960a5e33d7248fc952f752b6f2a098">
        <w:r>
          <w:rPr>
            <w:rStyle w:val="Hyperlink"/>
          </w:rPr>
          <w:t xml:space="preserve">Settings</w:t>
        </w:r>
      </w:hyperlink>
    </w:p>
    <w:p>
      <w:pPr>
        <w:pStyle w:val="Compact"/>
        <w:numPr>
          <w:ilvl w:val="0"/>
          <w:numId w:val="1001"/>
        </w:numPr>
      </w:pPr>
      <w:hyperlink w:anchor="X2aa119c312c44085d0eae232d8f05420ff63d08">
        <w:r>
          <w:rPr>
            <w:rStyle w:val="Hyperlink"/>
          </w:rPr>
          <w:t xml:space="preserve">Administration (Firm Admins)</w:t>
        </w:r>
      </w:hyperlink>
    </w:p>
    <w:p>
      <w:pPr>
        <w:pStyle w:val="Compact"/>
        <w:numPr>
          <w:ilvl w:val="0"/>
          <w:numId w:val="1001"/>
        </w:numPr>
      </w:pPr>
      <w:hyperlink w:anchor="Xec4f1ccca62745376ac0dbfb65a3ee1dc65a919">
        <w:r>
          <w:rPr>
            <w:rStyle w:val="Hyperlink"/>
          </w:rPr>
          <w:t xml:space="preserve">Troubleshooting</w:t>
        </w:r>
      </w:hyperlink>
    </w:p>
    <w:p>
      <w:pPr>
        <w:pStyle w:val="Compact"/>
        <w:numPr>
          <w:ilvl w:val="0"/>
          <w:numId w:val="1001"/>
        </w:numPr>
      </w:pPr>
      <w:hyperlink w:anchor="Xc9e6d191e7c1f5e53623ed6f7b42ed9bea13a61">
        <w:r>
          <w:rPr>
            <w:rStyle w:val="Hyperlink"/>
          </w:rPr>
          <w:t xml:space="preserve">Attorney Responsibility Notice</w:t>
        </w:r>
      </w:hyperlink>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Priori is an AI-assisted patent law platform built for practitioners who need substantive analytical depth, not surface-level automation. It is designed for registered patent attorneys engaged in prosecution, litigation support, and portfolio management.</w:t>
      </w:r>
    </w:p>
    <w:p>
      <w:pPr>
        <w:pStyle w:val="BodyText"/>
      </w:pPr>
      <w:r>
        <w:t xml:space="preserve">Priori integrates three AI backends:</w:t>
      </w:r>
    </w:p>
    <w:p>
      <w:pPr>
        <w:pStyle w:val="Compact"/>
        <w:numPr>
          <w:ilvl w:val="0"/>
          <w:numId w:val="1007"/>
        </w:numPr>
      </w:pPr>
      <w:r>
        <w:rPr>
          <w:b/>
          <w:bCs/>
        </w:rPr>
        <w:t xml:space="preserve">Claude (Anthropic)</w:t>
      </w:r>
      <w:r>
        <w:t xml:space="preserve"> </w:t>
      </w:r>
      <w:r>
        <w:t xml:space="preserve">— primary reasoning engine for claim drafting, FTO analysis, OA responses, infringement analysis, and all high-stakes synthesis tasks</w:t>
      </w:r>
    </w:p>
    <w:p>
      <w:pPr>
        <w:pStyle w:val="Compact"/>
        <w:numPr>
          <w:ilvl w:val="0"/>
          <w:numId w:val="1007"/>
        </w:numPr>
      </w:pPr>
      <w:r>
        <w:rPr>
          <w:b/>
          <w:bCs/>
        </w:rPr>
        <w:t xml:space="preserve">USPTO Open Data Portal (ODP) API</w:t>
      </w:r>
      <w:r>
        <w:t xml:space="preserve"> </w:t>
      </w:r>
      <w:r>
        <w:t xml:space="preserve">— live access to pending application data, prosecution history documents (IFW), and examiner records</w:t>
      </w:r>
    </w:p>
    <w:p>
      <w:pPr>
        <w:pStyle w:val="Compact"/>
        <w:numPr>
          <w:ilvl w:val="0"/>
          <w:numId w:val="1007"/>
        </w:numPr>
      </w:pPr>
      <w:r>
        <w:rPr>
          <w:b/>
          <w:bCs/>
        </w:rPr>
        <w:t xml:space="preserve">Google Patents</w:t>
      </w:r>
      <w:r>
        <w:t xml:space="preserve"> </w:t>
      </w:r>
      <w:r>
        <w:t xml:space="preserve">— granted patent search and citation data</w:t>
      </w:r>
    </w:p>
    <w:p>
      <w:pPr>
        <w:pStyle w:val="FirstParagraph"/>
      </w:pPr>
      <w:r>
        <w:t xml:space="preserve">Priori is a web application served locally or over your firm’s network. It does not send client data to third-party servers except through API calls to Anthropic (for AI analysis) and USPTO (for patent data). All API traffic is encrypted in transit. Review your engagement agreements before uploading client confidential materials.</w:t>
      </w:r>
    </w:p>
    <w:bookmarkStart w:id="10" w:name="what-is-new-in-v2.1"/>
    <w:p>
      <w:pPr>
        <w:pStyle w:val="Heading3"/>
      </w:pPr>
      <w:r>
        <w:t xml:space="preserve">What is new in v2.1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Where</w:t>
            </w:r>
          </w:p>
        </w:tc>
      </w:tr>
      <w:tr>
        <w:tc>
          <w:tcPr/>
          <w:p>
            <w:pPr>
              <w:pStyle w:val="Compact"/>
            </w:pPr>
            <w:r>
              <w:t xml:space="preserve">CPC code auto-suggest (Claude)</w:t>
            </w:r>
          </w:p>
        </w:tc>
        <w:tc>
          <w:tcPr/>
          <w:p>
            <w:pPr>
              <w:pStyle w:val="Compact"/>
            </w:pPr>
            <w:r>
              <w:t xml:space="preserve">Patent Search, Prior Art Search</w:t>
            </w:r>
          </w:p>
        </w:tc>
      </w:tr>
      <w:tr>
        <w:tc>
          <w:tcPr/>
          <w:p>
            <w:pPr>
              <w:pStyle w:val="Compact"/>
            </w:pPr>
            <w:r>
              <w:t xml:space="preserve">Local USPTO grants index (FTS5 full-text search)</w:t>
            </w:r>
          </w:p>
        </w:tc>
        <w:tc>
          <w:tcPr/>
          <w:p>
            <w:pPr>
              <w:pStyle w:val="Compact"/>
            </w:pPr>
            <w:r>
              <w:t xml:space="preserve">Patent Search</w:t>
            </w:r>
          </w:p>
        </w:tc>
      </w:tr>
      <w:tr>
        <w:tc>
          <w:tcPr/>
          <w:p>
            <w:pPr>
              <w:pStyle w:val="Compact"/>
            </w:pPr>
            <w:r>
              <w:t xml:space="preserve">Patent expiry badges (active / expiring soon / expired)</w:t>
            </w:r>
          </w:p>
        </w:tc>
        <w:tc>
          <w:tcPr/>
          <w:p>
            <w:pPr>
              <w:pStyle w:val="Compact"/>
            </w:pPr>
            <w:r>
              <w:t xml:space="preserve">FTO Analysis</w:t>
            </w:r>
          </w:p>
        </w:tc>
      </w:tr>
      <w:tr>
        <w:tc>
          <w:tcPr/>
          <w:p>
            <w:pPr>
              <w:pStyle w:val="Compact"/>
            </w:pPr>
            <w:r>
              <w:t xml:space="preserve">Draft-around suggestions per shared limitation</w:t>
            </w:r>
          </w:p>
        </w:tc>
        <w:tc>
          <w:tcPr/>
          <w:p>
            <w:pPr>
              <w:pStyle w:val="Compact"/>
            </w:pPr>
            <w:r>
              <w:t xml:space="preserve">Claim Similarity Scorer</w:t>
            </w:r>
          </w:p>
        </w:tc>
      </w:tr>
      <w:tr>
        <w:tc>
          <w:tcPr/>
          <w:p>
            <w:pPr>
              <w:pStyle w:val="Compact"/>
            </w:pPr>
            <w:r>
              <w:t xml:space="preserve">Interference / derivation flag</w:t>
            </w:r>
          </w:p>
        </w:tc>
        <w:tc>
          <w:tcPr/>
          <w:p>
            <w:pPr>
              <w:pStyle w:val="Compact"/>
            </w:pPr>
            <w:r>
              <w:t xml:space="preserve">Claim Similarity Scorer</w:t>
            </w:r>
          </w:p>
        </w:tc>
      </w:tr>
      <w:tr>
        <w:tc>
          <w:tcPr/>
          <w:p>
            <w:pPr>
              <w:pStyle w:val="Compact"/>
            </w:pPr>
            <w:r>
              <w:t xml:space="preserve">Patent vs. Patent batch scoring mode</w:t>
            </w:r>
          </w:p>
        </w:tc>
        <w:tc>
          <w:tcPr/>
          <w:p>
            <w:pPr>
              <w:pStyle w:val="Compact"/>
            </w:pPr>
            <w:r>
              <w:t xml:space="preserve">Claim Similarity Scorer</w:t>
            </w:r>
          </w:p>
        </w:tc>
      </w:tr>
      <w:tr>
        <w:tc>
          <w:tcPr/>
          <w:p>
            <w:pPr>
              <w:pStyle w:val="Compact"/>
            </w:pPr>
            <w:r>
              <w:t xml:space="preserve">Scope Tuner integration from Claim Similarity</w:t>
            </w:r>
          </w:p>
        </w:tc>
        <w:tc>
          <w:tcPr/>
          <w:p>
            <w:pPr>
              <w:pStyle w:val="Compact"/>
            </w:pPr>
            <w:r>
              <w:t xml:space="preserve">Claim Similarity → Competitive Analysis</w:t>
            </w:r>
          </w:p>
        </w:tc>
      </w:tr>
    </w:tbl>
    <w:p>
      <w:r>
        <w:pict>
          <v:rect style="width:0;height:1.5pt" o:hralign="center" o:hrstd="t" o:hr="t"/>
        </w:pict>
      </w:r>
    </w:p>
    <w:bookmarkEnd w:id="10"/>
    <w:bookmarkEnd w:id="11"/>
    <w:bookmarkStart w:id="12" w:name="access-and-login"/>
    <w:p>
      <w:pPr>
        <w:pStyle w:val="Heading2"/>
      </w:pPr>
      <w:r>
        <w:t xml:space="preserve">2. Access and Login</w:t>
      </w:r>
    </w:p>
    <w:p>
      <w:pPr>
        <w:pStyle w:val="FirstParagraph"/>
      </w:pPr>
      <w:r>
        <w:t xml:space="preserve">Priori is accessed through a web browser. Your firm administrator will provide the URL (typically a local address such as</w:t>
      </w:r>
      <w:r>
        <w:t xml:space="preserve"> </w:t>
      </w:r>
      <w:r>
        <w:rPr>
          <w:rStyle w:val="VerbatimChar"/>
        </w:rPr>
        <w:t xml:space="preserve">http://localhost:8080</w:t>
      </w:r>
      <w:r>
        <w:t xml:space="preserve"> </w:t>
      </w:r>
      <w:r>
        <w:t xml:space="preserve">or a private network hostname).</w:t>
      </w:r>
    </w:p>
    <w:p>
      <w:pPr>
        <w:pStyle w:val="BodyText"/>
      </w:pPr>
      <w:r>
        <w:rPr>
          <w:b/>
          <w:bCs/>
        </w:rPr>
        <w:t xml:space="preserve">To log in:</w:t>
      </w:r>
      <w:r>
        <w:t xml:space="preserve"> </w:t>
      </w:r>
      <w:r>
        <w:t xml:space="preserve">1. Open the Priori URL in a modern browser (Chrome, Firefox, or Safari — Edge is also supported).</w:t>
      </w:r>
      <w:r>
        <w:t xml:space="preserve"> </w:t>
      </w:r>
      <w:r>
        <w:t xml:space="preserve">2. Enter your email address and password as provisioned by your Firm Admin.</w:t>
      </w:r>
      <w:r>
        <w:t xml:space="preserve"> </w:t>
      </w:r>
      <w:r>
        <w:t xml:space="preserve">3. Upon first login, complete your attorney profile in Settings (registration number, firm phone, firm email).</w:t>
      </w:r>
    </w:p>
    <w:p>
      <w:pPr>
        <w:pStyle w:val="BodyText"/>
      </w:pPr>
      <w:r>
        <w:rPr>
          <w:b/>
          <w:bCs/>
        </w:rPr>
        <w:t xml:space="preserve">Account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Capabilities</w:t>
            </w:r>
          </w:p>
        </w:tc>
      </w:tr>
      <w:tr>
        <w:tc>
          <w:tcPr/>
          <w:p>
            <w:pPr>
              <w:pStyle w:val="Compact"/>
            </w:pPr>
            <w:r>
              <w:t xml:space="preserve">Attorney</w:t>
            </w:r>
          </w:p>
        </w:tc>
        <w:tc>
          <w:tcPr/>
          <w:p>
            <w:pPr>
              <w:pStyle w:val="Compact"/>
            </w:pPr>
            <w:r>
              <w:t xml:space="preserve">Full access to all tools; manages own profile and corpus entries</w:t>
            </w:r>
          </w:p>
        </w:tc>
      </w:tr>
      <w:tr>
        <w:tc>
          <w:tcPr/>
          <w:p>
            <w:pPr>
              <w:pStyle w:val="Compact"/>
            </w:pPr>
            <w:r>
              <w:t xml:space="preserve">Firm Admin</w:t>
            </w:r>
          </w:p>
        </w:tc>
        <w:tc>
          <w:tcPr/>
          <w:p>
            <w:pPr>
              <w:pStyle w:val="Compact"/>
            </w:pPr>
            <w:r>
              <w:t xml:space="preserve">Full attorney access plus firm-wide settings, user management, API key management, and firm corpus</w:t>
            </w:r>
          </w:p>
        </w:tc>
      </w:tr>
    </w:tbl>
    <w:p>
      <w:pPr>
        <w:pStyle w:val="BodyText"/>
      </w:pPr>
      <w:r>
        <w:t xml:space="preserve">If your login fails, contact your Firm Admin. Accounts are provisioned through the Admin Dashboard, not self-registration.</w:t>
      </w:r>
    </w:p>
    <w:p>
      <w:pPr>
        <w:pStyle w:val="BodyText"/>
      </w:pPr>
      <w:r>
        <w:rPr>
          <w:b/>
          <w:bCs/>
        </w:rPr>
        <w:t xml:space="preserve">USPTO ODP Login Deadline — June 18, 2026</w:t>
      </w:r>
    </w:p>
    <w:p>
      <w:pPr>
        <w:pStyle w:val="BodyText"/>
      </w:pPr>
      <w:r>
        <w:t xml:space="preserve">Starting June 18, 2026, the USPTO requires a registered API key to access prosecution history documents (IFW) and application data through the Open Data Portal. Priori displays a countdown banner in the sidebar when this deadline is within 60 days. If the countdown banner is red or orange, inform your Firm Admin immediately so the API key can be configured before access is interrupted.</w:t>
      </w:r>
    </w:p>
    <w:p>
      <w:r>
        <w:pict>
          <v:rect style="width:0;height:1.5pt" o:hralign="center" o:hrstd="t" o:hr="t"/>
        </w:pict>
      </w:r>
    </w:p>
    <w:bookmarkEnd w:id="12"/>
    <w:bookmarkStart w:id="13" w:name="navigation-overview"/>
    <w:p>
      <w:pPr>
        <w:pStyle w:val="Heading2"/>
      </w:pPr>
      <w:r>
        <w:t xml:space="preserve">3. Navigation Overview</w:t>
      </w:r>
    </w:p>
    <w:p>
      <w:pPr>
        <w:pStyle w:val="FirstParagraph"/>
      </w:pPr>
      <w:r>
        <w:t xml:space="preserve">Priori’s interface consists of a fixed left sidebar and a main content area. The sidebar contains five collapsible navigation sections. The active tool is highlighted in blue. Click any section header to expand or collapse it.</w:t>
      </w:r>
    </w:p>
    <w:p>
      <w:pPr>
        <w:pStyle w:val="SourceCode"/>
      </w:pPr>
      <w:r>
        <w:rPr>
          <w:rStyle w:val="VerbatimChar"/>
        </w:rPr>
        <w:t xml:space="preserve">PRIORI (or your firm name)</w:t>
      </w:r>
      <w:r>
        <w:br/>
      </w:r>
      <w:r>
        <w:rPr>
          <w:rStyle w:val="VerbatimChar"/>
        </w:rPr>
        <w:t xml:space="preserve">|</w:t>
      </w:r>
      <w:r>
        <w:br/>
      </w:r>
      <w:r>
        <w:rPr>
          <w:rStyle w:val="VerbatimChar"/>
        </w:rPr>
        <w:t xml:space="preserve">+-- PRE-FILING</w:t>
      </w:r>
      <w:r>
        <w:br/>
      </w:r>
      <w:r>
        <w:rPr>
          <w:rStyle w:val="VerbatimChar"/>
        </w:rPr>
        <w:t xml:space="preserve">|     Patent Search</w:t>
      </w:r>
      <w:r>
        <w:br/>
      </w:r>
      <w:r>
        <w:rPr>
          <w:rStyle w:val="VerbatimChar"/>
        </w:rPr>
        <w:t xml:space="preserve">|     Prior Art Search</w:t>
      </w:r>
      <w:r>
        <w:br/>
      </w:r>
      <w:r>
        <w:rPr>
          <w:rStyle w:val="VerbatimChar"/>
        </w:rPr>
        <w:t xml:space="preserve">|     Patent App Generator</w:t>
      </w:r>
      <w:r>
        <w:br/>
      </w:r>
      <w:r>
        <w:rPr>
          <w:rStyle w:val="VerbatimChar"/>
        </w:rPr>
        <w:t xml:space="preserve">|     Figure Generator</w:t>
      </w:r>
      <w:r>
        <w:br/>
      </w:r>
      <w:r>
        <w:rPr>
          <w:rStyle w:val="VerbatimChar"/>
        </w:rPr>
        <w:t xml:space="preserve">|     FTO Analysis</w:t>
      </w:r>
      <w:r>
        <w:br/>
      </w:r>
      <w:r>
        <w:rPr>
          <w:rStyle w:val="VerbatimChar"/>
        </w:rPr>
        <w:t xml:space="preserve">|     Cost Estimator</w:t>
      </w:r>
      <w:r>
        <w:br/>
      </w:r>
      <w:r>
        <w:rPr>
          <w:rStyle w:val="VerbatimChar"/>
        </w:rPr>
        <w:t xml:space="preserve">|     Claim Similarity</w:t>
      </w:r>
      <w:r>
        <w:br/>
      </w:r>
      <w:r>
        <w:rPr>
          <w:rStyle w:val="VerbatimChar"/>
        </w:rPr>
        <w:t xml:space="preserve">|</w:t>
      </w:r>
      <w:r>
        <w:br/>
      </w:r>
      <w:r>
        <w:rPr>
          <w:rStyle w:val="VerbatimChar"/>
        </w:rPr>
        <w:t xml:space="preserve">+-- PROSECUTION</w:t>
      </w:r>
      <w:r>
        <w:br/>
      </w:r>
      <w:r>
        <w:rPr>
          <w:rStyle w:val="VerbatimChar"/>
        </w:rPr>
        <w:t xml:space="preserve">|     IFW Collector</w:t>
      </w:r>
      <w:r>
        <w:br/>
      </w:r>
      <w:r>
        <w:rPr>
          <w:rStyle w:val="VerbatimChar"/>
        </w:rPr>
        <w:t xml:space="preserve">|     Restriction / Election</w:t>
      </w:r>
      <w:r>
        <w:br/>
      </w:r>
      <w:r>
        <w:rPr>
          <w:rStyle w:val="VerbatimChar"/>
        </w:rPr>
        <w:t xml:space="preserve">|     OA Response</w:t>
      </w:r>
      <w:r>
        <w:br/>
      </w:r>
      <w:r>
        <w:rPr>
          <w:rStyle w:val="VerbatimChar"/>
        </w:rPr>
        <w:t xml:space="preserve">|     IDS Generator</w:t>
      </w:r>
      <w:r>
        <w:br/>
      </w:r>
      <w:r>
        <w:rPr>
          <w:rStyle w:val="VerbatimChar"/>
        </w:rPr>
        <w:t xml:space="preserve">|     ADS Generator</w:t>
      </w:r>
      <w:r>
        <w:br/>
      </w:r>
      <w:r>
        <w:rPr>
          <w:rStyle w:val="VerbatimChar"/>
        </w:rPr>
        <w:t xml:space="preserve">|     Continuation / CIP</w:t>
      </w:r>
      <w:r>
        <w:br/>
      </w:r>
      <w:r>
        <w:rPr>
          <w:rStyle w:val="VerbatimChar"/>
        </w:rPr>
        <w:t xml:space="preserve">|     Certificate of Mailing</w:t>
      </w:r>
      <w:r>
        <w:br/>
      </w:r>
      <w:r>
        <w:rPr>
          <w:rStyle w:val="VerbatimChar"/>
        </w:rPr>
        <w:t xml:space="preserve">|     Prosecution Monitor</w:t>
      </w:r>
      <w:r>
        <w:br/>
      </w:r>
      <w:r>
        <w:rPr>
          <w:rStyle w:val="VerbatimChar"/>
        </w:rPr>
        <w:t xml:space="preserve">|     Fee Log</w:t>
      </w:r>
      <w:r>
        <w:br/>
      </w:r>
      <w:r>
        <w:rPr>
          <w:rStyle w:val="VerbatimChar"/>
        </w:rPr>
        <w:t xml:space="preserve">|     Correspondence</w:t>
      </w:r>
      <w:r>
        <w:br/>
      </w:r>
      <w:r>
        <w:rPr>
          <w:rStyle w:val="VerbatimChar"/>
        </w:rPr>
        <w:t xml:space="preserve">|</w:t>
      </w:r>
      <w:r>
        <w:br/>
      </w:r>
      <w:r>
        <w:rPr>
          <w:rStyle w:val="VerbatimChar"/>
        </w:rPr>
        <w:t xml:space="preserve">+-- REVIEW</w:t>
      </w:r>
      <w:r>
        <w:br/>
      </w:r>
      <w:r>
        <w:rPr>
          <w:rStyle w:val="VerbatimChar"/>
        </w:rPr>
        <w:t xml:space="preserve">|     Quality Review</w:t>
      </w:r>
      <w:r>
        <w:br/>
      </w:r>
      <w:r>
        <w:rPr>
          <w:rStyle w:val="VerbatimChar"/>
        </w:rPr>
        <w:t xml:space="preserve">|     In-House Review</w:t>
      </w:r>
      <w:r>
        <w:br/>
      </w:r>
      <w:r>
        <w:rPr>
          <w:rStyle w:val="VerbatimChar"/>
        </w:rPr>
        <w:t xml:space="preserve">|     Inventor Review</w:t>
      </w:r>
      <w:r>
        <w:br/>
      </w:r>
      <w:r>
        <w:rPr>
          <w:rStyle w:val="VerbatimChar"/>
        </w:rPr>
        <w:t xml:space="preserve">|</w:t>
      </w:r>
      <w:r>
        <w:br/>
      </w:r>
      <w:r>
        <w:rPr>
          <w:rStyle w:val="VerbatimChar"/>
        </w:rPr>
        <w:t xml:space="preserve">+-- ANALYSIS</w:t>
      </w:r>
      <w:r>
        <w:br/>
      </w:r>
      <w:r>
        <w:rPr>
          <w:rStyle w:val="VerbatimChar"/>
        </w:rPr>
        <w:t xml:space="preserve">|     AI Patent Assistant</w:t>
      </w:r>
      <w:r>
        <w:br/>
      </w:r>
      <w:r>
        <w:rPr>
          <w:rStyle w:val="VerbatimChar"/>
        </w:rPr>
        <w:t xml:space="preserve">|     Claim Construction</w:t>
      </w:r>
      <w:r>
        <w:br/>
      </w:r>
      <w:r>
        <w:rPr>
          <w:rStyle w:val="VerbatimChar"/>
        </w:rPr>
        <w:t xml:space="preserve">|     Infringement Analysis</w:t>
      </w:r>
      <w:r>
        <w:br/>
      </w:r>
      <w:r>
        <w:rPr>
          <w:rStyle w:val="VerbatimChar"/>
        </w:rPr>
        <w:t xml:space="preserve">|     Claim Element Analysis</w:t>
      </w:r>
      <w:r>
        <w:br/>
      </w:r>
      <w:r>
        <w:rPr>
          <w:rStyle w:val="VerbatimChar"/>
        </w:rPr>
        <w:t xml:space="preserve">|     Invalidity Chart</w:t>
      </w:r>
      <w:r>
        <w:br/>
      </w:r>
      <w:r>
        <w:rPr>
          <w:rStyle w:val="VerbatimChar"/>
        </w:rPr>
        <w:t xml:space="preserve">|     Prior Art Mapper</w:t>
      </w:r>
      <w:r>
        <w:br/>
      </w:r>
      <w:r>
        <w:rPr>
          <w:rStyle w:val="VerbatimChar"/>
        </w:rPr>
        <w:t xml:space="preserve">|     Competitive Analysis</w:t>
      </w:r>
      <w:r>
        <w:br/>
      </w:r>
      <w:r>
        <w:rPr>
          <w:rStyle w:val="VerbatimChar"/>
        </w:rPr>
        <w:t xml:space="preserve">|     Citation Analyzer</w:t>
      </w:r>
      <w:r>
        <w:br/>
      </w:r>
      <w:r>
        <w:rPr>
          <w:rStyle w:val="VerbatimChar"/>
        </w:rPr>
        <w:t xml:space="preserve">|     Document Q&amp;A</w:t>
      </w:r>
      <w:r>
        <w:br/>
      </w:r>
      <w:r>
        <w:rPr>
          <w:rStyle w:val="VerbatimChar"/>
        </w:rPr>
        <w:t xml:space="preserve">|</w:t>
      </w:r>
      <w:r>
        <w:br/>
      </w:r>
      <w:r>
        <w:rPr>
          <w:rStyle w:val="VerbatimChar"/>
        </w:rPr>
        <w:t xml:space="preserve">+-- PORTFOLIO</w:t>
      </w:r>
      <w:r>
        <w:br/>
      </w:r>
      <w:r>
        <w:rPr>
          <w:rStyle w:val="VerbatimChar"/>
        </w:rPr>
        <w:t xml:space="preserve">      Portfolio Dashboard</w:t>
      </w:r>
      <w:r>
        <w:br/>
      </w:r>
      <w:r>
        <w:rPr>
          <w:rStyle w:val="VerbatimChar"/>
        </w:rPr>
        <w:t xml:space="preserve">      Prosecution Intelligence</w:t>
      </w:r>
      <w:r>
        <w:br/>
      </w:r>
      <w:r>
        <w:rPr>
          <w:rStyle w:val="VerbatimChar"/>
        </w:rPr>
        <w:t xml:space="preserve">      Corpus Manager</w:t>
      </w:r>
      <w:r>
        <w:br/>
      </w:r>
      <w:r>
        <w:rPr>
          <w:rStyle w:val="VerbatimChar"/>
        </w:rPr>
        <w:t xml:space="preserve">      Patent Fetcher</w:t>
      </w:r>
      <w:r>
        <w:br/>
      </w:r>
      <w:r>
        <w:rPr>
          <w:rStyle w:val="VerbatimChar"/>
        </w:rPr>
        <w:t xml:space="preserve">      Practice Notes</w:t>
      </w:r>
      <w:r>
        <w:br/>
      </w:r>
      <w:r>
        <w:rPr>
          <w:rStyle w:val="VerbatimChar"/>
        </w:rPr>
        <w:t xml:space="preserve">      Prompt Manager</w:t>
      </w:r>
      <w:r>
        <w:br/>
      </w:r>
      <w:r>
        <w:rPr>
          <w:rStyle w:val="VerbatimChar"/>
        </w:rPr>
        <w:t xml:space="preserve">|</w:t>
      </w:r>
      <w:r>
        <w:br/>
      </w:r>
      <w:r>
        <w:rPr>
          <w:rStyle w:val="VerbatimChar"/>
        </w:rPr>
        <w:t xml:space="preserve">+-- (footer)</w:t>
      </w:r>
      <w:r>
        <w:br/>
      </w:r>
      <w:r>
        <w:rPr>
          <w:rStyle w:val="VerbatimChar"/>
        </w:rPr>
        <w:t xml:space="preserve">      Admin Dashboard  [Firm Admins only]</w:t>
      </w:r>
      <w:r>
        <w:br/>
      </w:r>
      <w:r>
        <w:rPr>
          <w:rStyle w:val="VerbatimChar"/>
        </w:rPr>
        <w:t xml:space="preserve">      My Settings</w:t>
      </w:r>
      <w:r>
        <w:br/>
      </w:r>
      <w:r>
        <w:rPr>
          <w:rStyle w:val="VerbatimChar"/>
        </w:rPr>
        <w:t xml:space="preserve">      Help &amp; Quick Start</w:t>
      </w:r>
      <w:r>
        <w:br/>
      </w:r>
      <w:r>
        <w:rPr>
          <w:rStyle w:val="VerbatimChar"/>
        </w:rPr>
        <w:t xml:space="preserve">      User Manual (PDF)</w:t>
      </w:r>
    </w:p>
    <w:p>
      <w:pPr>
        <w:pStyle w:val="FirstParagraph"/>
      </w:pPr>
      <w:r>
        <w:t xml:space="preserve">If your firm has uploaded a logo, it appears in the sidebar header in place of the Priori mark. The</w:t>
      </w:r>
      <w:r>
        <w:t xml:space="preserve"> </w:t>
      </w:r>
      <w:r>
        <w:t xml:space="preserve">“Powered by Priori”</w:t>
      </w:r>
      <w:r>
        <w:t xml:space="preserve"> </w:t>
      </w:r>
      <w:r>
        <w:t xml:space="preserve">line is shown below the firm name in that case.</w:t>
      </w:r>
    </w:p>
    <w:p>
      <w:r>
        <w:pict>
          <v:rect style="width:0;height:1.5pt" o:hralign="center" o:hrstd="t" o:hr="t"/>
        </w:pict>
      </w:r>
    </w:p>
    <w:bookmarkEnd w:id="13"/>
    <w:bookmarkStart w:id="21" w:name="pre-filing-tools"/>
    <w:p>
      <w:pPr>
        <w:pStyle w:val="Heading2"/>
      </w:pPr>
      <w:r>
        <w:t xml:space="preserve">4. Pre-Filing Tools</w:t>
      </w:r>
    </w:p>
    <w:bookmarkStart w:id="14" w:name="patent-search"/>
    <w:p>
      <w:pPr>
        <w:pStyle w:val="Heading3"/>
      </w:pPr>
      <w:r>
        <w:t xml:space="preserve">4.1 Patent Search</w:t>
      </w:r>
    </w:p>
    <w:p>
      <w:pPr>
        <w:pStyle w:val="FirstParagraph"/>
      </w:pPr>
      <w:r>
        <w:rPr>
          <w:b/>
          <w:bCs/>
        </w:rPr>
        <w:t xml:space="preserve">Route:</w:t>
      </w:r>
      <w:r>
        <w:t xml:space="preserve"> </w:t>
      </w:r>
      <w:r>
        <w:rPr>
          <w:rStyle w:val="VerbatimChar"/>
        </w:rPr>
        <w:t xml:space="preserve">/patent-search</w:t>
      </w:r>
    </w:p>
    <w:p>
      <w:pPr>
        <w:pStyle w:val="BodyText"/>
      </w:pPr>
      <w:r>
        <w:rPr>
          <w:b/>
          <w:bCs/>
        </w:rPr>
        <w:t xml:space="preserve">Purpose:</w:t>
      </w:r>
      <w:r>
        <w:t xml:space="preserve"> </w:t>
      </w:r>
      <w:r>
        <w:t xml:space="preserve">Semantic concept search across the USPTO grants database and pending application database. Designed for novelty screening, landscape surveys, and FTO preliminary work.</w:t>
      </w:r>
    </w:p>
    <w:p>
      <w:pPr>
        <w:pStyle w:val="BodyText"/>
      </w:pPr>
      <w:r>
        <w:rPr>
          <w:b/>
          <w:bCs/>
        </w:rPr>
        <w:t xml:space="preserve">How it works:</w:t>
      </w:r>
    </w:p>
    <w:p>
      <w:pPr>
        <w:pStyle w:val="Compact"/>
        <w:numPr>
          <w:ilvl w:val="0"/>
          <w:numId w:val="1008"/>
        </w:numPr>
      </w:pPr>
      <w:r>
        <w:t xml:space="preserve">Enter a concept description or paste a claim element into the query box. The description should be a plain-language technical summary, not a bare keyword list.</w:t>
      </w:r>
    </w:p>
    <w:p>
      <w:pPr>
        <w:pStyle w:val="Compact"/>
        <w:numPr>
          <w:ilvl w:val="0"/>
          <w:numId w:val="1008"/>
        </w:numPr>
      </w:pPr>
      <w:r>
        <w:t xml:space="preserve">Optionally enter or auto-suggest a CPC classification code to narrow results.</w:t>
      </w:r>
    </w:p>
    <w:p>
      <w:pPr>
        <w:pStyle w:val="Compact"/>
        <w:numPr>
          <w:ilvl w:val="0"/>
          <w:numId w:val="1008"/>
        </w:numPr>
      </w:pPr>
      <w:r>
        <w:t xml:space="preserve">Set result count (5–50), date filter (filed after year), and assignee filter.</w:t>
      </w:r>
    </w:p>
    <w:p>
      <w:pPr>
        <w:pStyle w:val="Compact"/>
        <w:numPr>
          <w:ilvl w:val="0"/>
          <w:numId w:val="1008"/>
        </w:numPr>
      </w:pPr>
      <w:r>
        <w:t xml:space="preserve">Click</w:t>
      </w:r>
      <w:r>
        <w:t xml:space="preserve"> </w:t>
      </w:r>
      <w:r>
        <w:rPr>
          <w:b/>
          <w:bCs/>
        </w:rPr>
        <w:t xml:space="preserve">Auto-Search</w:t>
      </w:r>
      <w:r>
        <w:t xml:space="preserve"> </w:t>
      </w:r>
      <w:r>
        <w:t xml:space="preserve">to run:</w:t>
      </w:r>
    </w:p>
    <w:p>
      <w:pPr>
        <w:pStyle w:val="Compact"/>
        <w:numPr>
          <w:ilvl w:val="1"/>
          <w:numId w:val="1009"/>
        </w:numPr>
      </w:pPr>
      <w:r>
        <w:t xml:space="preserve">If a local USPTO grants index is configured, Priori searches it using FTS5 full-text search (offline, no rate limits).</w:t>
      </w:r>
    </w:p>
    <w:p>
      <w:pPr>
        <w:pStyle w:val="Compact"/>
        <w:numPr>
          <w:ilvl w:val="1"/>
          <w:numId w:val="1009"/>
        </w:numPr>
      </w:pPr>
      <w:r>
        <w:t xml:space="preserve">Otherwise, Priori queries Google Patents (note: automated access is sometimes blocked — use the browser fallback in that case).</w:t>
      </w:r>
    </w:p>
    <w:p>
      <w:pPr>
        <w:pStyle w:val="Compact"/>
        <w:numPr>
          <w:ilvl w:val="1"/>
          <w:numId w:val="1009"/>
        </w:numPr>
      </w:pPr>
      <w:r>
        <w:t xml:space="preserve">Concurrently, if a USPTO ODP API key is configured, Priori queries the ODP for pending applications matching the concept.</w:t>
      </w:r>
    </w:p>
    <w:p>
      <w:pPr>
        <w:pStyle w:val="Compact"/>
        <w:numPr>
          <w:ilvl w:val="1"/>
          <w:numId w:val="1009"/>
        </w:numPr>
      </w:pPr>
      <w:r>
        <w:t xml:space="preserve">If an Anthropic API key is configured, Claude re-ranks results by relevance to the concept. Each result receives a score badge (1–10) with a hover tooltip explaining the ranking rationale.</w:t>
      </w:r>
    </w:p>
    <w:p>
      <w:pPr>
        <w:pStyle w:val="FirstParagraph"/>
      </w:pPr>
      <w:r>
        <w:rPr>
          <w:b/>
          <w:bCs/>
        </w:rPr>
        <w:t xml:space="preserve">CPC Auto-Suggest (v2.1):</w:t>
      </w:r>
      <w:r>
        <w:t xml:space="preserve"> </w:t>
      </w:r>
      <w:r>
        <w:t xml:space="preserve">Click</w:t>
      </w:r>
      <w:r>
        <w:t xml:space="preserve"> </w:t>
      </w:r>
      <w:r>
        <w:rPr>
          <w:b/>
          <w:bCs/>
        </w:rPr>
        <w:t xml:space="preserve">Suggest CPC from concept</w:t>
      </w:r>
      <w:r>
        <w:t xml:space="preserve"> </w:t>
      </w:r>
      <w:r>
        <w:t xml:space="preserve">after entering a concept description. Claude analyzes the description and returns the most relevant CPC codes as clickable chips. Click a chip to populate the CPC filter field. Requires the Anthropic API key.</w:t>
      </w:r>
    </w:p>
    <w:p>
      <w:pPr>
        <w:pStyle w:val="BodyText"/>
      </w:pPr>
      <w:r>
        <w:rPr>
          <w:b/>
          <w:bCs/>
        </w:rPr>
        <w:t xml:space="preserve">Local Index Status Banner:</w:t>
      </w:r>
      <w:r>
        <w:t xml:space="preserve"> </w:t>
      </w:r>
      <w:r>
        <w:t xml:space="preserve">If a local grants index is configured and accessible, a green banner shows the record count, database size, and last update date. A yellow banner indicates the index path is configured but unreachable (run</w:t>
      </w:r>
      <w:r>
        <w:t xml:space="preserve"> </w:t>
      </w:r>
      <w:r>
        <w:rPr>
          <w:rStyle w:val="VerbatimChar"/>
        </w:rPr>
        <w:t xml:space="preserve">scripts/build_grants_index.py</w:t>
      </w:r>
      <w:r>
        <w:t xml:space="preserve"> </w:t>
      </w:r>
      <w:r>
        <w:t xml:space="preserve">to rebuild).</w:t>
      </w:r>
    </w:p>
    <w:p>
      <w:pPr>
        <w:pStyle w:val="BodyText"/>
      </w:pPr>
      <w:r>
        <w:rPr>
          <w:b/>
          <w:bCs/>
        </w:rPr>
        <w:t xml:space="preserve">Manual Results Fallback:</w:t>
      </w:r>
      <w:r>
        <w:t xml:space="preserve"> </w:t>
      </w:r>
      <w:r>
        <w:t xml:space="preserve">If the automated search is blocked by Google Patents, use the expandable</w:t>
      </w:r>
      <w:r>
        <w:t xml:space="preserve"> </w:t>
      </w:r>
      <w:r>
        <w:rPr>
          <w:b/>
          <w:bCs/>
        </w:rPr>
        <w:t xml:space="preserve">Paste results manually</w:t>
      </w:r>
      <w:r>
        <w:t xml:space="preserve"> </w:t>
      </w:r>
      <w:r>
        <w:t xml:space="preserve">section. After searching in your browser, paste patent numbers (one per line) and click</w:t>
      </w:r>
      <w:r>
        <w:t xml:space="preserve"> </w:t>
      </w:r>
      <w:r>
        <w:rPr>
          <w:b/>
          <w:bCs/>
        </w:rPr>
        <w:t xml:space="preserve">Load</w:t>
      </w:r>
      <w:r>
        <w:t xml:space="preserve"> </w:t>
      </w:r>
      <w:r>
        <w:t xml:space="preserve">to display them in the results table.</w:t>
      </w:r>
    </w:p>
    <w:p>
      <w:pPr>
        <w:pStyle w:val="BodyText"/>
      </w:pPr>
      <w:r>
        <w:rPr>
          <w:b/>
          <w:bCs/>
        </w:rPr>
        <w:t xml:space="preserve">FTO Import:</w:t>
      </w:r>
      <w:r>
        <w:t xml:space="preserve"> </w:t>
      </w:r>
      <w:r>
        <w:t xml:space="preserve">Each result row in the grants table has an</w:t>
      </w:r>
      <w:r>
        <w:t xml:space="preserve"> </w:t>
      </w:r>
      <w:r>
        <w:rPr>
          <w:b/>
          <w:bCs/>
        </w:rPr>
        <w:t xml:space="preserve">→ FTO</w:t>
      </w:r>
      <w:r>
        <w:t xml:space="preserve"> </w:t>
      </w:r>
      <w:r>
        <w:t xml:space="preserve">button. Click it to send the patent number directly to FTO Analysis for immediate claim-by-claim review.</w:t>
      </w:r>
    </w:p>
    <w:p>
      <w:pPr>
        <w:pStyle w:val="BodyText"/>
      </w:pPr>
      <w:r>
        <w:rPr>
          <w:b/>
          <w:bCs/>
        </w:rPr>
        <w:t xml:space="preserve">Tips for attorneys:</w:t>
      </w:r>
      <w:r>
        <w:t xml:space="preserve"> </w:t>
      </w:r>
      <w:r>
        <w:t xml:space="preserve">- For novelty searches, write your concept description at the same level of abstraction as your broadest independent claim. Overly specific descriptions return narrow result sets.</w:t>
      </w:r>
      <w:r>
        <w:t xml:space="preserve"> </w:t>
      </w:r>
      <w:r>
        <w:t xml:space="preserve">- CPC filtering is most effective when combined with a conceptual description — the code narrows the technology space while the text drives relevance ranking.</w:t>
      </w:r>
      <w:r>
        <w:t xml:space="preserve"> </w:t>
      </w:r>
      <w:r>
        <w:t xml:space="preserve">- ODP pending application results include examiner name and art unit, which is useful for art-unit-specific prosecution strategy even before filing.</w:t>
      </w:r>
    </w:p>
    <w:p>
      <w:r>
        <w:pict>
          <v:rect style="width:0;height:1.5pt" o:hralign="center" o:hrstd="t" o:hr="t"/>
        </w:pict>
      </w:r>
    </w:p>
    <w:bookmarkEnd w:id="14"/>
    <w:bookmarkStart w:id="15" w:name="prior-art-search"/>
    <w:p>
      <w:pPr>
        <w:pStyle w:val="Heading3"/>
      </w:pPr>
      <w:r>
        <w:t xml:space="preserve">4.2 Prior Art Search</w:t>
      </w:r>
    </w:p>
    <w:p>
      <w:pPr>
        <w:pStyle w:val="FirstParagraph"/>
      </w:pPr>
      <w:r>
        <w:rPr>
          <w:b/>
          <w:bCs/>
        </w:rPr>
        <w:t xml:space="preserve">Route:</w:t>
      </w:r>
      <w:r>
        <w:t xml:space="preserve"> </w:t>
      </w:r>
      <w:r>
        <w:rPr>
          <w:rStyle w:val="VerbatimChar"/>
        </w:rPr>
        <w:t xml:space="preserve">/prior-art</w:t>
      </w:r>
    </w:p>
    <w:p>
      <w:pPr>
        <w:pStyle w:val="BodyText"/>
      </w:pPr>
      <w:r>
        <w:rPr>
          <w:b/>
          <w:bCs/>
        </w:rPr>
        <w:t xml:space="preserve">Purpose:</w:t>
      </w:r>
      <w:r>
        <w:t xml:space="preserve"> </w:t>
      </w:r>
      <w:r>
        <w:t xml:space="preserve">Three-mode semantic patent search with an optional AI synthesis layer. Intended for formal prior art searches in support of patentability opinions, invalidity analysis, and prosecution preparation.</w:t>
      </w:r>
    </w:p>
    <w:p>
      <w:pPr>
        <w:pStyle w:val="BodyText"/>
      </w:pPr>
      <w:r>
        <w:rPr>
          <w:b/>
          <w:bCs/>
        </w:rPr>
        <w:t xml:space="preserve">Search modes: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What it does</w:t>
            </w:r>
          </w:p>
        </w:tc>
      </w:tr>
      <w:tr>
        <w:tc>
          <w:tcPr/>
          <w:p>
            <w:pPr>
              <w:pStyle w:val="Compact"/>
            </w:pPr>
            <w:r>
              <w:t xml:space="preserve">Patent Search</w:t>
            </w:r>
          </w:p>
        </w:tc>
        <w:tc>
          <w:tcPr/>
          <w:p>
            <w:pPr>
              <w:pStyle w:val="Compact"/>
            </w:pPr>
            <w:r>
              <w:t xml:space="preserve">Searches Google Patents and USPTO ODP for relevant patents and applications</w:t>
            </w:r>
          </w:p>
        </w:tc>
      </w:tr>
      <w:tr>
        <w:tc>
          <w:tcPr/>
          <w:p>
            <w:pPr>
              <w:pStyle w:val="Compact"/>
            </w:pPr>
            <w:r>
              <w:t xml:space="preserve">AI Synthesis</w:t>
            </w:r>
          </w:p>
        </w:tc>
        <w:tc>
          <w:tcPr/>
          <w:p>
            <w:pPr>
              <w:pStyle w:val="Compact"/>
            </w:pPr>
            <w:r>
              <w:t xml:space="preserve">Runs a structured prior art analysis using your local AI model (Ollama), generating a keyword strategy, CPC codes, risk assessment, and reference mapping</w:t>
            </w:r>
          </w:p>
        </w:tc>
      </w:tr>
      <w:tr>
        <w:tc>
          <w:tcPr/>
          <w:p>
            <w:pPr>
              <w:pStyle w:val="Compact"/>
            </w:pPr>
            <w:r>
              <w:t xml:space="preserve">Both</w:t>
            </w:r>
          </w:p>
        </w:tc>
        <w:tc>
          <w:tcPr/>
          <w:p>
            <w:pPr>
              <w:pStyle w:val="Compact"/>
            </w:pPr>
            <w:r>
              <w:t xml:space="preserve">Runs patent search and AI synthesis simultaneously; results are displayed in separate panels</w:t>
            </w:r>
          </w:p>
        </w:tc>
      </w:tr>
    </w:tbl>
    <w:p>
      <w:pPr>
        <w:pStyle w:val="BodyText"/>
      </w:pPr>
      <w:r>
        <w:rPr>
          <w:b/>
          <w:bCs/>
        </w:rPr>
        <w:t xml:space="preserve">AI Synthesis inputs (optional):</w:t>
      </w:r>
      <w:r>
        <w:t xml:space="preserve"> </w:t>
      </w:r>
      <w:r>
        <w:t xml:space="preserve">- Patent or application number</w:t>
      </w:r>
      <w:r>
        <w:t xml:space="preserve"> </w:t>
      </w:r>
      <w:r>
        <w:t xml:space="preserve">- Priority date (YYYY-MM-DD) — AI flags that only art predating this date qualifies as § 102 prior art</w:t>
      </w:r>
      <w:r>
        <w:t xml:space="preserve"> </w:t>
      </w:r>
      <w:r>
        <w:t xml:space="preserve">- Representative claim text — AI maps references against claim elements</w:t>
      </w:r>
    </w:p>
    <w:p>
      <w:pPr>
        <w:pStyle w:val="BodyText"/>
      </w:pPr>
      <w:r>
        <w:rPr>
          <w:b/>
          <w:bCs/>
        </w:rPr>
        <w:t xml:space="preserve">CPC Auto-Suggest:</w:t>
      </w:r>
      <w:r>
        <w:t xml:space="preserve"> </w:t>
      </w:r>
      <w:r>
        <w:t xml:space="preserve">Same as Patent Search — enter a concept description and click</w:t>
      </w:r>
      <w:r>
        <w:t xml:space="preserve"> </w:t>
      </w:r>
      <w:r>
        <w:rPr>
          <w:b/>
          <w:bCs/>
        </w:rPr>
        <w:t xml:space="preserve">Suggest CPC from concept</w:t>
      </w:r>
      <w:r>
        <w:t xml:space="preserve"> </w:t>
      </w:r>
      <w:r>
        <w:t xml:space="preserve">to get Claude-generated CPC chips. Requires Anthropic API key.</w:t>
      </w:r>
    </w:p>
    <w:p>
      <w:pPr>
        <w:pStyle w:val="BodyText"/>
      </w:pPr>
      <w:r>
        <w:rPr>
          <w:b/>
          <w:bCs/>
        </w:rPr>
        <w:t xml:space="preserve">Open in Document Q&amp;A:</w:t>
      </w:r>
      <w:r>
        <w:t xml:space="preserve"> </w:t>
      </w:r>
      <w:r>
        <w:t xml:space="preserve">After an AI synthesis runs, the result can be transferred to Document Q&amp;A for interactive follow-up questions using the</w:t>
      </w:r>
      <w:r>
        <w:t xml:space="preserve"> </w:t>
      </w:r>
      <w:r>
        <w:rPr>
          <w:b/>
          <w:bCs/>
        </w:rPr>
        <w:t xml:space="preserve">Open in Document Q&amp;A</w:t>
      </w:r>
      <w:r>
        <w:t xml:space="preserve"> </w:t>
      </w:r>
      <w:r>
        <w:t xml:space="preserve">button.</w:t>
      </w:r>
    </w:p>
    <w:p>
      <w:pPr>
        <w:pStyle w:val="BodyText"/>
      </w:pPr>
      <w:r>
        <w:rPr>
          <w:b/>
          <w:bCs/>
        </w:rPr>
        <w:t xml:space="preserve">Tips for attorneys:</w:t>
      </w:r>
      <w:r>
        <w:t xml:space="preserve"> </w:t>
      </w:r>
      <w:r>
        <w:t xml:space="preserve">- Always provide a priority date when running AI Synthesis for patentability opinion support. The tool explicitly distinguishes § 102 prior art from § 103 combination material.</w:t>
      </w:r>
      <w:r>
        <w:t xml:space="preserve"> </w:t>
      </w:r>
      <w:r>
        <w:t xml:space="preserve">- The AI Synthesis mode requires a locally running Ollama model. If Ollama is not running, the Patent Search mode still works independently.</w:t>
      </w:r>
      <w:r>
        <w:t xml:space="preserve"> </w:t>
      </w:r>
      <w:r>
        <w:t xml:space="preserve">- Prior art search results are not automatically cited in any document. You must independently verify and select references before disclosing them.</w:t>
      </w:r>
    </w:p>
    <w:p>
      <w:r>
        <w:pict>
          <v:rect style="width:0;height:1.5pt" o:hralign="center" o:hrstd="t" o:hr="t"/>
        </w:pict>
      </w:r>
    </w:p>
    <w:bookmarkEnd w:id="15"/>
    <w:bookmarkStart w:id="16" w:name="patent-application-generator"/>
    <w:p>
      <w:pPr>
        <w:pStyle w:val="Heading3"/>
      </w:pPr>
      <w:r>
        <w:t xml:space="preserve">4.3 Patent Application Generator</w:t>
      </w:r>
    </w:p>
    <w:p>
      <w:pPr>
        <w:pStyle w:val="FirstParagraph"/>
      </w:pPr>
      <w:r>
        <w:rPr>
          <w:b/>
          <w:bCs/>
        </w:rPr>
        <w:t xml:space="preserve">Route:</w:t>
      </w:r>
      <w:r>
        <w:t xml:space="preserve"> </w:t>
      </w:r>
      <w:r>
        <w:rPr>
          <w:rStyle w:val="VerbatimChar"/>
        </w:rPr>
        <w:t xml:space="preserve">/pag</w:t>
      </w:r>
    </w:p>
    <w:p>
      <w:pPr>
        <w:pStyle w:val="BodyText"/>
      </w:pPr>
      <w:r>
        <w:rPr>
          <w:b/>
          <w:bCs/>
        </w:rPr>
        <w:t xml:space="preserve">Purpose:</w:t>
      </w:r>
      <w:r>
        <w:t xml:space="preserve"> </w:t>
      </w:r>
      <w:r>
        <w:t xml:space="preserve">Draft a complete utility patent application from an invention disclosure. Generates all standard sections: Abstract, Field, Background, Summary, Detailed Description, and Claims.</w:t>
      </w:r>
    </w:p>
    <w:p>
      <w:pPr>
        <w:pStyle w:val="BodyText"/>
      </w:pPr>
      <w:r>
        <w:rPr>
          <w:b/>
          <w:bCs/>
        </w:rPr>
        <w:t xml:space="preserve">Inputs:</w:t>
      </w:r>
      <w:r>
        <w:t xml:space="preserve"> </w:t>
      </w:r>
      <w:r>
        <w:t xml:space="preserve">- Invention disclosure text (paste or upload a file — PDF, DOCX, or TXT accepted)</w:t>
      </w:r>
      <w:r>
        <w:t xml:space="preserve"> </w:t>
      </w:r>
      <w:r>
        <w:t xml:space="preserve">- Audio transcription option: upload an audio recording of an inventor interview; Priori transcribes it and extracts the invention disclosure</w:t>
      </w:r>
      <w:r>
        <w:t xml:space="preserve"> </w:t>
      </w:r>
      <w:r>
        <w:t xml:space="preserve">- Client / matter identifier</w:t>
      </w:r>
      <w:r>
        <w:t xml:space="preserve"> </w:t>
      </w:r>
      <w:r>
        <w:t xml:space="preserve">- Section-by-section generation with per-section regeneration controls</w:t>
      </w:r>
    </w:p>
    <w:p>
      <w:pPr>
        <w:pStyle w:val="BodyText"/>
      </w:pPr>
      <w:r>
        <w:rPr>
          <w:b/>
          <w:bCs/>
        </w:rPr>
        <w:t xml:space="preserve">AI process:</w:t>
      </w:r>
      <w:r>
        <w:t xml:space="preserve"> </w:t>
      </w:r>
      <w:r>
        <w:t xml:space="preserve">Claude drafts each section sequentially based on the invention disclosure. A Scope Tuner panel is available inline for claim scope review. After generation, the OCQR (Quality Review) check runs automatically to flag antecedent basis issues, 112(b) indefiniteness risks, and claim dependency errors.</w:t>
      </w:r>
    </w:p>
    <w:p>
      <w:pPr>
        <w:pStyle w:val="BodyText"/>
      </w:pPr>
      <w:r>
        <w:rPr>
          <w:b/>
          <w:bCs/>
        </w:rPr>
        <w:t xml:space="preserve">Output:</w:t>
      </w:r>
      <w:r>
        <w:t xml:space="preserve"> </w:t>
      </w:r>
      <w:r>
        <w:t xml:space="preserve">Full application text with download as</w:t>
      </w:r>
      <w:r>
        <w:t xml:space="preserve"> </w:t>
      </w:r>
      <w:r>
        <w:rPr>
          <w:rStyle w:val="VerbatimChar"/>
        </w:rPr>
        <w:t xml:space="preserve">.docx</w:t>
      </w:r>
      <w:r>
        <w:t xml:space="preserve">. Individual sections can be regenerated without restarting the entire workflow.</w:t>
      </w:r>
    </w:p>
    <w:p>
      <w:pPr>
        <w:pStyle w:val="BodyText"/>
      </w:pPr>
      <w:r>
        <w:rPr>
          <w:b/>
          <w:bCs/>
        </w:rPr>
        <w:t xml:space="preserve">Tips for attorneys:</w:t>
      </w:r>
      <w:r>
        <w:t xml:space="preserve"> </w:t>
      </w:r>
      <w:r>
        <w:t xml:space="preserve">- Upload a structured invention disclosure form (IDF) rather than free-form notes for better structured output.</w:t>
      </w:r>
      <w:r>
        <w:t xml:space="preserve"> </w:t>
      </w:r>
      <w:r>
        <w:t xml:space="preserve">- Review the AI Synthesis output critically before adopting claim language. Claude writes to the disclosure — it cannot supply specification support that is not in your upload.</w:t>
      </w:r>
      <w:r>
        <w:t xml:space="preserve"> </w:t>
      </w:r>
      <w:r>
        <w:t xml:space="preserve">- Run Quality Review (Section 6.1) on generated claims before any filing.</w:t>
      </w:r>
    </w:p>
    <w:p>
      <w:r>
        <w:pict>
          <v:rect style="width:0;height:1.5pt" o:hralign="center" o:hrstd="t" o:hr="t"/>
        </w:pict>
      </w:r>
    </w:p>
    <w:bookmarkEnd w:id="16"/>
    <w:bookmarkStart w:id="17" w:name="figure-generator"/>
    <w:p>
      <w:pPr>
        <w:pStyle w:val="Heading3"/>
      </w:pPr>
      <w:r>
        <w:t xml:space="preserve">4.4 Figure Generator</w:t>
      </w:r>
    </w:p>
    <w:p>
      <w:pPr>
        <w:pStyle w:val="FirstParagraph"/>
      </w:pPr>
      <w:r>
        <w:rPr>
          <w:b/>
          <w:bCs/>
        </w:rPr>
        <w:t xml:space="preserve">Route:</w:t>
      </w:r>
      <w:r>
        <w:t xml:space="preserve"> </w:t>
      </w:r>
      <w:r>
        <w:rPr>
          <w:rStyle w:val="VerbatimChar"/>
        </w:rPr>
        <w:t xml:space="preserve">/figure-generator</w:t>
      </w:r>
    </w:p>
    <w:p>
      <w:pPr>
        <w:pStyle w:val="BodyText"/>
      </w:pPr>
      <w:r>
        <w:rPr>
          <w:b/>
          <w:bCs/>
        </w:rPr>
        <w:t xml:space="preserve">Purpose:</w:t>
      </w:r>
      <w:r>
        <w:t xml:space="preserve"> </w:t>
      </w:r>
      <w:r>
        <w:t xml:space="preserve">Generate patent drawing figures in standard USPTO formats from text descriptions. Outputs SVG diagrams suitable for review and refinement.</w:t>
      </w:r>
    </w:p>
    <w:p>
      <w:pPr>
        <w:pStyle w:val="BodyText"/>
      </w:pPr>
      <w:r>
        <w:rPr>
          <w:b/>
          <w:bCs/>
        </w:rPr>
        <w:t xml:space="preserve">Supported diagram types:</w:t>
      </w:r>
      <w:r>
        <w:t xml:space="preserve"> </w:t>
      </w:r>
      <w:r>
        <w:t xml:space="preserve">block diagram, flowchart, system overview, state machine, hierarchy / tree, sequence diagram.</w:t>
      </w:r>
    </w:p>
    <w:p>
      <w:pPr>
        <w:pStyle w:val="BodyText"/>
      </w:pPr>
      <w:r>
        <w:rPr>
          <w:b/>
          <w:bCs/>
        </w:rPr>
        <w:t xml:space="preserve">Tips for attorneys:</w:t>
      </w:r>
      <w:r>
        <w:t xml:space="preserve"> </w:t>
      </w:r>
      <w:r>
        <w:t xml:space="preserve">- Generated figures are drafts only. USPTO drawing standards (37 C.F.R. § 1.84) require specific line weights, numbering formats, and margin requirements that must be verified by a draftsperson before filing.</w:t>
      </w:r>
      <w:r>
        <w:t xml:space="preserve"> </w:t>
      </w:r>
      <w:r>
        <w:t xml:space="preserve">- Use generated figures as communication tools for inventor review, not as final filing-ready art.</w:t>
      </w:r>
    </w:p>
    <w:p>
      <w:r>
        <w:pict>
          <v:rect style="width:0;height:1.5pt" o:hralign="center" o:hrstd="t" o:hr="t"/>
        </w:pict>
      </w:r>
    </w:p>
    <w:bookmarkEnd w:id="17"/>
    <w:bookmarkStart w:id="18" w:name="fto-analysis"/>
    <w:p>
      <w:pPr>
        <w:pStyle w:val="Heading3"/>
      </w:pPr>
      <w:r>
        <w:t xml:space="preserve">4.5 FTO Analysis</w:t>
      </w:r>
    </w:p>
    <w:p>
      <w:pPr>
        <w:pStyle w:val="FirstParagraph"/>
      </w:pPr>
      <w:r>
        <w:rPr>
          <w:b/>
          <w:bCs/>
        </w:rPr>
        <w:t xml:space="preserve">Route:</w:t>
      </w:r>
      <w:r>
        <w:t xml:space="preserve"> </w:t>
      </w:r>
      <w:r>
        <w:rPr>
          <w:rStyle w:val="VerbatimChar"/>
        </w:rPr>
        <w:t xml:space="preserve">/fto</w:t>
      </w:r>
    </w:p>
    <w:p>
      <w:pPr>
        <w:pStyle w:val="BodyText"/>
      </w:pPr>
      <w:r>
        <w:rPr>
          <w:b/>
          <w:bCs/>
        </w:rPr>
        <w:t xml:space="preserve">Purpose:</w:t>
      </w:r>
      <w:r>
        <w:t xml:space="preserve"> </w:t>
      </w:r>
      <w:r>
        <w:t xml:space="preserve">Claim-by-claim freedom-to-operate analysis for a product against a set of patents. Outputs a structured FTO memo with risk ratings and optional design-around suggestions.</w:t>
      </w:r>
    </w:p>
    <w:p>
      <w:pPr>
        <w:pStyle w:val="BodyText"/>
      </w:pPr>
      <w:r>
        <w:rPr>
          <w:b/>
          <w:bCs/>
        </w:rPr>
        <w:t xml:space="preserve">Inputs:</w:t>
      </w:r>
      <w:r>
        <w:t xml:space="preserve"> </w:t>
      </w:r>
      <w:r>
        <w:t xml:space="preserve">- Client / matter name</w:t>
      </w:r>
      <w:r>
        <w:t xml:space="preserve"> </w:t>
      </w:r>
      <w:r>
        <w:t xml:space="preserve">- Product description (detailed functional description)</w:t>
      </w:r>
      <w:r>
        <w:t xml:space="preserve"> </w:t>
      </w:r>
      <w:r>
        <w:t xml:space="preserve">- Key product features (one per line)</w:t>
      </w:r>
      <w:r>
        <w:t xml:space="preserve"> </w:t>
      </w:r>
      <w:r>
        <w:t xml:space="preserve">- Patent numbers to analyze (one per line)</w:t>
      </w:r>
      <w:r>
        <w:t xml:space="preserve"> </w:t>
      </w:r>
      <w:r>
        <w:t xml:space="preserve">- Analysis depth: Standard (Claude Sonnet) or Extended (Claude Opus — slower, deeper reasoning)</w:t>
      </w:r>
    </w:p>
    <w:p>
      <w:pPr>
        <w:pStyle w:val="BodyText"/>
      </w:pPr>
      <w:r>
        <w:rPr>
          <w:b/>
          <w:bCs/>
        </w:rPr>
        <w:t xml:space="preserve">Workflow:</w:t>
      </w:r>
      <w:r>
        <w:t xml:space="preserve"> </w:t>
      </w:r>
      <w:r>
        <w:t xml:space="preserve">1. Enter the product description and features.</w:t>
      </w:r>
      <w:r>
        <w:t xml:space="preserve"> </w:t>
      </w:r>
      <w:r>
        <w:t xml:space="preserve">2. Enter patent numbers and click</w:t>
      </w:r>
      <w:r>
        <w:t xml:space="preserve"> </w:t>
      </w:r>
      <w:r>
        <w:rPr>
          <w:b/>
          <w:bCs/>
        </w:rPr>
        <w:t xml:space="preserve">Fetch Patents</w:t>
      </w:r>
      <w:r>
        <w:t xml:space="preserve">. Priori retrieves claims from each patent automatically.</w:t>
      </w:r>
      <w:r>
        <w:t xml:space="preserve"> </w:t>
      </w:r>
      <w:r>
        <w:t xml:space="preserve">3. After fetch, each patent card displays:</w:t>
      </w:r>
      <w:r>
        <w:t xml:space="preserve"> </w:t>
      </w:r>
      <w:r>
        <w:t xml:space="preserve">- Patent number, title, and assignee</w:t>
      </w:r>
      <w:r>
        <w:t xml:space="preserve"> </w:t>
      </w:r>
      <w:r>
        <w:t xml:space="preserve">- Claim count</w:t>
      </w:r>
      <w:r>
        <w:t xml:space="preserve"> </w:t>
      </w:r>
      <w:r>
        <w:t xml:space="preserve">-</w:t>
      </w:r>
      <w:r>
        <w:t xml:space="preserve"> </w:t>
      </w:r>
      <w:r>
        <w:rPr>
          <w:b/>
          <w:bCs/>
        </w:rPr>
        <w:t xml:space="preserve">Expiry badge</w:t>
      </w:r>
      <w:r>
        <w:t xml:space="preserve"> </w:t>
      </w:r>
      <w:r>
        <w:t xml:space="preserve">(v2.1): Active (green), Expiring Soon (amber), or Expired (red) with expiration date and years remaining. Expired patents require no FTO analysis for the expired claims, though related continuation claims may remain active.</w:t>
      </w:r>
      <w:r>
        <w:t xml:space="preserve"> </w:t>
      </w:r>
      <w:r>
        <w:t xml:space="preserve">- Maintenance fee status (where available)</w:t>
      </w:r>
      <w:r>
        <w:t xml:space="preserve"> </w:t>
      </w:r>
      <w:r>
        <w:t xml:space="preserve">4. Click</w:t>
      </w:r>
      <w:r>
        <w:t xml:space="preserve"> </w:t>
      </w:r>
      <w:r>
        <w:rPr>
          <w:b/>
          <w:bCs/>
        </w:rPr>
        <w:t xml:space="preserve">Run FTO Analysis</w:t>
      </w:r>
      <w:r>
        <w:t xml:space="preserve">. Claude performs a claim-by-claim coverage analysis for each claim of each patent against the product.</w:t>
      </w:r>
      <w:r>
        <w:t xml:space="preserve"> </w:t>
      </w:r>
      <w:r>
        <w:t xml:space="preserve">5. The memo streams into the output area as it is generated.</w:t>
      </w:r>
    </w:p>
    <w:p>
      <w:pPr>
        <w:pStyle w:val="BodyText"/>
      </w:pPr>
      <w:r>
        <w:rPr>
          <w:b/>
          <w:bCs/>
        </w:rPr>
        <w:t xml:space="preserve">Design-Around Suggestions:</w:t>
      </w:r>
      <w:r>
        <w:t xml:space="preserve"> </w:t>
      </w:r>
      <w:r>
        <w:t xml:space="preserve">After FTO analysis completes, click</w:t>
      </w:r>
      <w:r>
        <w:t xml:space="preserve"> </w:t>
      </w:r>
      <w:r>
        <w:rPr>
          <w:b/>
          <w:bCs/>
        </w:rPr>
        <w:t xml:space="preserve">Suggest Design-Around</w:t>
      </w:r>
      <w:r>
        <w:t xml:space="preserve"> </w:t>
      </w:r>
      <w:r>
        <w:t xml:space="preserve">to have Claude propose product modifications that would avoid the identified blocking claims. Each suggestion is mapped to the specific claim limitation creating the risk.</w:t>
      </w:r>
    </w:p>
    <w:p>
      <w:pPr>
        <w:pStyle w:val="BodyText"/>
      </w:pPr>
      <w:r>
        <w:rPr>
          <w:b/>
          <w:bCs/>
        </w:rPr>
        <w:t xml:space="preserve">Output:</w:t>
      </w:r>
      <w:r>
        <w:t xml:space="preserve"> </w:t>
      </w:r>
      <w:r>
        <w:t xml:space="preserve">Download as</w:t>
      </w:r>
      <w:r>
        <w:t xml:space="preserve"> </w:t>
      </w:r>
      <w:r>
        <w:rPr>
          <w:rStyle w:val="VerbatimChar"/>
        </w:rPr>
        <w:t xml:space="preserve">.md</w:t>
      </w:r>
      <w:r>
        <w:t xml:space="preserve">. The memo is attorney-review-only — it is not a formal legal opinion and the disclaimer in the tool states this explicitly.</w:t>
      </w:r>
    </w:p>
    <w:p>
      <w:pPr>
        <w:pStyle w:val="BodyText"/>
      </w:pPr>
      <w:r>
        <w:rPr>
          <w:b/>
          <w:bCs/>
        </w:rPr>
        <w:t xml:space="preserve">Tips for attorneys:</w:t>
      </w:r>
      <w:r>
        <w:t xml:space="preserve"> </w:t>
      </w:r>
      <w:r>
        <w:t xml:space="preserve">- Use the Patent Search</w:t>
      </w:r>
      <w:r>
        <w:t xml:space="preserve"> </w:t>
      </w:r>
      <w:r>
        <w:t xml:space="preserve">“→ FTO”</w:t>
      </w:r>
      <w:r>
        <w:t xml:space="preserve"> </w:t>
      </w:r>
      <w:r>
        <w:t xml:space="preserve">button to import patent numbers directly without retyping them.</w:t>
      </w:r>
      <w:r>
        <w:t xml:space="preserve"> </w:t>
      </w:r>
      <w:r>
        <w:t xml:space="preserve">- The expiry badge is based on application data and USPTO maintenance fee records where available. Always independently verify expiry before advising a client that a patent is expired.</w:t>
      </w:r>
      <w:r>
        <w:t xml:space="preserve"> </w:t>
      </w:r>
      <w:r>
        <w:t xml:space="preserve">- Extended (Opus) mode produces more detailed reasoning and better catches dependent claim risks, but takes significantly longer. Use it for high-stakes clearance opinions.</w:t>
      </w:r>
    </w:p>
    <w:p>
      <w:r>
        <w:pict>
          <v:rect style="width:0;height:1.5pt" o:hralign="center" o:hrstd="t" o:hr="t"/>
        </w:pict>
      </w:r>
    </w:p>
    <w:bookmarkEnd w:id="18"/>
    <w:bookmarkStart w:id="19" w:name="cost-estimator"/>
    <w:p>
      <w:pPr>
        <w:pStyle w:val="Heading3"/>
      </w:pPr>
      <w:r>
        <w:t xml:space="preserve">4.6 Cost Estimator</w:t>
      </w:r>
    </w:p>
    <w:p>
      <w:pPr>
        <w:pStyle w:val="FirstParagraph"/>
      </w:pPr>
      <w:r>
        <w:rPr>
          <w:b/>
          <w:bCs/>
        </w:rPr>
        <w:t xml:space="preserve">Route:</w:t>
      </w:r>
      <w:r>
        <w:t xml:space="preserve"> </w:t>
      </w:r>
      <w:r>
        <w:rPr>
          <w:rStyle w:val="VerbatimChar"/>
        </w:rPr>
        <w:t xml:space="preserve">/cost-estimator</w:t>
      </w:r>
    </w:p>
    <w:p>
      <w:pPr>
        <w:pStyle w:val="BodyText"/>
      </w:pPr>
      <w:r>
        <w:rPr>
          <w:b/>
          <w:bCs/>
        </w:rPr>
        <w:t xml:space="preserve">Purpose:</w:t>
      </w:r>
      <w:r>
        <w:t xml:space="preserve"> </w:t>
      </w:r>
      <w:r>
        <w:t xml:space="preserve">Generate a preliminary cost estimate for patent prosecution or portfolio management, based on matter type and jurisdiction.</w:t>
      </w:r>
    </w:p>
    <w:p>
      <w:pPr>
        <w:pStyle w:val="BodyText"/>
      </w:pPr>
      <w:r>
        <w:rPr>
          <w:b/>
          <w:bCs/>
        </w:rPr>
        <w:t xml:space="preserve">Tips for attorneys:</w:t>
      </w:r>
      <w:r>
        <w:t xml:space="preserve"> </w:t>
      </w:r>
      <w:r>
        <w:t xml:space="preserve">- Use estimates as internal planning figures only. Filing fees are subject to change; verify current fee schedules at USPTO.gov before quoting clients.</w:t>
      </w:r>
    </w:p>
    <w:p>
      <w:r>
        <w:pict>
          <v:rect style="width:0;height:1.5pt" o:hralign="center" o:hrstd="t" o:hr="t"/>
        </w:pict>
      </w:r>
    </w:p>
    <w:bookmarkEnd w:id="19"/>
    <w:bookmarkStart w:id="20" w:name="claim-similarity-scorer"/>
    <w:p>
      <w:pPr>
        <w:pStyle w:val="Heading3"/>
      </w:pPr>
      <w:r>
        <w:t xml:space="preserve">4.7 Claim Similarity Scorer</w:t>
      </w:r>
    </w:p>
    <w:p>
      <w:pPr>
        <w:pStyle w:val="FirstParagraph"/>
      </w:pPr>
      <w:r>
        <w:rPr>
          <w:b/>
          <w:bCs/>
        </w:rPr>
        <w:t xml:space="preserve">Route:</w:t>
      </w:r>
      <w:r>
        <w:t xml:space="preserve"> </w:t>
      </w:r>
      <w:r>
        <w:rPr>
          <w:rStyle w:val="VerbatimChar"/>
        </w:rPr>
        <w:t xml:space="preserve">/claim-similarity</w:t>
      </w:r>
    </w:p>
    <w:p>
      <w:pPr>
        <w:pStyle w:val="BodyText"/>
      </w:pPr>
      <w:r>
        <w:rPr>
          <w:b/>
          <w:bCs/>
        </w:rPr>
        <w:t xml:space="preserve">Purpose:</w:t>
      </w:r>
      <w:r>
        <w:t xml:space="preserve"> </w:t>
      </w:r>
      <w:r>
        <w:t xml:space="preserve">Compare two patent claims for scope overlap, infringement risk, prosecution relevance, and design-around opportunities. New in v2.1 with draft-around suggestions, interference flag, and patent vs. patent batch mode.</w:t>
      </w:r>
    </w:p>
    <w:p>
      <w:pPr>
        <w:pStyle w:val="BodyText"/>
      </w:pPr>
      <w:r>
        <w:rPr>
          <w:b/>
          <w:bCs/>
        </w:rPr>
        <w:t xml:space="preserve">One-to-one comparison:</w:t>
      </w:r>
    </w:p>
    <w:p>
      <w:pPr>
        <w:pStyle w:val="Compact"/>
        <w:numPr>
          <w:ilvl w:val="0"/>
          <w:numId w:val="1010"/>
        </w:numPr>
      </w:pPr>
      <w:r>
        <w:t xml:space="preserve">Enter or paste Claim A text (e.g., your claim or client’s claim).</w:t>
      </w:r>
    </w:p>
    <w:p>
      <w:pPr>
        <w:pStyle w:val="Compact"/>
        <w:numPr>
          <w:ilvl w:val="0"/>
          <w:numId w:val="1010"/>
        </w:numPr>
      </w:pPr>
      <w:r>
        <w:t xml:space="preserve">Enter or paste Claim B text (e.g., competitor’s claim, prior art claim).</w:t>
      </w:r>
    </w:p>
    <w:p>
      <w:pPr>
        <w:pStyle w:val="Compact"/>
        <w:numPr>
          <w:ilvl w:val="0"/>
          <w:numId w:val="1010"/>
        </w:numPr>
      </w:pPr>
      <w:r>
        <w:t xml:space="preserve">Optionally label each claim (the label appears in results and download).</w:t>
      </w:r>
    </w:p>
    <w:p>
      <w:pPr>
        <w:pStyle w:val="Compact"/>
        <w:numPr>
          <w:ilvl w:val="0"/>
          <w:numId w:val="1010"/>
        </w:numPr>
      </w:pPr>
      <w:r>
        <w:t xml:space="preserve">Click</w:t>
      </w:r>
      <w:r>
        <w:t xml:space="preserve"> </w:t>
      </w:r>
      <w:r>
        <w:rPr>
          <w:b/>
          <w:bCs/>
        </w:rPr>
        <w:t xml:space="preserve">Score Similarity</w:t>
      </w:r>
      <w:r>
        <w:t xml:space="preserve">. Claude analyzes the two claims and returns:</w:t>
      </w:r>
    </w:p>
    <w:p>
      <w:pPr>
        <w:pStyle w:val="FirstParagraph"/>
      </w:pPr>
      <w:r>
        <w:rPr>
          <w:b/>
          <w:bCs/>
        </w:rPr>
        <w:t xml:space="preserve">Result display: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Similarity Score</w:t>
            </w:r>
          </w:p>
        </w:tc>
        <w:tc>
          <w:tcPr/>
          <w:p>
            <w:pPr>
              <w:pStyle w:val="Compact"/>
            </w:pPr>
            <w:r>
              <w:t xml:space="preserve">0–100 numeric similarity score with a visual progress bar</w:t>
            </w:r>
          </w:p>
        </w:tc>
      </w:tr>
      <w:tr>
        <w:tc>
          <w:tcPr/>
          <w:p>
            <w:pPr>
              <w:pStyle w:val="Compact"/>
            </w:pPr>
            <w:r>
              <w:t xml:space="preserve">Scope Relationship</w:t>
            </w:r>
          </w:p>
        </w:tc>
        <w:tc>
          <w:tcPr/>
          <w:p>
            <w:pPr>
              <w:pStyle w:val="Compact"/>
            </w:pPr>
            <w:r>
              <w:t xml:space="preserve">e.g.,</w:t>
            </w:r>
            <w:r>
              <w:t xml:space="preserve"> </w:t>
            </w:r>
            <w:r>
              <w:t xml:space="preserve">“Claim A Dominates,”</w:t>
            </w:r>
            <w:r>
              <w:t xml:space="preserve"> </w:t>
            </w:r>
            <w:r>
              <w:t xml:space="preserve">“Overlapping,”</w:t>
            </w:r>
            <w:r>
              <w:t xml:space="preserve"> </w:t>
            </w:r>
            <w:r>
              <w:t xml:space="preserve">“Independent”</w:t>
            </w:r>
          </w:p>
        </w:tc>
      </w:tr>
      <w:tr>
        <w:tc>
          <w:tcPr/>
          <w:p>
            <w:pPr>
              <w:pStyle w:val="Compact"/>
            </w:pPr>
            <w:r>
              <w:t xml:space="preserve">Infringement Risk</w:t>
            </w:r>
          </w:p>
        </w:tc>
        <w:tc>
          <w:tcPr/>
          <w:p>
            <w:pPr>
              <w:pStyle w:val="Compact"/>
            </w:pPr>
            <w:r>
              <w:t xml:space="preserve">Low / Medium / High (with red/amber/green indicators)</w:t>
            </w:r>
          </w:p>
        </w:tc>
      </w:tr>
      <w:tr>
        <w:tc>
          <w:tcPr/>
          <w:p>
            <w:pPr>
              <w:pStyle w:val="Compact"/>
            </w:pPr>
            <w:r>
              <w:t xml:space="preserve">Prosecution Relevance</w:t>
            </w:r>
          </w:p>
        </w:tc>
        <w:tc>
          <w:tcPr/>
          <w:p>
            <w:pPr>
              <w:pStyle w:val="Compact"/>
            </w:pPr>
            <w:r>
              <w:t xml:space="preserve">Assessment of whether Claim B would be cited as prior art</w:t>
            </w:r>
          </w:p>
        </w:tc>
      </w:tr>
      <w:tr>
        <w:tc>
          <w:tcPr/>
          <w:p>
            <w:pPr>
              <w:pStyle w:val="Compact"/>
            </w:pPr>
            <w:r>
              <w:t xml:space="preserve">Shared Limitations</w:t>
            </w:r>
          </w:p>
        </w:tc>
        <w:tc>
          <w:tcPr/>
          <w:p>
            <w:pPr>
              <w:pStyle w:val="Compact"/>
            </w:pPr>
            <w:r>
              <w:t xml:space="preserve">List of claim elements present in both claims</w:t>
            </w:r>
          </w:p>
        </w:tc>
      </w:tr>
      <w:tr>
        <w:tc>
          <w:tcPr/>
          <w:p>
            <w:pPr>
              <w:pStyle w:val="Compact"/>
            </w:pPr>
            <w:r>
              <w:t xml:space="preserve">Unique to A / Unique to B</w:t>
            </w:r>
          </w:p>
        </w:tc>
        <w:tc>
          <w:tcPr/>
          <w:p>
            <w:pPr>
              <w:pStyle w:val="Compact"/>
            </w:pPr>
            <w:r>
              <w:t xml:space="preserve">Differentiating limitations for each claim</w:t>
            </w:r>
          </w:p>
        </w:tc>
      </w:tr>
      <w:tr>
        <w:tc>
          <w:tcPr/>
          <w:p>
            <w:pPr>
              <w:pStyle w:val="Compact"/>
            </w:pPr>
            <w:r>
              <w:t xml:space="preserve">Full Reasoning</w:t>
            </w:r>
          </w:p>
        </w:tc>
        <w:tc>
          <w:tcPr/>
          <w:p>
            <w:pPr>
              <w:pStyle w:val="Compact"/>
            </w:pPr>
            <w:r>
              <w:t xml:space="preserve">Expandable section with Claude’s detailed analytical reasoning</w:t>
            </w:r>
          </w:p>
        </w:tc>
      </w:tr>
    </w:tbl>
    <w:p>
      <w:pPr>
        <w:pStyle w:val="BodyText"/>
      </w:pPr>
      <w:r>
        <w:rPr>
          <w:b/>
          <w:bCs/>
        </w:rPr>
        <w:t xml:space="preserve">Draft-Around Suggestions (v2.1):</w:t>
      </w:r>
      <w:r>
        <w:t xml:space="preserve"> </w:t>
      </w:r>
      <w:r>
        <w:t xml:space="preserve">When shared limitations exist, click</w:t>
      </w:r>
      <w:r>
        <w:t xml:space="preserve"> </w:t>
      </w:r>
      <w:r>
        <w:rPr>
          <w:b/>
          <w:bCs/>
        </w:rPr>
        <w:t xml:space="preserve">Suggest Draft-Around</w:t>
      </w:r>
      <w:r>
        <w:t xml:space="preserve"> </w:t>
      </w:r>
      <w:r>
        <w:t xml:space="preserve">to generate alternative language for each shared limitation. For each limitation, Claude proposes multiple alternative phrasings with drafting rationales. The output notes that adopted language must be independently cleared against all prior art of record.</w:t>
      </w:r>
    </w:p>
    <w:p>
      <w:pPr>
        <w:pStyle w:val="BodyText"/>
      </w:pPr>
      <w:r>
        <w:rPr>
          <w:b/>
          <w:bCs/>
        </w:rPr>
        <w:t xml:space="preserve">Interference / Derivation Flag (v2.1):</w:t>
      </w:r>
      <w:r>
        <w:t xml:space="preserve"> </w:t>
      </w:r>
      <w:r>
        <w:t xml:space="preserve">Click</w:t>
      </w:r>
      <w:r>
        <w:t xml:space="preserve"> </w:t>
      </w:r>
      <w:r>
        <w:rPr>
          <w:b/>
          <w:bCs/>
        </w:rPr>
        <w:t xml:space="preserve">Check Interference / Derivation</w:t>
      </w:r>
      <w:r>
        <w:t xml:space="preserve"> </w:t>
      </w:r>
      <w:r>
        <w:t xml:space="preserve">to have Claude assess whether the two claims could trigger an AIA derivation proceeding or pre-AIA interference. Returns a risk level (High / Medium / Low) with a same-invention analysis and recommendation.</w:t>
      </w:r>
    </w:p>
    <w:p>
      <w:pPr>
        <w:pStyle w:val="BodyText"/>
      </w:pPr>
      <w:r>
        <w:rPr>
          <w:b/>
          <w:bCs/>
        </w:rPr>
        <w:t xml:space="preserve">Send to Scope Tuner:</w:t>
      </w:r>
      <w:r>
        <w:t xml:space="preserve"> </w:t>
      </w:r>
      <w:r>
        <w:t xml:space="preserve">The result panel includes a</w:t>
      </w:r>
      <w:r>
        <w:t xml:space="preserve"> </w:t>
      </w:r>
      <w:r>
        <w:rPr>
          <w:b/>
          <w:bCs/>
        </w:rPr>
        <w:t xml:space="preserve">Send to Scope Tuner</w:t>
      </w:r>
      <w:r>
        <w:t xml:space="preserve"> </w:t>
      </w:r>
      <w:r>
        <w:t xml:space="preserve">button that transfers Claim A to the Competitive Analysis (Scope Tuner) tool for further breadth/narrowness analysis.</w:t>
      </w:r>
    </w:p>
    <w:p>
      <w:pPr>
        <w:pStyle w:val="BodyText"/>
      </w:pPr>
      <w:r>
        <w:rPr>
          <w:b/>
          <w:bCs/>
        </w:rPr>
        <w:t xml:space="preserve">Patent vs. Patent Batch Mode (v2.1):</w:t>
      </w:r>
    </w:p>
    <w:p>
      <w:pPr>
        <w:pStyle w:val="BodyText"/>
      </w:pPr>
      <w:r>
        <w:t xml:space="preserve">Use the expandable</w:t>
      </w:r>
      <w:r>
        <w:t xml:space="preserve"> </w:t>
      </w:r>
      <w:r>
        <w:rPr>
          <w:b/>
          <w:bCs/>
        </w:rPr>
        <w:t xml:space="preserve">Patent vs. Patent Batch Mode</w:t>
      </w:r>
      <w:r>
        <w:t xml:space="preserve"> </w:t>
      </w:r>
      <w:r>
        <w:t xml:space="preserve">section to score all combinations of claims across two patents at once:</w:t>
      </w:r>
      <w:r>
        <w:t xml:space="preserve"> </w:t>
      </w:r>
      <w:r>
        <w:t xml:space="preserve">1. Enter Patent A number and Claim B number.</w:t>
      </w:r>
      <w:r>
        <w:t xml:space="preserve"> </w:t>
      </w:r>
      <w:r>
        <w:t xml:space="preserve">2. Specify claim ranges (e.g.,</w:t>
      </w:r>
      <w:r>
        <w:t xml:space="preserve"> </w:t>
      </w:r>
      <w:r>
        <w:rPr>
          <w:rStyle w:val="VerbatimChar"/>
        </w:rPr>
        <w:t xml:space="preserve">1-5</w:t>
      </w:r>
      <w:r>
        <w:t xml:space="preserve">,</w:t>
      </w:r>
      <w:r>
        <w:t xml:space="preserve"> </w:t>
      </w:r>
      <w:r>
        <w:rPr>
          <w:rStyle w:val="VerbatimChar"/>
        </w:rPr>
        <w:t xml:space="preserve">1,3,7</w:t>
      </w:r>
      <w:r>
        <w:t xml:space="preserve">, or</w:t>
      </w:r>
      <w:r>
        <w:t xml:space="preserve"> </w:t>
      </w:r>
      <w:r>
        <w:rPr>
          <w:rStyle w:val="VerbatimChar"/>
        </w:rPr>
        <w:t xml:space="preserve">all</w:t>
      </w:r>
      <w:r>
        <w:t xml:space="preserve">).</w:t>
      </w:r>
      <w:r>
        <w:t xml:space="preserve"> </w:t>
      </w:r>
      <w:r>
        <w:t xml:space="preserve">3. Click</w:t>
      </w:r>
      <w:r>
        <w:t xml:space="preserve"> </w:t>
      </w:r>
      <w:r>
        <w:rPr>
          <w:b/>
          <w:bCs/>
        </w:rPr>
        <w:t xml:space="preserve">Fetch Claims &amp; Score All Pairs</w:t>
      </w:r>
      <w:r>
        <w:t xml:space="preserve">. Priori fetches claim text for both patents and scores every requested pair in parallel using Claude.</w:t>
      </w:r>
      <w:r>
        <w:t xml:space="preserve"> </w:t>
      </w:r>
      <w:r>
        <w:t xml:space="preserve">4. Results are displayed in a sortable table ranked by similarity score.</w:t>
      </w:r>
      <w:r>
        <w:t xml:space="preserve"> </w:t>
      </w:r>
      <w:r>
        <w:t xml:space="preserve">5. The top-scoring pair can be loaded directly into the one-to-one panel for detailed analysis.</w:t>
      </w:r>
    </w:p>
    <w:p>
      <w:pPr>
        <w:pStyle w:val="BodyText"/>
      </w:pPr>
      <w:r>
        <w:rPr>
          <w:b/>
          <w:bCs/>
        </w:rPr>
        <w:t xml:space="preserve">Tips for attorneys:</w:t>
      </w:r>
      <w:r>
        <w:t xml:space="preserve"> </w:t>
      </w:r>
      <w:r>
        <w:t xml:space="preserve">- For infringement analysis, put the accused patent in Claim A and the patent-in-suit in Claim B. The Scope Relationship and Infringement Risk fields are oriented with Claim A as the accused claim.</w:t>
      </w:r>
      <w:r>
        <w:t xml:space="preserve"> </w:t>
      </w:r>
      <w:r>
        <w:t xml:space="preserve">- Batch mode can generate many Claude API calls simultaneously; it is best used with specific claim ranges rather than full</w:t>
      </w:r>
      <w:r>
        <w:t xml:space="preserve"> </w:t>
      </w:r>
      <w:r>
        <w:rPr>
          <w:rStyle w:val="VerbatimChar"/>
        </w:rPr>
        <w:t xml:space="preserve">all</w:t>
      </w:r>
      <w:r>
        <w:t xml:space="preserve"> </w:t>
      </w:r>
      <w:r>
        <w:t xml:space="preserve">mode for large patents.</w:t>
      </w:r>
      <w:r>
        <w:t xml:space="preserve"> </w:t>
      </w:r>
      <w:r>
        <w:t xml:space="preserve">- Draft-around suggestions are working hypotheses, not final claim language. The attorney must confirm that any adopted alternative does not introduce new claim scope inconsistencies or 112 issues.</w:t>
      </w:r>
    </w:p>
    <w:p>
      <w:r>
        <w:pict>
          <v:rect style="width:0;height:1.5pt" o:hralign="center" o:hrstd="t" o:hr="t"/>
        </w:pict>
      </w:r>
    </w:p>
    <w:bookmarkEnd w:id="20"/>
    <w:bookmarkEnd w:id="21"/>
    <w:bookmarkStart w:id="32" w:name="prosecution-tools"/>
    <w:p>
      <w:pPr>
        <w:pStyle w:val="Heading2"/>
      </w:pPr>
      <w:r>
        <w:t xml:space="preserve">5. Prosecution Tools</w:t>
      </w:r>
    </w:p>
    <w:bookmarkStart w:id="22" w:name="ifw-collector"/>
    <w:p>
      <w:pPr>
        <w:pStyle w:val="Heading3"/>
      </w:pPr>
      <w:r>
        <w:t xml:space="preserve">5.1 IFW Collector</w:t>
      </w:r>
    </w:p>
    <w:p>
      <w:pPr>
        <w:pStyle w:val="FirstParagraph"/>
      </w:pPr>
      <w:r>
        <w:rPr>
          <w:b/>
          <w:bCs/>
        </w:rPr>
        <w:t xml:space="preserve">Route:</w:t>
      </w:r>
      <w:r>
        <w:t xml:space="preserve"> </w:t>
      </w:r>
      <w:r>
        <w:rPr>
          <w:rStyle w:val="VerbatimChar"/>
        </w:rPr>
        <w:t xml:space="preserve">/ifw-collector</w:t>
      </w:r>
    </w:p>
    <w:p>
      <w:pPr>
        <w:pStyle w:val="BodyText"/>
      </w:pPr>
      <w:r>
        <w:rPr>
          <w:b/>
          <w:bCs/>
        </w:rPr>
        <w:t xml:space="preserve">Purpose:</w:t>
      </w:r>
      <w:r>
        <w:t xml:space="preserve"> </w:t>
      </w:r>
      <w:r>
        <w:t xml:space="preserve">Fetch and browse the prosecution history (Image File Wrapper) for any pending or granted USPTO application via the USPTO Open Data Portal. Documents can be ingested into the corpus for downstream use in OA Response and other tools.</w:t>
      </w:r>
    </w:p>
    <w:p>
      <w:pPr>
        <w:pStyle w:val="BodyText"/>
      </w:pPr>
      <w:r>
        <w:rPr>
          <w:b/>
          <w:bCs/>
        </w:rPr>
        <w:t xml:space="preserve">Inputs:</w:t>
      </w:r>
      <w:r>
        <w:t xml:space="preserve"> </w:t>
      </w:r>
      <w:r>
        <w:t xml:space="preserve">Application number (format:</w:t>
      </w:r>
      <w:r>
        <w:t xml:space="preserve"> </w:t>
      </w:r>
      <w:r>
        <w:rPr>
          <w:rStyle w:val="VerbatimChar"/>
        </w:rPr>
        <w:t xml:space="preserve">17/123,456</w:t>
      </w:r>
      <w:r>
        <w:t xml:space="preserve"> </w:t>
      </w:r>
      <w:r>
        <w:t xml:space="preserve">or bare digits).</w:t>
      </w:r>
    </w:p>
    <w:p>
      <w:pPr>
        <w:pStyle w:val="BodyText"/>
      </w:pPr>
      <w:r>
        <w:rPr>
          <w:b/>
          <w:bCs/>
        </w:rPr>
        <w:t xml:space="preserve">Requires:</w:t>
      </w:r>
      <w:r>
        <w:t xml:space="preserve"> </w:t>
      </w:r>
      <w:r>
        <w:t xml:space="preserve">USPTO ODP API key (configured by Firm Admin). After June 18, 2026, this is mandatory — unauthenticated IFW access through Patent Center will no longer be supported.</w:t>
      </w:r>
    </w:p>
    <w:p>
      <w:pPr>
        <w:pStyle w:val="BodyText"/>
      </w:pPr>
      <w:r>
        <w:rPr>
          <w:b/>
          <w:bCs/>
        </w:rPr>
        <w:t xml:space="preserve">Workflow:</w:t>
      </w:r>
      <w:r>
        <w:t xml:space="preserve"> </w:t>
      </w:r>
      <w:r>
        <w:t xml:space="preserve">1. Enter the application number and click</w:t>
      </w:r>
      <w:r>
        <w:t xml:space="preserve"> </w:t>
      </w:r>
      <w:r>
        <w:rPr>
          <w:b/>
          <w:bCs/>
        </w:rPr>
        <w:t xml:space="preserve">Fetch IFW</w:t>
      </w:r>
      <w:r>
        <w:t xml:space="preserve">.</w:t>
      </w:r>
      <w:r>
        <w:t xml:space="preserve"> </w:t>
      </w:r>
      <w:r>
        <w:t xml:space="preserve">2. The document list renders with document codes, descriptions, dates, and page counts.</w:t>
      </w:r>
      <w:r>
        <w:t xml:space="preserve"> </w:t>
      </w:r>
      <w:r>
        <w:t xml:space="preserve">3. Click individual documents to download or preview them.</w:t>
      </w:r>
      <w:r>
        <w:t xml:space="preserve"> </w:t>
      </w:r>
      <w:r>
        <w:t xml:space="preserve">4. Use</w:t>
      </w:r>
      <w:r>
        <w:t xml:space="preserve"> </w:t>
      </w:r>
      <w:r>
        <w:rPr>
          <w:b/>
          <w:bCs/>
        </w:rPr>
        <w:t xml:space="preserve">Ingest to Corpus</w:t>
      </w:r>
      <w:r>
        <w:t xml:space="preserve"> </w:t>
      </w:r>
      <w:r>
        <w:t xml:space="preserve">to add selected documents to the client corpus for use in OA Response.</w:t>
      </w:r>
    </w:p>
    <w:p>
      <w:pPr>
        <w:pStyle w:val="BodyText"/>
      </w:pPr>
      <w:r>
        <w:rPr>
          <w:b/>
          <w:bCs/>
        </w:rPr>
        <w:t xml:space="preserve">Tips for attorneys:</w:t>
      </w:r>
      <w:r>
        <w:t xml:space="preserve"> </w:t>
      </w:r>
      <w:r>
        <w:t xml:space="preserve">- Office Actions, Examiners’ Answers, and Notice of Allowances are the most valuable documents to ingest for OA Response generation.</w:t>
      </w:r>
      <w:r>
        <w:t xml:space="preserve"> </w:t>
      </w:r>
      <w:r>
        <w:t xml:space="preserve">- The deadline banner in the IFW Collector is persistent — it will not dismiss until the ODP API key is configured.</w:t>
      </w:r>
    </w:p>
    <w:p>
      <w:r>
        <w:pict>
          <v:rect style="width:0;height:1.5pt" o:hralign="center" o:hrstd="t" o:hr="t"/>
        </w:pict>
      </w:r>
    </w:p>
    <w:bookmarkEnd w:id="22"/>
    <w:bookmarkStart w:id="23" w:name="restriction-election-response"/>
    <w:p>
      <w:pPr>
        <w:pStyle w:val="Heading3"/>
      </w:pPr>
      <w:r>
        <w:t xml:space="preserve">5.2 Restriction / Election Response</w:t>
      </w:r>
    </w:p>
    <w:p>
      <w:pPr>
        <w:pStyle w:val="FirstParagraph"/>
      </w:pPr>
      <w:r>
        <w:rPr>
          <w:b/>
          <w:bCs/>
        </w:rPr>
        <w:t xml:space="preserve">Route:</w:t>
      </w:r>
      <w:r>
        <w:t xml:space="preserve"> </w:t>
      </w:r>
      <w:r>
        <w:rPr>
          <w:rStyle w:val="VerbatimChar"/>
        </w:rPr>
        <w:t xml:space="preserve">/restriction-election</w:t>
      </w:r>
    </w:p>
    <w:p>
      <w:pPr>
        <w:pStyle w:val="BodyText"/>
      </w:pPr>
      <w:r>
        <w:rPr>
          <w:b/>
          <w:bCs/>
        </w:rPr>
        <w:t xml:space="preserve">Purpose:</w:t>
      </w:r>
      <w:r>
        <w:t xml:space="preserve"> </w:t>
      </w:r>
      <w:r>
        <w:t xml:space="preserve">Parse a restriction requirement Office Action and generate a filing-ready traversal or election response.</w:t>
      </w:r>
    </w:p>
    <w:p>
      <w:pPr>
        <w:pStyle w:val="BodyText"/>
      </w:pPr>
      <w:r>
        <w:rPr>
          <w:b/>
          <w:bCs/>
        </w:rPr>
        <w:t xml:space="preserve">Inputs:</w:t>
      </w:r>
      <w:r>
        <w:t xml:space="preserve"> </w:t>
      </w:r>
      <w:r>
        <w:t xml:space="preserve">- Restriction requirement OA (upload PDF, DOCX, or TXT)</w:t>
      </w:r>
      <w:r>
        <w:t xml:space="preserve"> </w:t>
      </w:r>
      <w:r>
        <w:t xml:space="preserve">- Client selection (for corpus integration)</w:t>
      </w:r>
      <w:r>
        <w:t xml:space="preserve"> </w:t>
      </w:r>
      <w:r>
        <w:t xml:space="preserve">- Elected group or species</w:t>
      </w:r>
      <w:r>
        <w:t xml:space="preserve"> </w:t>
      </w:r>
      <w:r>
        <w:t xml:space="preserve">- Election with or without traverse</w:t>
      </w:r>
    </w:p>
    <w:p>
      <w:pPr>
        <w:pStyle w:val="BodyText"/>
      </w:pPr>
      <w:r>
        <w:rPr>
          <w:b/>
          <w:bCs/>
        </w:rPr>
        <w:t xml:space="preserve">AI process:</w:t>
      </w:r>
      <w:r>
        <w:t xml:space="preserve"> </w:t>
      </w:r>
      <w:r>
        <w:t xml:space="preserve">Priori parses the restriction requirement to identify groups, species, and examiner’s basis for restriction. Claude drafts a response that elects the specified claims, optionally traverses the restriction, and includes standard statutory citations. Output includes a Scope Tuner panel for reviewing the elected claims’ scope.</w:t>
      </w:r>
    </w:p>
    <w:p>
      <w:pPr>
        <w:pStyle w:val="BodyText"/>
      </w:pPr>
      <w:r>
        <w:rPr>
          <w:b/>
          <w:bCs/>
        </w:rPr>
        <w:t xml:space="preserve">Output:</w:t>
      </w:r>
      <w:r>
        <w:t xml:space="preserve"> </w:t>
      </w:r>
      <w:r>
        <w:t xml:space="preserve">Download as</w:t>
      </w:r>
      <w:r>
        <w:t xml:space="preserve"> </w:t>
      </w:r>
      <w:r>
        <w:rPr>
          <w:rStyle w:val="VerbatimChar"/>
        </w:rPr>
        <w:t xml:space="preserve">.docx</w:t>
      </w:r>
      <w:r>
        <w:t xml:space="preserve"> </w:t>
      </w:r>
      <w:r>
        <w:t xml:space="preserve">with standard filing format.</w:t>
      </w:r>
    </w:p>
    <w:p>
      <w:pPr>
        <w:pStyle w:val="BodyText"/>
      </w:pPr>
      <w:r>
        <w:rPr>
          <w:b/>
          <w:bCs/>
        </w:rPr>
        <w:t xml:space="preserve">Tips for attorneys:</w:t>
      </w:r>
      <w:r>
        <w:t xml:space="preserve"> </w:t>
      </w:r>
      <w:r>
        <w:t xml:space="preserve">- Always review the parsed group and species list against the original OA before selecting the election. Parser errors on unusual restriction formats can produce incorrect group listings.</w:t>
      </w:r>
      <w:r>
        <w:t xml:space="preserve"> </w:t>
      </w:r>
      <w:r>
        <w:t xml:space="preserve">- A traverse is generally preserved regardless of merits to avoid waiver. Review the generated traverse language carefully — it should not make admissions about the validity of the restriction.</w:t>
      </w:r>
    </w:p>
    <w:p>
      <w:r>
        <w:pict>
          <v:rect style="width:0;height:1.5pt" o:hralign="center" o:hrstd="t" o:hr="t"/>
        </w:pict>
      </w:r>
    </w:p>
    <w:bookmarkEnd w:id="23"/>
    <w:bookmarkStart w:id="24" w:name="oa-response"/>
    <w:p>
      <w:pPr>
        <w:pStyle w:val="Heading3"/>
      </w:pPr>
      <w:r>
        <w:t xml:space="preserve">5.3 OA Response</w:t>
      </w:r>
    </w:p>
    <w:p>
      <w:pPr>
        <w:pStyle w:val="FirstParagraph"/>
      </w:pPr>
      <w:r>
        <w:rPr>
          <w:b/>
          <w:bCs/>
        </w:rPr>
        <w:t xml:space="preserve">Route:</w:t>
      </w:r>
      <w:r>
        <w:t xml:space="preserve"> </w:t>
      </w:r>
      <w:r>
        <w:rPr>
          <w:rStyle w:val="VerbatimChar"/>
        </w:rPr>
        <w:t xml:space="preserve">/oa-response</w:t>
      </w:r>
    </w:p>
    <w:p>
      <w:pPr>
        <w:pStyle w:val="BodyText"/>
      </w:pPr>
      <w:r>
        <w:rPr>
          <w:b/>
          <w:bCs/>
        </w:rPr>
        <w:t xml:space="preserve">Purpose:</w:t>
      </w:r>
      <w:r>
        <w:t xml:space="preserve"> </w:t>
      </w:r>
      <w:r>
        <w:t xml:space="preserve">The primary prosecution drafting tool. Parses an Office Action, analyzes rejections, and generates a complete response with amendments and arguments.</w:t>
      </w:r>
    </w:p>
    <w:p>
      <w:pPr>
        <w:pStyle w:val="BodyText"/>
      </w:pPr>
      <w:r>
        <w:rPr>
          <w:b/>
          <w:bCs/>
        </w:rPr>
        <w:t xml:space="preserve">Inputs:</w:t>
      </w:r>
      <w:r>
        <w:t xml:space="preserve"> </w:t>
      </w:r>
      <w:r>
        <w:t xml:space="preserve">- Office Action document (upload or auto-fetch via IFW Collector integration)</w:t>
      </w:r>
      <w:r>
        <w:t xml:space="preserve"> </w:t>
      </w:r>
      <w:r>
        <w:t xml:space="preserve">- Current pending claims (from upload or IFW)</w:t>
      </w:r>
      <w:r>
        <w:t xml:space="preserve"> </w:t>
      </w:r>
      <w:r>
        <w:t xml:space="preserve">- Specification (upload, for 112 support analysis)</w:t>
      </w:r>
      <w:r>
        <w:t xml:space="preserve"> </w:t>
      </w:r>
      <w:r>
        <w:t xml:space="preserve">- Client / matter (for corpus integration — practice notes and argument history)</w:t>
      </w:r>
      <w:r>
        <w:t xml:space="preserve"> </w:t>
      </w:r>
      <w:r>
        <w:t xml:space="preserve">- Claude model selection (Sonnet or Opus)</w:t>
      </w:r>
    </w:p>
    <w:p>
      <w:pPr>
        <w:pStyle w:val="BodyText"/>
      </w:pPr>
      <w:r>
        <w:rPr>
          <w:b/>
          <w:bCs/>
        </w:rPr>
        <w:t xml:space="preserve">AI process:</w:t>
      </w:r>
    </w:p>
    <w:p>
      <w:pPr>
        <w:pStyle w:val="Compact"/>
        <w:numPr>
          <w:ilvl w:val="0"/>
          <w:numId w:val="1011"/>
        </w:numPr>
      </w:pPr>
      <w:r>
        <w:rPr>
          <w:b/>
          <w:bCs/>
        </w:rPr>
        <w:t xml:space="preserve">Parsing:</w:t>
      </w:r>
      <w:r>
        <w:t xml:space="preserve"> </w:t>
      </w:r>
      <w:r>
        <w:t xml:space="preserve">Priori identifies all rejections by type (§ 102, § 103, § 101, § 112) and the claims rejected.</w:t>
      </w:r>
    </w:p>
    <w:p>
      <w:pPr>
        <w:pStyle w:val="Compact"/>
        <w:numPr>
          <w:ilvl w:val="0"/>
          <w:numId w:val="1011"/>
        </w:numPr>
      </w:pPr>
      <w:r>
        <w:rPr>
          <w:b/>
          <w:bCs/>
        </w:rPr>
        <w:t xml:space="preserve">Examiner Intelligence:</w:t>
      </w:r>
      <w:r>
        <w:t xml:space="preserve"> </w:t>
      </w:r>
      <w:r>
        <w:t xml:space="preserve">If Prosecution Intelligence data is available for the examiner, Priori loads the examiner’s allowance rate, average pendency, argument acceptance patterns, and the firm’s prior success patterns before that examiner.</w:t>
      </w:r>
    </w:p>
    <w:p>
      <w:pPr>
        <w:pStyle w:val="Compact"/>
        <w:numPr>
          <w:ilvl w:val="0"/>
          <w:numId w:val="1011"/>
        </w:numPr>
      </w:pPr>
      <w:r>
        <w:rPr>
          <w:b/>
          <w:bCs/>
        </w:rPr>
        <w:t xml:space="preserve">Practice Notes:</w:t>
      </w:r>
      <w:r>
        <w:t xml:space="preserve"> </w:t>
      </w:r>
      <w:r>
        <w:t xml:space="preserve">Any active practice notes tagged to the relevant rejection types are automatically injected into the AI context.</w:t>
      </w:r>
    </w:p>
    <w:p>
      <w:pPr>
        <w:pStyle w:val="Compact"/>
        <w:numPr>
          <w:ilvl w:val="0"/>
          <w:numId w:val="1011"/>
        </w:numPr>
      </w:pPr>
      <w:r>
        <w:rPr>
          <w:b/>
          <w:bCs/>
        </w:rPr>
        <w:t xml:space="preserve">Corpus Context:</w:t>
      </w:r>
      <w:r>
        <w:t xml:space="preserve"> </w:t>
      </w:r>
      <w:r>
        <w:t xml:space="preserve">If a client corpus is configured, relevant prosecution history is retrieved and included in the AI context.</w:t>
      </w:r>
    </w:p>
    <w:p>
      <w:pPr>
        <w:pStyle w:val="Compact"/>
        <w:numPr>
          <w:ilvl w:val="0"/>
          <w:numId w:val="1011"/>
        </w:numPr>
      </w:pPr>
      <w:r>
        <w:rPr>
          <w:b/>
          <w:bCs/>
        </w:rPr>
        <w:t xml:space="preserve">Strategy Generation:</w:t>
      </w:r>
      <w:r>
        <w:t xml:space="preserve"> </w:t>
      </w:r>
      <w:r>
        <w:t xml:space="preserve">Claude analyzes each rejection and proposes a response strategy (amend / argue / both) with reasoning.</w:t>
      </w:r>
    </w:p>
    <w:p>
      <w:pPr>
        <w:pStyle w:val="Compact"/>
        <w:numPr>
          <w:ilvl w:val="0"/>
          <w:numId w:val="1011"/>
        </w:numPr>
      </w:pPr>
      <w:r>
        <w:rPr>
          <w:b/>
          <w:bCs/>
        </w:rPr>
        <w:t xml:space="preserve">Draft Generation:</w:t>
      </w:r>
      <w:r>
        <w:t xml:space="preserve"> </w:t>
      </w:r>
      <w:r>
        <w:t xml:space="preserve">Claude streams the full response, including claim amendments (marked-up and clean-copy), argument sections for each rejection, and a transmittal paragraph.</w:t>
      </w:r>
    </w:p>
    <w:p>
      <w:pPr>
        <w:pStyle w:val="FirstParagraph"/>
      </w:pPr>
      <w:r>
        <w:rPr>
          <w:b/>
          <w:bCs/>
        </w:rPr>
        <w:t xml:space="preserve">Interactive Build mode:</w:t>
      </w:r>
      <w:r>
        <w:t xml:space="preserve"> </w:t>
      </w:r>
      <w:r>
        <w:t xml:space="preserve">The tool offers an interactive mode where each rejection is addressed individually, with the ability to review and modify strategy before generating the full response.</w:t>
      </w:r>
    </w:p>
    <w:p>
      <w:pPr>
        <w:pStyle w:val="BodyText"/>
      </w:pPr>
      <w:r>
        <w:rPr>
          <w:b/>
          <w:bCs/>
        </w:rPr>
        <w:t xml:space="preserve">OCQR Integration:</w:t>
      </w:r>
      <w:r>
        <w:t xml:space="preserve"> </w:t>
      </w:r>
      <w:r>
        <w:t xml:space="preserve">After draft generation, the Quality Review check runs inline on the amended claims.</w:t>
      </w:r>
    </w:p>
    <w:p>
      <w:pPr>
        <w:pStyle w:val="BodyText"/>
      </w:pPr>
      <w:r>
        <w:rPr>
          <w:b/>
          <w:bCs/>
        </w:rPr>
        <w:t xml:space="preserve">Output:</w:t>
      </w:r>
      <w:r>
        <w:t xml:space="preserve"> </w:t>
      </w:r>
      <w:r>
        <w:t xml:space="preserve">Download as</w:t>
      </w:r>
      <w:r>
        <w:t xml:space="preserve"> </w:t>
      </w:r>
      <w:r>
        <w:rPr>
          <w:rStyle w:val="VerbatimChar"/>
        </w:rPr>
        <w:t xml:space="preserve">.docx</w:t>
      </w:r>
      <w:r>
        <w:t xml:space="preserve"> </w:t>
      </w:r>
      <w:r>
        <w:t xml:space="preserve">(formatted for filing).</w:t>
      </w:r>
    </w:p>
    <w:p>
      <w:pPr>
        <w:pStyle w:val="BodyText"/>
      </w:pPr>
      <w:r>
        <w:rPr>
          <w:b/>
          <w:bCs/>
        </w:rPr>
        <w:t xml:space="preserve">Tips for attorneys:</w:t>
      </w:r>
      <w:r>
        <w:t xml:space="preserve"> </w:t>
      </w:r>
      <w:r>
        <w:t xml:space="preserve">- Upload the cited references (§ 102/103 art) in addition to the OA for better argument generation. Priori can read the references and map them against the claim elements.</w:t>
      </w:r>
      <w:r>
        <w:t xml:space="preserve"> </w:t>
      </w:r>
      <w:r>
        <w:t xml:space="preserve">- For § 101 rejections, review the abstract idea characterization in the generated response carefully. AI-generated § 101 arguments are general patterns; subject-matter-specific Berkheimer / Enfish / McRO arguments require attorney judgment.</w:t>
      </w:r>
      <w:r>
        <w:t xml:space="preserve"> </w:t>
      </w:r>
      <w:r>
        <w:t xml:space="preserve">- OA responses require attorney review before filing. The generated response is a draft, not a filing-ready document.</w:t>
      </w:r>
    </w:p>
    <w:p>
      <w:r>
        <w:pict>
          <v:rect style="width:0;height:1.5pt" o:hralign="center" o:hrstd="t" o:hr="t"/>
        </w:pict>
      </w:r>
    </w:p>
    <w:bookmarkEnd w:id="24"/>
    <w:bookmarkStart w:id="25" w:name="ids-generator"/>
    <w:p>
      <w:pPr>
        <w:pStyle w:val="Heading3"/>
      </w:pPr>
      <w:r>
        <w:t xml:space="preserve">5.4 IDS Generator</w:t>
      </w:r>
    </w:p>
    <w:p>
      <w:pPr>
        <w:pStyle w:val="FirstParagraph"/>
      </w:pPr>
      <w:r>
        <w:rPr>
          <w:b/>
          <w:bCs/>
        </w:rPr>
        <w:t xml:space="preserve">Route:</w:t>
      </w:r>
      <w:r>
        <w:t xml:space="preserve"> </w:t>
      </w:r>
      <w:r>
        <w:rPr>
          <w:rStyle w:val="VerbatimChar"/>
        </w:rPr>
        <w:t xml:space="preserve">/ids</w:t>
      </w:r>
    </w:p>
    <w:p>
      <w:pPr>
        <w:pStyle w:val="BodyText"/>
      </w:pPr>
      <w:r>
        <w:rPr>
          <w:b/>
          <w:bCs/>
        </w:rPr>
        <w:t xml:space="preserve">Purpose:</w:t>
      </w:r>
      <w:r>
        <w:t xml:space="preserve"> </w:t>
      </w:r>
      <w:r>
        <w:t xml:space="preserve">Generate a complete Information Disclosure Statement from a list of references. Handles USPTO, EPO, and WO patents, and NPL references.</w:t>
      </w:r>
    </w:p>
    <w:p>
      <w:pPr>
        <w:pStyle w:val="BodyText"/>
      </w:pPr>
      <w:r>
        <w:rPr>
          <w:b/>
          <w:bCs/>
        </w:rPr>
        <w:t xml:space="preserve">Inputs:</w:t>
      </w:r>
      <w:r>
        <w:t xml:space="preserve"> </w:t>
      </w:r>
      <w:r>
        <w:t xml:space="preserve">- Patent numbers (US, EP, WO formats)</w:t>
      </w:r>
      <w:r>
        <w:t xml:space="preserve"> </w:t>
      </w:r>
      <w:r>
        <w:t xml:space="preserve">- NPL references (paste or upload PDFs — Priori uses Claude vision to extract citation information from uploaded PDFs)</w:t>
      </w:r>
      <w:r>
        <w:t xml:space="preserve"> </w:t>
      </w:r>
      <w:r>
        <w:t xml:space="preserve">- Client / matter</w:t>
      </w:r>
    </w:p>
    <w:p>
      <w:pPr>
        <w:pStyle w:val="BodyText"/>
      </w:pPr>
      <w:r>
        <w:rPr>
          <w:b/>
          <w:bCs/>
        </w:rPr>
        <w:t xml:space="preserve">Output:</w:t>
      </w:r>
      <w:r>
        <w:t xml:space="preserve"> </w:t>
      </w:r>
      <w:r>
        <w:t xml:space="preserve">IDS table formatted for USPTO Form PTO/SB/08 equivalent (</w:t>
      </w:r>
      <w:r>
        <w:rPr>
          <w:rStyle w:val="VerbatimChar"/>
        </w:rPr>
        <w:t xml:space="preserve">.docx</w:t>
      </w:r>
      <w:r>
        <w:t xml:space="preserve">). Each NPL citation extracted from a PDF that was not independently verified is flagged as</w:t>
      </w:r>
      <w:r>
        <w:t xml:space="preserve"> </w:t>
      </w:r>
      <w:r>
        <w:rPr>
          <w:rStyle w:val="VerbatimChar"/>
        </w:rPr>
        <w:t xml:space="preserve">[TO BE VERIFIED]</w:t>
      </w:r>
      <w:r>
        <w:t xml:space="preserve"> </w:t>
      </w:r>
      <w:r>
        <w:t xml:space="preserve">— the attorney must confirm the citation before filing.</w:t>
      </w:r>
    </w:p>
    <w:p>
      <w:pPr>
        <w:pStyle w:val="BodyText"/>
      </w:pPr>
      <w:r>
        <w:rPr>
          <w:b/>
          <w:bCs/>
        </w:rPr>
        <w:t xml:space="preserve">Tips for attorneys:</w:t>
      </w:r>
      <w:r>
        <w:t xml:space="preserve"> </w:t>
      </w:r>
      <w:r>
        <w:t xml:space="preserve">- The Claude-extracted NPL citations are best-effort extractions from PDF text. Verify author names, journal titles, volume numbers, and page ranges against the original document before filing. Citation errors in an IDS can affect duty of disclosure compliance.</w:t>
      </w:r>
      <w:r>
        <w:t xml:space="preserve"> </w:t>
      </w:r>
      <w:r>
        <w:t xml:space="preserve">- Include all references cited by the examiner in any OA to ensure the IDS covers the full prosecution record.</w:t>
      </w:r>
    </w:p>
    <w:p>
      <w:r>
        <w:pict>
          <v:rect style="width:0;height:1.5pt" o:hralign="center" o:hrstd="t" o:hr="t"/>
        </w:pict>
      </w:r>
    </w:p>
    <w:bookmarkEnd w:id="25"/>
    <w:bookmarkStart w:id="26" w:name="ads-generator"/>
    <w:p>
      <w:pPr>
        <w:pStyle w:val="Heading3"/>
      </w:pPr>
      <w:r>
        <w:t xml:space="preserve">5.5 ADS Generator</w:t>
      </w:r>
    </w:p>
    <w:p>
      <w:pPr>
        <w:pStyle w:val="FirstParagraph"/>
      </w:pPr>
      <w:r>
        <w:rPr>
          <w:b/>
          <w:bCs/>
        </w:rPr>
        <w:t xml:space="preserve">Route:</w:t>
      </w:r>
      <w:r>
        <w:t xml:space="preserve"> </w:t>
      </w:r>
      <w:r>
        <w:rPr>
          <w:rStyle w:val="VerbatimChar"/>
        </w:rPr>
        <w:t xml:space="preserve">/ads</w:t>
      </w:r>
    </w:p>
    <w:p>
      <w:pPr>
        <w:pStyle w:val="BodyText"/>
      </w:pPr>
      <w:r>
        <w:rPr>
          <w:b/>
          <w:bCs/>
        </w:rPr>
        <w:t xml:space="preserve">Purpose:</w:t>
      </w:r>
      <w:r>
        <w:t xml:space="preserve"> </w:t>
      </w:r>
      <w:r>
        <w:t xml:space="preserve">Generate an Application Data Sheet for new applications or continuation filings.</w:t>
      </w:r>
    </w:p>
    <w:p>
      <w:pPr>
        <w:pStyle w:val="BodyText"/>
      </w:pPr>
      <w:r>
        <w:rPr>
          <w:b/>
          <w:bCs/>
        </w:rPr>
        <w:t xml:space="preserve">Inputs:</w:t>
      </w:r>
      <w:r>
        <w:t xml:space="preserve"> </w:t>
      </w:r>
      <w:r>
        <w:t xml:space="preserve">Inventor information, filing basis, priority claims, domestic benefit claims, foreign priority claims, application type.</w:t>
      </w:r>
    </w:p>
    <w:p>
      <w:pPr>
        <w:pStyle w:val="BodyText"/>
      </w:pPr>
      <w:r>
        <w:rPr>
          <w:b/>
          <w:bCs/>
        </w:rPr>
        <w:t xml:space="preserve">Output:</w:t>
      </w:r>
      <w:r>
        <w:t xml:space="preserve"> </w:t>
      </w:r>
      <w:r>
        <w:t xml:space="preserve">Completed ADS as</w:t>
      </w:r>
      <w:r>
        <w:t xml:space="preserve"> </w:t>
      </w:r>
      <w:r>
        <w:rPr>
          <w:rStyle w:val="VerbatimChar"/>
        </w:rPr>
        <w:t xml:space="preserve">.docx</w:t>
      </w:r>
      <w:r>
        <w:t xml:space="preserve">.</w:t>
      </w:r>
    </w:p>
    <w:p>
      <w:pPr>
        <w:pStyle w:val="BodyText"/>
      </w:pPr>
      <w:r>
        <w:rPr>
          <w:b/>
          <w:bCs/>
        </w:rPr>
        <w:t xml:space="preserve">Tips for attorneys:</w:t>
      </w:r>
      <w:r>
        <w:t xml:space="preserve"> </w:t>
      </w:r>
      <w:r>
        <w:t xml:space="preserve">- Priority claim dates and application numbers must be verified against the actual filing records before submission. The ADS generator does not pull data from any live database — all entries are attorney-provided.</w:t>
      </w:r>
    </w:p>
    <w:p>
      <w:r>
        <w:pict>
          <v:rect style="width:0;height:1.5pt" o:hralign="center" o:hrstd="t" o:hr="t"/>
        </w:pict>
      </w:r>
    </w:p>
    <w:bookmarkEnd w:id="26"/>
    <w:bookmarkStart w:id="27" w:name="continuation-cip-generator"/>
    <w:p>
      <w:pPr>
        <w:pStyle w:val="Heading3"/>
      </w:pPr>
      <w:r>
        <w:t xml:space="preserve">5.6 Continuation / CIP Generator</w:t>
      </w:r>
    </w:p>
    <w:p>
      <w:pPr>
        <w:pStyle w:val="FirstParagraph"/>
      </w:pPr>
      <w:r>
        <w:rPr>
          <w:b/>
          <w:bCs/>
        </w:rPr>
        <w:t xml:space="preserve">Route:</w:t>
      </w:r>
      <w:r>
        <w:t xml:space="preserve"> </w:t>
      </w:r>
      <w:r>
        <w:rPr>
          <w:rStyle w:val="VerbatimChar"/>
        </w:rPr>
        <w:t xml:space="preserve">/continuation-cip</w:t>
      </w:r>
    </w:p>
    <w:p>
      <w:pPr>
        <w:pStyle w:val="BodyText"/>
      </w:pPr>
      <w:r>
        <w:rPr>
          <w:b/>
          <w:bCs/>
        </w:rPr>
        <w:t xml:space="preserve">Purpose:</w:t>
      </w:r>
      <w:r>
        <w:t xml:space="preserve"> </w:t>
      </w:r>
      <w:r>
        <w:t xml:space="preserve">Draft a complete child application (continuation, divisional, or continuation-in-part) from a parent application.</w:t>
      </w:r>
    </w:p>
    <w:p>
      <w:pPr>
        <w:pStyle w:val="BodyText"/>
      </w:pPr>
      <w:r>
        <w:rPr>
          <w:b/>
          <w:bCs/>
        </w:rPr>
        <w:t xml:space="preserve">Relationship types:</w:t>
      </w:r>
      <w:r>
        <w:t xml:space="preserve"> </w:t>
      </w:r>
      <w:r>
        <w:t xml:space="preserve">Continuation, Divisional, CIP (Continuation-in-Part)</w:t>
      </w:r>
    </w:p>
    <w:p>
      <w:pPr>
        <w:pStyle w:val="BodyText"/>
      </w:pPr>
      <w:r>
        <w:rPr>
          <w:b/>
          <w:bCs/>
        </w:rPr>
        <w:t xml:space="preserve">Inputs:</w:t>
      </w:r>
      <w:r>
        <w:t xml:space="preserve"> </w:t>
      </w:r>
      <w:r>
        <w:t xml:space="preserve">- Parent application (upload DOCX of the specification, or enter application number for IFW fetch)</w:t>
      </w:r>
      <w:r>
        <w:t xml:space="preserve"> </w:t>
      </w:r>
      <w:r>
        <w:t xml:space="preserve">- Relationship type</w:t>
      </w:r>
      <w:r>
        <w:t xml:space="preserve"> </w:t>
      </w:r>
      <w:r>
        <w:t xml:space="preserve">- For CIP: new subject matter to incorporate</w:t>
      </w:r>
    </w:p>
    <w:p>
      <w:pPr>
        <w:pStyle w:val="BodyText"/>
      </w:pPr>
      <w:r>
        <w:rPr>
          <w:b/>
          <w:bCs/>
        </w:rPr>
        <w:t xml:space="preserve">AI process:</w:t>
      </w:r>
      <w:r>
        <w:t xml:space="preserve"> </w:t>
      </w:r>
      <w:r>
        <w:t xml:space="preserve">Claude generates a complete child application with:</w:t>
      </w:r>
      <w:r>
        <w:t xml:space="preserve"> </w:t>
      </w:r>
      <w:r>
        <w:t xml:space="preserve">- Cross-reference paragraph citing the parent under 35 U.S.C. § 120 (or § 119(e) for provisional parents)</w:t>
      </w:r>
      <w:r>
        <w:t xml:space="preserve"> </w:t>
      </w:r>
      <w:r>
        <w:t xml:space="preserve">- Field of the Invention, Background, Summary, Detailed Description, and Claims</w:t>
      </w:r>
      <w:r>
        <w:t xml:space="preserve"> </w:t>
      </w:r>
      <w:r>
        <w:t xml:space="preserve">- The priority claim chain is automatically formatted from the parent’s file data</w:t>
      </w:r>
    </w:p>
    <w:p>
      <w:pPr>
        <w:pStyle w:val="BodyText"/>
      </w:pPr>
      <w:r>
        <w:rPr>
          <w:b/>
          <w:bCs/>
        </w:rPr>
        <w:t xml:space="preserve">Output:</w:t>
      </w:r>
      <w:r>
        <w:t xml:space="preserve"> </w:t>
      </w:r>
      <w:r>
        <w:t xml:space="preserve">Complete application as</w:t>
      </w:r>
      <w:r>
        <w:t xml:space="preserve"> </w:t>
      </w:r>
      <w:r>
        <w:rPr>
          <w:rStyle w:val="VerbatimChar"/>
        </w:rPr>
        <w:t xml:space="preserve">.docx</w:t>
      </w:r>
      <w:r>
        <w:t xml:space="preserve">.</w:t>
      </w:r>
    </w:p>
    <w:p>
      <w:pPr>
        <w:pStyle w:val="BodyText"/>
      </w:pPr>
      <w:r>
        <w:rPr>
          <w:b/>
          <w:bCs/>
        </w:rPr>
        <w:t xml:space="preserve">Tips for attorneys:</w:t>
      </w:r>
      <w:r>
        <w:t xml:space="preserve"> </w:t>
      </w:r>
      <w:r>
        <w:t xml:space="preserve">- For CIP applications, provide the new subject matter as a structured addendum. Claude cannot invent new disclosure — it drafts from what you provide.</w:t>
      </w:r>
      <w:r>
        <w:t xml:space="preserve"> </w:t>
      </w:r>
      <w:r>
        <w:t xml:space="preserve">- Review the priority chain language carefully. Errors in the cross-reference paragraph can affect the effective filing date and priority claims.</w:t>
      </w:r>
    </w:p>
    <w:p>
      <w:r>
        <w:pict>
          <v:rect style="width:0;height:1.5pt" o:hralign="center" o:hrstd="t" o:hr="t"/>
        </w:pict>
      </w:r>
    </w:p>
    <w:bookmarkEnd w:id="27"/>
    <w:bookmarkStart w:id="28" w:name="certificate-of-mailing"/>
    <w:p>
      <w:pPr>
        <w:pStyle w:val="Heading3"/>
      </w:pPr>
      <w:r>
        <w:t xml:space="preserve">5.7 Certificate of Mailing</w:t>
      </w:r>
    </w:p>
    <w:p>
      <w:pPr>
        <w:pStyle w:val="FirstParagraph"/>
      </w:pPr>
      <w:r>
        <w:rPr>
          <w:b/>
          <w:bCs/>
        </w:rPr>
        <w:t xml:space="preserve">Route:</w:t>
      </w:r>
      <w:r>
        <w:t xml:space="preserve"> </w:t>
      </w:r>
      <w:r>
        <w:rPr>
          <w:rStyle w:val="VerbatimChar"/>
        </w:rPr>
        <w:t xml:space="preserve">/certificate-of-mailing</w:t>
      </w:r>
    </w:p>
    <w:p>
      <w:pPr>
        <w:pStyle w:val="BodyText"/>
      </w:pPr>
      <w:r>
        <w:rPr>
          <w:b/>
          <w:bCs/>
        </w:rPr>
        <w:t xml:space="preserve">Purpose:</w:t>
      </w:r>
      <w:r>
        <w:t xml:space="preserve"> </w:t>
      </w:r>
      <w:r>
        <w:t xml:space="preserve">Generate a Certificate of Mailing under 37 C.F.R. § 1.8 for paper filings.</w:t>
      </w:r>
    </w:p>
    <w:p>
      <w:pPr>
        <w:pStyle w:val="BodyText"/>
      </w:pPr>
      <w:r>
        <w:rPr>
          <w:b/>
          <w:bCs/>
        </w:rPr>
        <w:t xml:space="preserve">Inputs:</w:t>
      </w:r>
      <w:r>
        <w:t xml:space="preserve"> </w:t>
      </w:r>
      <w:r>
        <w:t xml:space="preserve">Attorney information (auto-populated from Settings profile), filing description, date of mailing.</w:t>
      </w:r>
    </w:p>
    <w:p>
      <w:pPr>
        <w:pStyle w:val="BodyText"/>
      </w:pPr>
      <w:r>
        <w:rPr>
          <w:b/>
          <w:bCs/>
        </w:rPr>
        <w:t xml:space="preserve">Output:</w:t>
      </w:r>
      <w:r>
        <w:t xml:space="preserve"> </w:t>
      </w:r>
      <w:r>
        <w:t xml:space="preserve">Certificate formatted for attachment to the filing.</w:t>
      </w:r>
    </w:p>
    <w:p>
      <w:r>
        <w:pict>
          <v:rect style="width:0;height:1.5pt" o:hralign="center" o:hrstd="t" o:hr="t"/>
        </w:pict>
      </w:r>
    </w:p>
    <w:bookmarkEnd w:id="28"/>
    <w:bookmarkStart w:id="29" w:name="prosecution-monitor"/>
    <w:p>
      <w:pPr>
        <w:pStyle w:val="Heading3"/>
      </w:pPr>
      <w:r>
        <w:t xml:space="preserve">5.8 Prosecution Monitor</w:t>
      </w:r>
    </w:p>
    <w:p>
      <w:pPr>
        <w:pStyle w:val="FirstParagraph"/>
      </w:pPr>
      <w:r>
        <w:rPr>
          <w:b/>
          <w:bCs/>
        </w:rPr>
        <w:t xml:space="preserve">Route:</w:t>
      </w:r>
      <w:r>
        <w:t xml:space="preserve"> </w:t>
      </w:r>
      <w:r>
        <w:rPr>
          <w:rStyle w:val="VerbatimChar"/>
        </w:rPr>
        <w:t xml:space="preserve">/prosecution-monitor</w:t>
      </w:r>
    </w:p>
    <w:p>
      <w:pPr>
        <w:pStyle w:val="BodyText"/>
      </w:pPr>
      <w:r>
        <w:rPr>
          <w:b/>
          <w:bCs/>
        </w:rPr>
        <w:t xml:space="preserve">Purpose:</w:t>
      </w:r>
      <w:r>
        <w:t xml:space="preserve"> </w:t>
      </w:r>
      <w:r>
        <w:t xml:space="preserve">Check the live status of any USPTO application via the ODP API. Displays current status, art unit, examiner, and recent transactions.</w:t>
      </w:r>
    </w:p>
    <w:p>
      <w:pPr>
        <w:pStyle w:val="BodyText"/>
      </w:pPr>
      <w:r>
        <w:rPr>
          <w:b/>
          <w:bCs/>
        </w:rPr>
        <w:t xml:space="preserve">Requires:</w:t>
      </w:r>
      <w:r>
        <w:t xml:space="preserve"> </w:t>
      </w:r>
      <w:r>
        <w:t xml:space="preserve">USPTO ODP API key (configured by Firm Admin).</w:t>
      </w:r>
    </w:p>
    <w:p>
      <w:pPr>
        <w:pStyle w:val="BodyText"/>
      </w:pPr>
      <w:r>
        <w:rPr>
          <w:b/>
          <w:bCs/>
        </w:rPr>
        <w:t xml:space="preserve">Inputs:</w:t>
      </w:r>
      <w:r>
        <w:t xml:space="preserve"> </w:t>
      </w:r>
      <w:r>
        <w:t xml:space="preserve">Application number.</w:t>
      </w:r>
    </w:p>
    <w:p>
      <w:pPr>
        <w:pStyle w:val="BodyText"/>
      </w:pPr>
      <w:r>
        <w:rPr>
          <w:b/>
          <w:bCs/>
        </w:rPr>
        <w:t xml:space="preserve">Output:</w:t>
      </w:r>
      <w:r>
        <w:t xml:space="preserve"> </w:t>
      </w:r>
      <w:r>
        <w:t xml:space="preserve">Live status display including: application status, filing date, art unit, assigned examiner, most recent Office Action date, and a link to Patent Center for full IFW access.</w:t>
      </w:r>
    </w:p>
    <w:p>
      <w:pPr>
        <w:pStyle w:val="BodyText"/>
      </w:pPr>
      <w:r>
        <w:rPr>
          <w:b/>
          <w:bCs/>
        </w:rPr>
        <w:t xml:space="preserve">Fallback:</w:t>
      </w:r>
      <w:r>
        <w:t xml:space="preserve"> </w:t>
      </w:r>
      <w:r>
        <w:t xml:space="preserve">If no ODP API key is configured, the tool provides a direct link to Patent Center and Google Patents for manual status lookup.</w:t>
      </w:r>
    </w:p>
    <w:p>
      <w:pPr>
        <w:pStyle w:val="BodyText"/>
      </w:pPr>
      <w:r>
        <w:rPr>
          <w:b/>
          <w:bCs/>
        </w:rPr>
        <w:t xml:space="preserve">Tips for attorneys:</w:t>
      </w:r>
      <w:r>
        <w:t xml:space="preserve"> </w:t>
      </w:r>
      <w:r>
        <w:t xml:space="preserve">- Use this tool for quick status checks on individual applications. For batch status monitoring across an entire docket, see Prosecution Intelligence (Section 8.2).</w:t>
      </w:r>
    </w:p>
    <w:p>
      <w:r>
        <w:pict>
          <v:rect style="width:0;height:1.5pt" o:hralign="center" o:hrstd="t" o:hr="t"/>
        </w:pict>
      </w:r>
    </w:p>
    <w:bookmarkEnd w:id="29"/>
    <w:bookmarkStart w:id="30" w:name="fee-log"/>
    <w:p>
      <w:pPr>
        <w:pStyle w:val="Heading3"/>
      </w:pPr>
      <w:r>
        <w:t xml:space="preserve">5.9 Fee Log</w:t>
      </w:r>
    </w:p>
    <w:p>
      <w:pPr>
        <w:pStyle w:val="FirstParagraph"/>
      </w:pPr>
      <w:r>
        <w:rPr>
          <w:b/>
          <w:bCs/>
        </w:rPr>
        <w:t xml:space="preserve">Route:</w:t>
      </w:r>
      <w:r>
        <w:t xml:space="preserve"> </w:t>
      </w:r>
      <w:r>
        <w:rPr>
          <w:rStyle w:val="VerbatimChar"/>
        </w:rPr>
        <w:t xml:space="preserve">/fee-log</w:t>
      </w:r>
    </w:p>
    <w:p>
      <w:pPr>
        <w:pStyle w:val="BodyText"/>
      </w:pPr>
      <w:r>
        <w:rPr>
          <w:b/>
          <w:bCs/>
        </w:rPr>
        <w:t xml:space="preserve">Purpose:</w:t>
      </w:r>
      <w:r>
        <w:t xml:space="preserve"> </w:t>
      </w:r>
      <w:r>
        <w:t xml:space="preserve">Track prosecution fees paid and anticipated across matters.</w:t>
      </w:r>
    </w:p>
    <w:p>
      <w:pPr>
        <w:pStyle w:val="BodyText"/>
      </w:pPr>
      <w:r>
        <w:rPr>
          <w:b/>
          <w:bCs/>
        </w:rPr>
        <w:t xml:space="preserve">Tips for attorneys:</w:t>
      </w:r>
      <w:r>
        <w:t xml:space="preserve"> </w:t>
      </w:r>
      <w:r>
        <w:t xml:space="preserve">- Fee entries are stored locally in the Priori database. This is not a billing system; it is a record-keeping aid. Reconcile against your billing system regularly.</w:t>
      </w:r>
    </w:p>
    <w:p>
      <w:r>
        <w:pict>
          <v:rect style="width:0;height:1.5pt" o:hralign="center" o:hrstd="t" o:hr="t"/>
        </w:pict>
      </w:r>
    </w:p>
    <w:bookmarkEnd w:id="30"/>
    <w:bookmarkStart w:id="31" w:name="correspondence"/>
    <w:p>
      <w:pPr>
        <w:pStyle w:val="Heading3"/>
      </w:pPr>
      <w:r>
        <w:t xml:space="preserve">5.10 Correspondence</w:t>
      </w:r>
    </w:p>
    <w:p>
      <w:pPr>
        <w:pStyle w:val="FirstParagraph"/>
      </w:pPr>
      <w:r>
        <w:rPr>
          <w:b/>
          <w:bCs/>
        </w:rPr>
        <w:t xml:space="preserve">Route:</w:t>
      </w:r>
      <w:r>
        <w:t xml:space="preserve"> </w:t>
      </w:r>
      <w:r>
        <w:rPr>
          <w:rStyle w:val="VerbatimChar"/>
        </w:rPr>
        <w:t xml:space="preserve">/correspondence</w:t>
      </w:r>
    </w:p>
    <w:p>
      <w:pPr>
        <w:pStyle w:val="BodyText"/>
      </w:pPr>
      <w:r>
        <w:rPr>
          <w:b/>
          <w:bCs/>
        </w:rPr>
        <w:t xml:space="preserve">Purpose:</w:t>
      </w:r>
      <w:r>
        <w:t xml:space="preserve"> </w:t>
      </w:r>
      <w:r>
        <w:t xml:space="preserve">Draft prosecution correspondence — transmittal letters, client status letters, and examiner interview summaries.</w:t>
      </w:r>
    </w:p>
    <w:p>
      <w:pPr>
        <w:pStyle w:val="BodyText"/>
      </w:pPr>
      <w:r>
        <w:rPr>
          <w:b/>
          <w:bCs/>
        </w:rPr>
        <w:t xml:space="preserve">Inputs:</w:t>
      </w:r>
      <w:r>
        <w:t xml:space="preserve"> </w:t>
      </w:r>
      <w:r>
        <w:t xml:space="preserve">Recipient (client, examiner, or third party), matter information, correspondence type, content notes.</w:t>
      </w:r>
    </w:p>
    <w:p>
      <w:pPr>
        <w:pStyle w:val="BodyText"/>
      </w:pPr>
      <w:r>
        <w:rPr>
          <w:b/>
          <w:bCs/>
        </w:rPr>
        <w:t xml:space="preserve">Output:</w:t>
      </w:r>
      <w:r>
        <w:t xml:space="preserve"> </w:t>
      </w:r>
      <w:r>
        <w:t xml:space="preserve">Formatted letter as</w:t>
      </w:r>
      <w:r>
        <w:t xml:space="preserve"> </w:t>
      </w:r>
      <w:r>
        <w:rPr>
          <w:rStyle w:val="VerbatimChar"/>
        </w:rPr>
        <w:t xml:space="preserve">.docx</w:t>
      </w:r>
      <w:r>
        <w:t xml:space="preserve"> </w:t>
      </w:r>
      <w:r>
        <w:t xml:space="preserve">using the attorney profile from Settings (name, firm, registration number, phone, email).</w:t>
      </w:r>
    </w:p>
    <w:p>
      <w:r>
        <w:pict>
          <v:rect style="width:0;height:1.5pt" o:hralign="center" o:hrstd="t" o:hr="t"/>
        </w:pict>
      </w:r>
    </w:p>
    <w:bookmarkEnd w:id="31"/>
    <w:bookmarkEnd w:id="32"/>
    <w:bookmarkStart w:id="36" w:name="review-tools"/>
    <w:p>
      <w:pPr>
        <w:pStyle w:val="Heading2"/>
      </w:pPr>
      <w:r>
        <w:t xml:space="preserve">6. Review Tools</w:t>
      </w:r>
    </w:p>
    <w:bookmarkStart w:id="33" w:name="quality-review-ocqr"/>
    <w:p>
      <w:pPr>
        <w:pStyle w:val="Heading3"/>
      </w:pPr>
      <w:r>
        <w:t xml:space="preserve">6.1 Quality Review (OCQR)</w:t>
      </w:r>
    </w:p>
    <w:p>
      <w:pPr>
        <w:pStyle w:val="FirstParagraph"/>
      </w:pPr>
      <w:r>
        <w:rPr>
          <w:b/>
          <w:bCs/>
        </w:rPr>
        <w:t xml:space="preserve">Route:</w:t>
      </w:r>
      <w:r>
        <w:t xml:space="preserve"> </w:t>
      </w:r>
      <w:r>
        <w:rPr>
          <w:rStyle w:val="VerbatimChar"/>
        </w:rPr>
        <w:t xml:space="preserve">/ocqr</w:t>
      </w:r>
    </w:p>
    <w:p>
      <w:pPr>
        <w:pStyle w:val="BodyText"/>
      </w:pPr>
      <w:r>
        <w:rPr>
          <w:b/>
          <w:bCs/>
        </w:rPr>
        <w:t xml:space="preserve">Purpose:</w:t>
      </w:r>
      <w:r>
        <w:t xml:space="preserve"> </w:t>
      </w:r>
      <w:r>
        <w:t xml:space="preserve">Automated claim quality review — identifies antecedent basis errors, 112(b) indefiniteness risks, claim dependency problems, and scope issues before filing. Also runs inline during OA Response and Patent Application Generator.</w:t>
      </w:r>
    </w:p>
    <w:p>
      <w:pPr>
        <w:pStyle w:val="BodyText"/>
      </w:pPr>
      <w:r>
        <w:rPr>
          <w:b/>
          <w:bCs/>
        </w:rPr>
        <w:t xml:space="preserve">Inputs:</w:t>
      </w:r>
      <w:r>
        <w:t xml:space="preserve"> </w:t>
      </w:r>
      <w:r>
        <w:t xml:space="preserve">- Claim set (paste or upload)</w:t>
      </w:r>
      <w:r>
        <w:t xml:space="preserve"> </w:t>
      </w:r>
      <w:r>
        <w:t xml:space="preserve">- Optional: specification text (for 112(a) written description checks)</w:t>
      </w:r>
      <w:r>
        <w:t xml:space="preserve"> </w:t>
      </w:r>
      <w:r>
        <w:t xml:space="preserve">- Client (for corpus context)</w:t>
      </w:r>
    </w:p>
    <w:p>
      <w:pPr>
        <w:pStyle w:val="BodyText"/>
      </w:pPr>
      <w:r>
        <w:rPr>
          <w:b/>
          <w:bCs/>
        </w:rPr>
        <w:t xml:space="preserve">Check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What it catches</w:t>
            </w:r>
          </w:p>
        </w:tc>
      </w:tr>
      <w:tr>
        <w:tc>
          <w:tcPr/>
          <w:p>
            <w:pPr>
              <w:pStyle w:val="Compact"/>
            </w:pPr>
            <w:r>
              <w:t xml:space="preserve">Critical</w:t>
            </w:r>
          </w:p>
        </w:tc>
        <w:tc>
          <w:tcPr/>
          <w:p>
            <w:pPr>
              <w:pStyle w:val="Compact"/>
            </w:pPr>
            <w:r>
              <w:t xml:space="preserve">Unclaimed antecedent basis, improper dependency structure, circular dependencies</w:t>
            </w:r>
          </w:p>
        </w:tc>
      </w:tr>
      <w:tr>
        <w:tc>
          <w:tcPr/>
          <w:p>
            <w:pPr>
              <w:pStyle w:val="Compact"/>
            </w:pPr>
            <w:r>
              <w:t xml:space="preserve">Scope</w:t>
            </w:r>
          </w:p>
        </w:tc>
        <w:tc>
          <w:tcPr/>
          <w:p>
            <w:pPr>
              <w:pStyle w:val="Compact"/>
            </w:pPr>
            <w:r>
              <w:t xml:space="preserve">Means-plus-function without corresponding structure, relative terms without definition, open/closed claim transitional issues</w:t>
            </w:r>
          </w:p>
        </w:tc>
      </w:tr>
      <w:tr>
        <w:tc>
          <w:tcPr/>
          <w:p>
            <w:pPr>
              <w:pStyle w:val="Compact"/>
            </w:pPr>
            <w:r>
              <w:t xml:space="preserve">Advisory</w:t>
            </w:r>
          </w:p>
        </w:tc>
        <w:tc>
          <w:tcPr/>
          <w:p>
            <w:pPr>
              <w:pStyle w:val="Compact"/>
            </w:pPr>
            <w:r>
              <w:t xml:space="preserve">Consistency with specification terminology, redundant claim elements, formatting deviations</w:t>
            </w:r>
          </w:p>
        </w:tc>
      </w:tr>
    </w:tbl>
    <w:p>
      <w:pPr>
        <w:pStyle w:val="BodyText"/>
      </w:pPr>
      <w:r>
        <w:rPr>
          <w:b/>
          <w:bCs/>
        </w:rPr>
        <w:t xml:space="preserve">AI Checks:</w:t>
      </w:r>
      <w:r>
        <w:t xml:space="preserve"> </w:t>
      </w:r>
      <w:r>
        <w:t xml:space="preserve">In addition to rule-based checks, an optional AI analysis pass runs each claim through Claude for more nuanced 112 and claim scope issues that rules cannot catch.</w:t>
      </w:r>
    </w:p>
    <w:p>
      <w:pPr>
        <w:pStyle w:val="BodyText"/>
      </w:pPr>
      <w:r>
        <w:rPr>
          <w:b/>
          <w:bCs/>
        </w:rPr>
        <w:t xml:space="preserve">Issue cards:</w:t>
      </w:r>
      <w:r>
        <w:t xml:space="preserve"> </w:t>
      </w:r>
      <w:r>
        <w:t xml:space="preserve">Each identified issue is displayed as a color-coded card (red = critical, amber = scope, green = advisory) with a description, location reference, and suggested fix.</w:t>
      </w:r>
    </w:p>
    <w:p>
      <w:pPr>
        <w:pStyle w:val="BodyText"/>
      </w:pPr>
      <w:r>
        <w:rPr>
          <w:b/>
          <w:bCs/>
        </w:rPr>
        <w:t xml:space="preserve">Output:</w:t>
      </w:r>
      <w:r>
        <w:t xml:space="preserve"> </w:t>
      </w:r>
      <w:r>
        <w:t xml:space="preserve">The check runs inline — there is no separate download. Review issues in the panel and address them in your claim text before proceeding.</w:t>
      </w:r>
    </w:p>
    <w:p>
      <w:pPr>
        <w:pStyle w:val="BodyText"/>
      </w:pPr>
      <w:r>
        <w:rPr>
          <w:b/>
          <w:bCs/>
        </w:rPr>
        <w:t xml:space="preserve">Tips for attorneys:</w:t>
      </w:r>
      <w:r>
        <w:t xml:space="preserve"> </w:t>
      </w:r>
      <w:r>
        <w:t xml:space="preserve">- Run OCQR on every claim set before filing, including amended claims. The rule-based checks catch errors that human review commonly misses after multiple rounds of amendment.</w:t>
      </w:r>
      <w:r>
        <w:t xml:space="preserve"> </w:t>
      </w:r>
      <w:r>
        <w:t xml:space="preserve">- Critical issues (red) should be resolved before filing. Scope issues (amber) require attorney judgment — not all relative terms are per se indefinite.</w:t>
      </w:r>
      <w:r>
        <w:t xml:space="preserve"> </w:t>
      </w:r>
      <w:r>
        <w:t xml:space="preserve">- The AI check pass requires the Anthropic API key and adds 30–60 seconds. For routine checks, the rule-based pass alone catches the most common filing errors.</w:t>
      </w:r>
    </w:p>
    <w:p>
      <w:r>
        <w:pict>
          <v:rect style="width:0;height:1.5pt" o:hralign="center" o:hrstd="t" o:hr="t"/>
        </w:pict>
      </w:r>
    </w:p>
    <w:bookmarkEnd w:id="33"/>
    <w:bookmarkStart w:id="34" w:name="in-house-counsel-review"/>
    <w:p>
      <w:pPr>
        <w:pStyle w:val="Heading3"/>
      </w:pPr>
      <w:r>
        <w:t xml:space="preserve">6.2 In-House Counsel Review</w:t>
      </w:r>
    </w:p>
    <w:p>
      <w:pPr>
        <w:pStyle w:val="FirstParagraph"/>
      </w:pPr>
      <w:r>
        <w:rPr>
          <w:b/>
          <w:bCs/>
        </w:rPr>
        <w:t xml:space="preserve">Route:</w:t>
      </w:r>
      <w:r>
        <w:t xml:space="preserve"> </w:t>
      </w:r>
      <w:r>
        <w:rPr>
          <w:rStyle w:val="VerbatimChar"/>
        </w:rPr>
        <w:t xml:space="preserve">/inhouse-review</w:t>
      </w:r>
    </w:p>
    <w:p>
      <w:pPr>
        <w:pStyle w:val="BodyText"/>
      </w:pPr>
      <w:r>
        <w:rPr>
          <w:b/>
          <w:bCs/>
        </w:rPr>
        <w:t xml:space="preserve">Purpose:</w:t>
      </w:r>
      <w:r>
        <w:t xml:space="preserve"> </w:t>
      </w:r>
      <w:r>
        <w:t xml:space="preserve">A structured matter review console for in-house patent counsel evaluating prosecution matters. Three view modes: Queue (list of all matters), Split (list + detail panel), and Focus (single matter, full detail).</w:t>
      </w:r>
    </w:p>
    <w:p>
      <w:pPr>
        <w:pStyle w:val="BodyText"/>
      </w:pPr>
      <w:r>
        <w:rPr>
          <w:b/>
          <w:bCs/>
        </w:rPr>
        <w:t xml:space="preserve">Purpose context:</w:t>
      </w:r>
      <w:r>
        <w:t xml:space="preserve"> </w:t>
      </w:r>
      <w:r>
        <w:t xml:space="preserve">This tool is designed for in-house IP departments or outside counsel providing periodic portfolio status reviews to clients. It is not a docketing system.</w:t>
      </w:r>
    </w:p>
    <w:p>
      <w:pPr>
        <w:pStyle w:val="BodyText"/>
      </w:pPr>
      <w:r>
        <w:rPr>
          <w:b/>
          <w:bCs/>
        </w:rPr>
        <w:t xml:space="preserve">Workflow:</w:t>
      </w:r>
      <w:r>
        <w:t xml:space="preserve"> </w:t>
      </w:r>
      <w:r>
        <w:t xml:space="preserve">1. Load a matter via the intake flow — enter the application number or upload documents.</w:t>
      </w:r>
      <w:r>
        <w:t xml:space="preserve"> </w:t>
      </w:r>
      <w:r>
        <w:t xml:space="preserve">2. Priori auto-populates matter data from IFW (if ODP key is configured) and document parsing.</w:t>
      </w:r>
      <w:r>
        <w:t xml:space="preserve"> </w:t>
      </w:r>
      <w:r>
        <w:t xml:space="preserve">3. The review panel displays:</w:t>
      </w:r>
      <w:r>
        <w:t xml:space="preserve"> </w:t>
      </w:r>
      <w:r>
        <w:t xml:space="preserve">- Prosecution position assessment (Claude: contested / favorable / allowable)</w:t>
      </w:r>
      <w:r>
        <w:t xml:space="preserve"> </w:t>
      </w:r>
      <w:r>
        <w:t xml:space="preserve">- Value alignment analysis — does the pending claim scope align with the commercial product?</w:t>
      </w:r>
      <w:r>
        <w:t xml:space="preserve"> </w:t>
      </w:r>
      <w:r>
        <w:t xml:space="preserve">- Cost-to-allowance estimate (immediate and lifecycle)</w:t>
      </w:r>
      <w:r>
        <w:t xml:space="preserve"> </w:t>
      </w:r>
      <w:r>
        <w:t xml:space="preserve">- Recommended action</w:t>
      </w:r>
      <w:r>
        <w:t xml:space="preserve"> </w:t>
      </w:r>
      <w:r>
        <w:t xml:space="preserve">4. Reviewed matters are saved to the Portfolio Dashboard.</w:t>
      </w:r>
    </w:p>
    <w:p>
      <w:pPr>
        <w:pStyle w:val="BodyText"/>
      </w:pPr>
      <w:r>
        <w:rPr>
          <w:b/>
          <w:bCs/>
        </w:rPr>
        <w:t xml:space="preserve">Tips for attorneys:</w:t>
      </w:r>
      <w:r>
        <w:t xml:space="preserve"> </w:t>
      </w:r>
      <w:r>
        <w:t xml:space="preserve">- The prosecution position and value alignment assessments are AI-generated preliminary evaluations. They should be used as review starting points, not final opinions.</w:t>
      </w:r>
      <w:r>
        <w:t xml:space="preserve"> </w:t>
      </w:r>
      <w:r>
        <w:t xml:space="preserve">- The</w:t>
      </w:r>
      <w:r>
        <w:t xml:space="preserve"> </w:t>
      </w:r>
      <w:r>
        <w:t xml:space="preserve">“verdict”</w:t>
      </w:r>
      <w:r>
        <w:t xml:space="preserve"> </w:t>
      </w:r>
      <w:r>
        <w:t xml:space="preserve">field in the review panel is for internal triage purposes only. It should not be shared directly with clients or reproduced in external documents.</w:t>
      </w:r>
    </w:p>
    <w:p>
      <w:r>
        <w:pict>
          <v:rect style="width:0;height:1.5pt" o:hralign="center" o:hrstd="t" o:hr="t"/>
        </w:pict>
      </w:r>
    </w:p>
    <w:bookmarkEnd w:id="34"/>
    <w:bookmarkStart w:id="35" w:name="inventor-review"/>
    <w:p>
      <w:pPr>
        <w:pStyle w:val="Heading3"/>
      </w:pPr>
      <w:r>
        <w:t xml:space="preserve">6.3 Inventor Review</w:t>
      </w:r>
    </w:p>
    <w:p>
      <w:pPr>
        <w:pStyle w:val="FirstParagraph"/>
      </w:pPr>
      <w:r>
        <w:rPr>
          <w:b/>
          <w:bCs/>
        </w:rPr>
        <w:t xml:space="preserve">Route:</w:t>
      </w:r>
      <w:r>
        <w:t xml:space="preserve"> </w:t>
      </w:r>
      <w:r>
        <w:rPr>
          <w:rStyle w:val="VerbatimChar"/>
        </w:rPr>
        <w:t xml:space="preserve">/inventor-review</w:t>
      </w:r>
    </w:p>
    <w:p>
      <w:pPr>
        <w:pStyle w:val="BodyText"/>
      </w:pPr>
      <w:r>
        <w:rPr>
          <w:b/>
          <w:bCs/>
        </w:rPr>
        <w:t xml:space="preserve">Purpose:</w:t>
      </w:r>
      <w:r>
        <w:t xml:space="preserve"> </w:t>
      </w:r>
      <w:r>
        <w:t xml:space="preserve">Generate plain-language inventor review packages — claim translations and OA response summaries suitable for inventor confirmation under AIA § 115 and best-mode obligations.</w:t>
      </w:r>
    </w:p>
    <w:p>
      <w:pPr>
        <w:pStyle w:val="BodyText"/>
      </w:pPr>
      <w:r>
        <w:rPr>
          <w:b/>
          <w:bCs/>
        </w:rPr>
        <w:t xml:space="preserve">Two modes:</w:t>
      </w:r>
    </w:p>
    <w:p>
      <w:pPr>
        <w:pStyle w:val="Compact"/>
        <w:numPr>
          <w:ilvl w:val="0"/>
          <w:numId w:val="1012"/>
        </w:numPr>
      </w:pPr>
      <w:r>
        <w:rPr>
          <w:b/>
          <w:bCs/>
        </w:rPr>
        <w:t xml:space="preserve">Application Review:</w:t>
      </w:r>
      <w:r>
        <w:t xml:space="preserve"> </w:t>
      </w:r>
      <w:r>
        <w:t xml:space="preserve">Translates patent claims into plain language, identifies key claim elements, and cross-validates the disclosure against the claims. Confirms that all claimed elements appear in the specification.</w:t>
      </w:r>
    </w:p>
    <w:p>
      <w:pPr>
        <w:pStyle w:val="Compact"/>
        <w:numPr>
          <w:ilvl w:val="0"/>
          <w:numId w:val="1012"/>
        </w:numPr>
      </w:pPr>
      <w:r>
        <w:rPr>
          <w:b/>
          <w:bCs/>
        </w:rPr>
        <w:t xml:space="preserve">Response Review:</w:t>
      </w:r>
      <w:r>
        <w:t xml:space="preserve"> </w:t>
      </w:r>
      <w:r>
        <w:t xml:space="preserve">Plain-language summary of an Office Action and the proposed response for inventor review before filing.</w:t>
      </w:r>
    </w:p>
    <w:p>
      <w:pPr>
        <w:pStyle w:val="FirstParagraph"/>
      </w:pPr>
      <w:r>
        <w:rPr>
          <w:b/>
          <w:bCs/>
        </w:rPr>
        <w:t xml:space="preserve">Output:</w:t>
      </w:r>
      <w:r>
        <w:t xml:space="preserve"> </w:t>
      </w:r>
      <w:r>
        <w:t xml:space="preserve">DOCX download marked</w:t>
      </w:r>
      <w:r>
        <w:t xml:space="preserve"> </w:t>
      </w:r>
      <w:r>
        <w:t xml:space="preserve">“CONFIDENTIAL — Prepared for inventor review. Not for filing.”</w:t>
      </w:r>
      <w:r>
        <w:t xml:space="preserve"> </w:t>
      </w:r>
      <w:r>
        <w:t xml:space="preserve">The document uses the client’s technical terminology rather than legal jargon where possible.</w:t>
      </w:r>
    </w:p>
    <w:p>
      <w:pPr>
        <w:pStyle w:val="BodyText"/>
      </w:pPr>
      <w:r>
        <w:rPr>
          <w:b/>
          <w:bCs/>
        </w:rPr>
        <w:t xml:space="preserve">Tips for attorneys:</w:t>
      </w:r>
      <w:r>
        <w:t xml:space="preserve"> </w:t>
      </w:r>
      <w:r>
        <w:t xml:space="preserve">- Use the Application Review mode to generate the inventor review package required for AIA declarations. The plain-language claim translations provide a useful check that inventors understand what they are certifying.</w:t>
      </w:r>
      <w:r>
        <w:t xml:space="preserve"> </w:t>
      </w:r>
      <w:r>
        <w:t xml:space="preserve">- Review the plain-language output for accuracy before sending to inventors. Technical simplification can occasionally introduce ambiguity.</w:t>
      </w:r>
    </w:p>
    <w:p>
      <w:r>
        <w:pict>
          <v:rect style="width:0;height:1.5pt" o:hralign="center" o:hrstd="t" o:hr="t"/>
        </w:pict>
      </w:r>
    </w:p>
    <w:bookmarkEnd w:id="35"/>
    <w:bookmarkEnd w:id="36"/>
    <w:bookmarkStart w:id="46" w:name="analysis-tools"/>
    <w:p>
      <w:pPr>
        <w:pStyle w:val="Heading2"/>
      </w:pPr>
      <w:r>
        <w:t xml:space="preserve">7. Analysis Tools</w:t>
      </w:r>
    </w:p>
    <w:bookmarkStart w:id="37" w:name="ai-patent-assistant"/>
    <w:p>
      <w:pPr>
        <w:pStyle w:val="Heading3"/>
      </w:pPr>
      <w:r>
        <w:t xml:space="preserve">7.1 AI Patent Assistant</w:t>
      </w:r>
    </w:p>
    <w:p>
      <w:pPr>
        <w:pStyle w:val="FirstParagraph"/>
      </w:pPr>
      <w:r>
        <w:rPr>
          <w:b/>
          <w:bCs/>
        </w:rPr>
        <w:t xml:space="preserve">Route:</w:t>
      </w:r>
      <w:r>
        <w:t xml:space="preserve"> </w:t>
      </w:r>
      <w:r>
        <w:rPr>
          <w:rStyle w:val="VerbatimChar"/>
        </w:rPr>
        <w:t xml:space="preserve">/ai-assistant</w:t>
      </w:r>
    </w:p>
    <w:p>
      <w:pPr>
        <w:pStyle w:val="BodyText"/>
      </w:pPr>
      <w:r>
        <w:rPr>
          <w:b/>
          <w:bCs/>
        </w:rPr>
        <w:t xml:space="preserve">Purpose:</w:t>
      </w:r>
      <w:r>
        <w:t xml:space="preserve"> </w:t>
      </w:r>
      <w:r>
        <w:t xml:space="preserve">A general-purpose patent law AI assistant for open-ended questions — case law research, claim drafting strategy, prosecution strategy, and analytical tasks that do not fit other tools.</w:t>
      </w:r>
    </w:p>
    <w:p>
      <w:pPr>
        <w:pStyle w:val="BodyText"/>
      </w:pPr>
      <w:r>
        <w:rPr>
          <w:b/>
          <w:bCs/>
        </w:rPr>
        <w:t xml:space="preserve">Inputs:</w:t>
      </w:r>
      <w:r>
        <w:t xml:space="preserve"> </w:t>
      </w:r>
      <w:r>
        <w:t xml:space="preserve">Natural language question or task description. Optionally attach documents for context.</w:t>
      </w:r>
    </w:p>
    <w:p>
      <w:pPr>
        <w:pStyle w:val="BodyText"/>
      </w:pPr>
      <w:r>
        <w:rPr>
          <w:b/>
          <w:bCs/>
        </w:rPr>
        <w:t xml:space="preserve">AI process:</w:t>
      </w:r>
      <w:r>
        <w:t xml:space="preserve"> </w:t>
      </w:r>
      <w:r>
        <w:t xml:space="preserve">Powered by Claude using your configured system prompt (see Prompt Manager, Section 8.6). The assistant uses patent-law-specific framing and flags conclusions requiring attorney review.</w:t>
      </w:r>
    </w:p>
    <w:p>
      <w:pPr>
        <w:pStyle w:val="BodyText"/>
      </w:pPr>
      <w:r>
        <w:rPr>
          <w:b/>
          <w:bCs/>
        </w:rPr>
        <w:t xml:space="preserve">Tips for attorneys:</w:t>
      </w:r>
      <w:r>
        <w:t xml:space="preserve"> </w:t>
      </w:r>
      <w:r>
        <w:t xml:space="preserve">- The AI Assistant does not have access to live legal databases (Westlaw, LexisNexis). Do not rely on it for current case law citations without verification.</w:t>
      </w:r>
      <w:r>
        <w:t xml:space="preserve"> </w:t>
      </w:r>
      <w:r>
        <w:t xml:space="preserve">- Use Prompt Manager (Section 8.6) to customize the system prompt for specific use patterns (e.g., claim drafting mode vs. litigation support mode).</w:t>
      </w:r>
    </w:p>
    <w:p>
      <w:r>
        <w:pict>
          <v:rect style="width:0;height:1.5pt" o:hralign="center" o:hrstd="t" o:hr="t"/>
        </w:pict>
      </w:r>
    </w:p>
    <w:bookmarkEnd w:id="37"/>
    <w:bookmarkStart w:id="38" w:name="claim-construction"/>
    <w:p>
      <w:pPr>
        <w:pStyle w:val="Heading3"/>
      </w:pPr>
      <w:r>
        <w:t xml:space="preserve">7.2 Claim Construction</w:t>
      </w:r>
    </w:p>
    <w:p>
      <w:pPr>
        <w:pStyle w:val="FirstParagraph"/>
      </w:pPr>
      <w:r>
        <w:rPr>
          <w:b/>
          <w:bCs/>
        </w:rPr>
        <w:t xml:space="preserve">Route:</w:t>
      </w:r>
      <w:r>
        <w:t xml:space="preserve"> </w:t>
      </w:r>
      <w:r>
        <w:rPr>
          <w:rStyle w:val="VerbatimChar"/>
        </w:rPr>
        <w:t xml:space="preserve">/claim-construction</w:t>
      </w:r>
    </w:p>
    <w:p>
      <w:pPr>
        <w:pStyle w:val="BodyText"/>
      </w:pPr>
      <w:r>
        <w:rPr>
          <w:b/>
          <w:bCs/>
        </w:rPr>
        <w:t xml:space="preserve">Purpose:</w:t>
      </w:r>
      <w:r>
        <w:t xml:space="preserve"> </w:t>
      </w:r>
      <w:r>
        <w:t xml:space="preserve">Plain-and-ordinary-meaning analysis for disputed claim terms. Identifies intrinsic record evidence and characterizes the scope of disputed terms.</w:t>
      </w:r>
    </w:p>
    <w:p>
      <w:pPr>
        <w:pStyle w:val="BodyText"/>
      </w:pPr>
      <w:r>
        <w:rPr>
          <w:b/>
          <w:bCs/>
        </w:rPr>
        <w:t xml:space="preserve">Inputs:</w:t>
      </w:r>
      <w:r>
        <w:t xml:space="preserve"> </w:t>
      </w:r>
      <w:r>
        <w:t xml:space="preserve">- Patent number(s) to analyze</w:t>
      </w:r>
      <w:r>
        <w:t xml:space="preserve"> </w:t>
      </w:r>
      <w:r>
        <w:t xml:space="preserve">- Specific claims to focus on</w:t>
      </w:r>
      <w:r>
        <w:t xml:space="preserve"> </w:t>
      </w:r>
      <w:r>
        <w:t xml:space="preserve">- Disputed term(s) (one per line)</w:t>
      </w:r>
      <w:r>
        <w:t xml:space="preserve"> </w:t>
      </w:r>
      <w:r>
        <w:t xml:space="preserve">- Optional: prosecution history or specification excerpts</w:t>
      </w:r>
    </w:p>
    <w:p>
      <w:pPr>
        <w:pStyle w:val="BodyText"/>
      </w:pPr>
      <w:r>
        <w:rPr>
          <w:b/>
          <w:bCs/>
        </w:rPr>
        <w:t xml:space="preserve">AI process:</w:t>
      </w:r>
      <w:r>
        <w:t xml:space="preserve"> </w:t>
      </w:r>
      <w:r>
        <w:t xml:space="preserve">Claude analyzes each disputed term against the claim language, specification, and prosecution history. Output includes:</w:t>
      </w:r>
      <w:r>
        <w:t xml:space="preserve"> </w:t>
      </w:r>
      <w:r>
        <w:t xml:space="preserve">- Plain and ordinary meaning determination</w:t>
      </w:r>
      <w:r>
        <w:t xml:space="preserve"> </w:t>
      </w:r>
      <w:r>
        <w:t xml:space="preserve">- Intrinsic record support</w:t>
      </w:r>
      <w:r>
        <w:t xml:space="preserve"> </w:t>
      </w:r>
      <w:r>
        <w:t xml:space="preserve">- Potential prosecution history estoppel issues</w:t>
      </w:r>
      <w:r>
        <w:t xml:space="preserve"> </w:t>
      </w:r>
      <w:r>
        <w:t xml:space="preserve">- IPR / litigation construction risks</w:t>
      </w:r>
      <w:r>
        <w:t xml:space="preserve"> </w:t>
      </w:r>
      <w:r>
        <w:t xml:space="preserve">- Comparison across dependent claims that narrow the term</w:t>
      </w:r>
    </w:p>
    <w:p>
      <w:pPr>
        <w:pStyle w:val="BodyText"/>
      </w:pPr>
      <w:r>
        <w:rPr>
          <w:b/>
          <w:bCs/>
        </w:rPr>
        <w:t xml:space="preserve">Output:</w:t>
      </w:r>
      <w:r>
        <w:t xml:space="preserve"> </w:t>
      </w:r>
      <w:r>
        <w:t xml:space="preserve">Streamed markdown analysis. Download as</w:t>
      </w:r>
      <w:r>
        <w:t xml:space="preserve"> </w:t>
      </w:r>
      <w:r>
        <w:rPr>
          <w:rStyle w:val="VerbatimChar"/>
        </w:rPr>
        <w:t xml:space="preserve">.md</w:t>
      </w:r>
      <w:r>
        <w:t xml:space="preserve">.</w:t>
      </w:r>
    </w:p>
    <w:p>
      <w:pPr>
        <w:pStyle w:val="BodyText"/>
      </w:pPr>
      <w:r>
        <w:rPr>
          <w:b/>
          <w:bCs/>
        </w:rPr>
        <w:t xml:space="preserve">Tips for attorneys:</w:t>
      </w:r>
      <w:r>
        <w:t xml:space="preserve"> </w:t>
      </w:r>
      <w:r>
        <w:t xml:space="preserve">- Provide the prosecution history file (IFW) or relevant excerpts for terms that were argued or amended during prosecution. Prosecution history estoppel significantly affects the construction analysis.</w:t>
      </w:r>
      <w:r>
        <w:t xml:space="preserve"> </w:t>
      </w:r>
      <w:r>
        <w:t xml:space="preserve">- For litigation use, claim construction analysis must be independently verified. The AI does not have access to the full prosecution history unless you upload it.</w:t>
      </w:r>
    </w:p>
    <w:p>
      <w:r>
        <w:pict>
          <v:rect style="width:0;height:1.5pt" o:hralign="center" o:hrstd="t" o:hr="t"/>
        </w:pict>
      </w:r>
    </w:p>
    <w:bookmarkEnd w:id="38"/>
    <w:bookmarkStart w:id="39" w:name="infringement-analysis"/>
    <w:p>
      <w:pPr>
        <w:pStyle w:val="Heading3"/>
      </w:pPr>
      <w:r>
        <w:t xml:space="preserve">7.3 Infringement Analysis</w:t>
      </w:r>
    </w:p>
    <w:p>
      <w:pPr>
        <w:pStyle w:val="FirstParagraph"/>
      </w:pPr>
      <w:r>
        <w:rPr>
          <w:b/>
          <w:bCs/>
        </w:rPr>
        <w:t xml:space="preserve">Route:</w:t>
      </w:r>
      <w:r>
        <w:t xml:space="preserve"> </w:t>
      </w:r>
      <w:r>
        <w:rPr>
          <w:rStyle w:val="VerbatimChar"/>
        </w:rPr>
        <w:t xml:space="preserve">/infringement</w:t>
      </w:r>
    </w:p>
    <w:p>
      <w:pPr>
        <w:pStyle w:val="BodyText"/>
      </w:pPr>
      <w:r>
        <w:rPr>
          <w:b/>
          <w:bCs/>
        </w:rPr>
        <w:t xml:space="preserve">Purpose:</w:t>
      </w:r>
      <w:r>
        <w:t xml:space="preserve"> </w:t>
      </w:r>
      <w:r>
        <w:t xml:space="preserve">Element-by-element infringement analysis of an accused product against patent claims. Generates a preliminary infringement contentions structure.</w:t>
      </w:r>
    </w:p>
    <w:p>
      <w:pPr>
        <w:pStyle w:val="BodyText"/>
      </w:pPr>
      <w:r>
        <w:rPr>
          <w:b/>
          <w:bCs/>
        </w:rPr>
        <w:t xml:space="preserve">Inputs:</w:t>
      </w:r>
      <w:r>
        <w:t xml:space="preserve"> </w:t>
      </w:r>
      <w:r>
        <w:t xml:space="preserve">- Patent(s) to analyze</w:t>
      </w:r>
      <w:r>
        <w:t xml:space="preserve"> </w:t>
      </w:r>
      <w:r>
        <w:t xml:space="preserve">- Claims to focus on</w:t>
      </w:r>
      <w:r>
        <w:t xml:space="preserve"> </w:t>
      </w:r>
      <w:r>
        <w:t xml:space="preserve">- Accused product description</w:t>
      </w:r>
      <w:r>
        <w:t xml:space="preserve"> </w:t>
      </w:r>
      <w:r>
        <w:t xml:space="preserve">- Optional: product documentation, technical specifications (upload)</w:t>
      </w:r>
      <w:r>
        <w:t xml:space="preserve"> </w:t>
      </w:r>
      <w:r>
        <w:t xml:space="preserve">- Analysis depth selector</w:t>
      </w:r>
    </w:p>
    <w:p>
      <w:pPr>
        <w:pStyle w:val="BodyText"/>
      </w:pPr>
      <w:r>
        <w:rPr>
          <w:b/>
          <w:bCs/>
        </w:rPr>
        <w:t xml:space="preserve">AI process:</w:t>
      </w:r>
      <w:r>
        <w:t xml:space="preserve"> </w:t>
      </w:r>
      <w:r>
        <w:t xml:space="preserve">Claude maps each limitation of the specified claims against the accused product description element by element. For each limitation, the analysis identifies:</w:t>
      </w:r>
      <w:r>
        <w:t xml:space="preserve"> </w:t>
      </w:r>
      <w:r>
        <w:t xml:space="preserve">- Whether the limitation reads on the product (literal or doctrine of equivalents)</w:t>
      </w:r>
      <w:r>
        <w:t xml:space="preserve"> </w:t>
      </w:r>
      <w:r>
        <w:t xml:space="preserve">- The product feature that satisfies the limitation</w:t>
      </w:r>
      <w:r>
        <w:t xml:space="preserve"> </w:t>
      </w:r>
      <w:r>
        <w:t xml:space="preserve">- Gaps or elements requiring further investigation</w:t>
      </w:r>
    </w:p>
    <w:p>
      <w:pPr>
        <w:pStyle w:val="BodyText"/>
      </w:pPr>
      <w:r>
        <w:rPr>
          <w:b/>
          <w:bCs/>
        </w:rPr>
        <w:t xml:space="preserve">Output:</w:t>
      </w:r>
      <w:r>
        <w:t xml:space="preserve"> </w:t>
      </w:r>
      <w:r>
        <w:t xml:space="preserve">Streamed markdown analysis.</w:t>
      </w:r>
    </w:p>
    <w:p>
      <w:pPr>
        <w:pStyle w:val="BodyText"/>
      </w:pPr>
      <w:r>
        <w:rPr>
          <w:b/>
          <w:bCs/>
        </w:rPr>
        <w:t xml:space="preserve">Tips for attorneys:</w:t>
      </w:r>
      <w:r>
        <w:t xml:space="preserve"> </w:t>
      </w:r>
      <w:r>
        <w:t xml:space="preserve">- This tool generates a preliminary analysis structure, not a final infringement opinion. Reverse engineering data, product tear-downs, or technical expert review are generally necessary before serving infringement contentions.</w:t>
      </w:r>
      <w:r>
        <w:t xml:space="preserve"> </w:t>
      </w:r>
      <w:r>
        <w:t xml:space="preserve">- For literal infringement analysis, the quality of the output is proportional to the quality of the accused product description. Technical specifications, data sheets, and published product descriptions produce better output than marketing material.</w:t>
      </w:r>
    </w:p>
    <w:p>
      <w:r>
        <w:pict>
          <v:rect style="width:0;height:1.5pt" o:hralign="center" o:hrstd="t" o:hr="t"/>
        </w:pict>
      </w:r>
    </w:p>
    <w:bookmarkEnd w:id="39"/>
    <w:bookmarkStart w:id="40" w:name="claim-element-analysis"/>
    <w:p>
      <w:pPr>
        <w:pStyle w:val="Heading3"/>
      </w:pPr>
      <w:r>
        <w:t xml:space="preserve">7.4 Claim Element Analysis</w:t>
      </w:r>
    </w:p>
    <w:p>
      <w:pPr>
        <w:pStyle w:val="FirstParagraph"/>
      </w:pPr>
      <w:r>
        <w:rPr>
          <w:b/>
          <w:bCs/>
        </w:rPr>
        <w:t xml:space="preserve">Route:</w:t>
      </w:r>
      <w:r>
        <w:t xml:space="preserve"> </w:t>
      </w:r>
      <w:r>
        <w:rPr>
          <w:rStyle w:val="VerbatimChar"/>
        </w:rPr>
        <w:t xml:space="preserve">/claim-element</w:t>
      </w:r>
    </w:p>
    <w:p>
      <w:pPr>
        <w:pStyle w:val="BodyText"/>
      </w:pPr>
      <w:r>
        <w:rPr>
          <w:b/>
          <w:bCs/>
        </w:rPr>
        <w:t xml:space="preserve">Purpose:</w:t>
      </w:r>
      <w:r>
        <w:t xml:space="preserve"> </w:t>
      </w:r>
      <w:r>
        <w:t xml:space="preserve">Granular analysis of individual claim elements — prior art support, claim breadth, 112 support, and amendment options for a single limitation.</w:t>
      </w:r>
    </w:p>
    <w:p>
      <w:pPr>
        <w:pStyle w:val="BodyText"/>
      </w:pPr>
      <w:r>
        <w:rPr>
          <w:b/>
          <w:bCs/>
        </w:rPr>
        <w:t xml:space="preserve">Inputs:</w:t>
      </w:r>
      <w:r>
        <w:t xml:space="preserve"> </w:t>
      </w:r>
      <w:r>
        <w:t xml:space="preserve">Claim element text, specification excerpts, prior art excerpts.</w:t>
      </w:r>
    </w:p>
    <w:p>
      <w:pPr>
        <w:pStyle w:val="BodyText"/>
      </w:pPr>
      <w:r>
        <w:rPr>
          <w:b/>
          <w:bCs/>
        </w:rPr>
        <w:t xml:space="preserve">AI process:</w:t>
      </w:r>
      <w:r>
        <w:t xml:space="preserve"> </w:t>
      </w:r>
      <w:r>
        <w:t xml:space="preserve">Claude analyzes the claim element in isolation and returns:</w:t>
      </w:r>
      <w:r>
        <w:t xml:space="preserve"> </w:t>
      </w:r>
      <w:r>
        <w:t xml:space="preserve">- Claim scope characterization</w:t>
      </w:r>
      <w:r>
        <w:t xml:space="preserve"> </w:t>
      </w:r>
      <w:r>
        <w:t xml:space="preserve">- 112(a) written description assessment</w:t>
      </w:r>
      <w:r>
        <w:t xml:space="preserve"> </w:t>
      </w:r>
      <w:r>
        <w:t xml:space="preserve">- 112(b) definiteness assessment</w:t>
      </w:r>
      <w:r>
        <w:t xml:space="preserve"> </w:t>
      </w:r>
      <w:r>
        <w:t xml:space="preserve">- Prior art mapping for the specific element</w:t>
      </w:r>
      <w:r>
        <w:t xml:space="preserve"> </w:t>
      </w:r>
      <w:r>
        <w:t xml:space="preserve">- Amendment options (narrowing and broadening)</w:t>
      </w:r>
    </w:p>
    <w:p>
      <w:r>
        <w:pict>
          <v:rect style="width:0;height:1.5pt" o:hralign="center" o:hrstd="t" o:hr="t"/>
        </w:pict>
      </w:r>
    </w:p>
    <w:bookmarkEnd w:id="40"/>
    <w:bookmarkStart w:id="41" w:name="invalidity-chart-builder"/>
    <w:p>
      <w:pPr>
        <w:pStyle w:val="Heading3"/>
      </w:pPr>
      <w:r>
        <w:t xml:space="preserve">7.5 Invalidity Chart Builder</w:t>
      </w:r>
    </w:p>
    <w:p>
      <w:pPr>
        <w:pStyle w:val="FirstParagraph"/>
      </w:pPr>
      <w:r>
        <w:rPr>
          <w:b/>
          <w:bCs/>
        </w:rPr>
        <w:t xml:space="preserve">Route:</w:t>
      </w:r>
      <w:r>
        <w:t xml:space="preserve"> </w:t>
      </w:r>
      <w:r>
        <w:rPr>
          <w:rStyle w:val="VerbatimChar"/>
        </w:rPr>
        <w:t xml:space="preserve">/invalidity-chart</w:t>
      </w:r>
    </w:p>
    <w:p>
      <w:pPr>
        <w:pStyle w:val="BodyText"/>
      </w:pPr>
      <w:r>
        <w:rPr>
          <w:b/>
          <w:bCs/>
        </w:rPr>
        <w:t xml:space="preserve">Purpose:</w:t>
      </w:r>
      <w:r>
        <w:t xml:space="preserve"> </w:t>
      </w:r>
      <w:r>
        <w:t xml:space="preserve">Generate an element-by-element invalidity chart mapping prior art references against patent claims under § 102 (anticipation) and/or § 103 (obviousness).</w:t>
      </w:r>
    </w:p>
    <w:p>
      <w:pPr>
        <w:pStyle w:val="BodyText"/>
      </w:pPr>
      <w:r>
        <w:rPr>
          <w:b/>
          <w:bCs/>
        </w:rPr>
        <w:t xml:space="preserve">Inputs:</w:t>
      </w:r>
      <w:r>
        <w:t xml:space="preserve"> </w:t>
      </w:r>
      <w:r>
        <w:t xml:space="preserve">- Patent to challenge (number or upload)</w:t>
      </w:r>
      <w:r>
        <w:t xml:space="preserve"> </w:t>
      </w:r>
      <w:r>
        <w:t xml:space="preserve">- Claims to chart</w:t>
      </w:r>
      <w:r>
        <w:t xml:space="preserve"> </w:t>
      </w:r>
      <w:r>
        <w:t xml:space="preserve">- Prior art references (patent numbers or uploaded documents)</w:t>
      </w:r>
      <w:r>
        <w:t xml:space="preserve"> </w:t>
      </w:r>
      <w:r>
        <w:t xml:space="preserve">- Theory: § 102 + § 103 (both), § 102 only, or § 103 only</w:t>
      </w:r>
    </w:p>
    <w:p>
      <w:pPr>
        <w:pStyle w:val="BodyText"/>
      </w:pPr>
      <w:r>
        <w:rPr>
          <w:b/>
          <w:bCs/>
        </w:rPr>
        <w:t xml:space="preserve">AI process:</w:t>
      </w:r>
      <w:r>
        <w:t xml:space="preserve"> </w:t>
      </w:r>
      <w:r>
        <w:t xml:space="preserve">Claude reads each prior art reference and maps its disclosure against each claim element. For § 103 combinations, Claude identifies which elements are taught by which references and explains the motivation to combine.</w:t>
      </w:r>
    </w:p>
    <w:p>
      <w:pPr>
        <w:pStyle w:val="BodyText"/>
      </w:pPr>
      <w:r>
        <w:rPr>
          <w:b/>
          <w:bCs/>
        </w:rPr>
        <w:t xml:space="preserve">Output:</w:t>
      </w:r>
      <w:r>
        <w:t xml:space="preserve"> </w:t>
      </w:r>
      <w:r>
        <w:t xml:space="preserve">Streamed chart in markdown format.</w:t>
      </w:r>
    </w:p>
    <w:p>
      <w:pPr>
        <w:pStyle w:val="BodyText"/>
      </w:pPr>
      <w:r>
        <w:rPr>
          <w:b/>
          <w:bCs/>
        </w:rPr>
        <w:t xml:space="preserve">Tips for attorneys:</w:t>
      </w:r>
      <w:r>
        <w:t xml:space="preserve"> </w:t>
      </w:r>
      <w:r>
        <w:t xml:space="preserve">- Invalidity charts generated by Priori are analytical starting points. Each citation must be verified against the actual text of the reference before use in IPR petitions, claim charts, or litigation contentions.</w:t>
      </w:r>
      <w:r>
        <w:t xml:space="preserve"> </w:t>
      </w:r>
      <w:r>
        <w:t xml:space="preserve">- For IPR petition use, the chart output should be reviewed by a technical expert to confirm that the cited passages accurately characterize the reference’s teachings.</w:t>
      </w:r>
    </w:p>
    <w:p>
      <w:r>
        <w:pict>
          <v:rect style="width:0;height:1.5pt" o:hralign="center" o:hrstd="t" o:hr="t"/>
        </w:pict>
      </w:r>
    </w:p>
    <w:bookmarkEnd w:id="41"/>
    <w:bookmarkStart w:id="42" w:name="prior-art-mapper"/>
    <w:p>
      <w:pPr>
        <w:pStyle w:val="Heading3"/>
      </w:pPr>
      <w:r>
        <w:t xml:space="preserve">7.6 Prior Art Mapper</w:t>
      </w:r>
    </w:p>
    <w:p>
      <w:pPr>
        <w:pStyle w:val="FirstParagraph"/>
      </w:pPr>
      <w:r>
        <w:rPr>
          <w:b/>
          <w:bCs/>
        </w:rPr>
        <w:t xml:space="preserve">Route:</w:t>
      </w:r>
      <w:r>
        <w:t xml:space="preserve"> </w:t>
      </w:r>
      <w:r>
        <w:rPr>
          <w:rStyle w:val="VerbatimChar"/>
        </w:rPr>
        <w:t xml:space="preserve">/prior-art-mapper</w:t>
      </w:r>
    </w:p>
    <w:p>
      <w:pPr>
        <w:pStyle w:val="BodyText"/>
      </w:pPr>
      <w:r>
        <w:rPr>
          <w:b/>
          <w:bCs/>
        </w:rPr>
        <w:t xml:space="preserve">Purpose:</w:t>
      </w:r>
      <w:r>
        <w:t xml:space="preserve"> </w:t>
      </w:r>
      <w:r>
        <w:t xml:space="preserve">Element-by-element prior art mapping — compare claim text directly against a prior art reference.</w:t>
      </w:r>
    </w:p>
    <w:p>
      <w:pPr>
        <w:pStyle w:val="BodyText"/>
      </w:pPr>
      <w:r>
        <w:rPr>
          <w:b/>
          <w:bCs/>
        </w:rPr>
        <w:t xml:space="preserve">Inputs:</w:t>
      </w:r>
      <w:r>
        <w:t xml:space="preserve"> </w:t>
      </w:r>
      <w:r>
        <w:t xml:space="preserve">- Claim text (paste)</w:t>
      </w:r>
      <w:r>
        <w:t xml:space="preserve"> </w:t>
      </w:r>
      <w:r>
        <w:t xml:space="preserve">- Prior art reference (patent number or uploaded document)</w:t>
      </w:r>
      <w:r>
        <w:t xml:space="preserve"> </w:t>
      </w:r>
      <w:r>
        <w:t xml:space="preserve">- Mapping direction: full anticipation mapping, obviousness element extraction, or both</w:t>
      </w:r>
    </w:p>
    <w:p>
      <w:pPr>
        <w:pStyle w:val="BodyText"/>
      </w:pPr>
      <w:r>
        <w:rPr>
          <w:b/>
          <w:bCs/>
        </w:rPr>
        <w:t xml:space="preserve">AI process:</w:t>
      </w:r>
      <w:r>
        <w:t xml:space="preserve"> </w:t>
      </w:r>
      <w:r>
        <w:t xml:space="preserve">Claude reads the reference and systematically maps each claim limitation against the reference’s disclosure. Each limitation receives a mapping result: found / not found / partially found, with a citation to the specific portion of the reference.</w:t>
      </w:r>
    </w:p>
    <w:p>
      <w:pPr>
        <w:pStyle w:val="BodyText"/>
      </w:pPr>
      <w:r>
        <w:rPr>
          <w:b/>
          <w:bCs/>
        </w:rPr>
        <w:t xml:space="preserve">Output:</w:t>
      </w:r>
      <w:r>
        <w:t xml:space="preserve"> </w:t>
      </w:r>
      <w:r>
        <w:t xml:space="preserve">Streamed mapping analysis.</w:t>
      </w:r>
    </w:p>
    <w:p>
      <w:r>
        <w:pict>
          <v:rect style="width:0;height:1.5pt" o:hralign="center" o:hrstd="t" o:hr="t"/>
        </w:pict>
      </w:r>
    </w:p>
    <w:bookmarkEnd w:id="42"/>
    <w:bookmarkStart w:id="43" w:name="competitive-analysis-scope-tuner"/>
    <w:p>
      <w:pPr>
        <w:pStyle w:val="Heading3"/>
      </w:pPr>
      <w:r>
        <w:t xml:space="preserve">7.7 Competitive Analysis (Scope Tuner)</w:t>
      </w:r>
    </w:p>
    <w:p>
      <w:pPr>
        <w:pStyle w:val="FirstParagraph"/>
      </w:pPr>
      <w:r>
        <w:rPr>
          <w:b/>
          <w:bCs/>
        </w:rPr>
        <w:t xml:space="preserve">Route:</w:t>
      </w:r>
      <w:r>
        <w:t xml:space="preserve"> </w:t>
      </w:r>
      <w:r>
        <w:rPr>
          <w:rStyle w:val="VerbatimChar"/>
        </w:rPr>
        <w:t xml:space="preserve">/claim-scope</w:t>
      </w:r>
    </w:p>
    <w:p>
      <w:pPr>
        <w:pStyle w:val="BodyText"/>
      </w:pPr>
      <w:r>
        <w:rPr>
          <w:b/>
          <w:bCs/>
        </w:rPr>
        <w:t xml:space="preserve">Purpose:</w:t>
      </w:r>
      <w:r>
        <w:t xml:space="preserve"> </w:t>
      </w:r>
      <w:r>
        <w:t xml:space="preserve">Breadth-spectrum analysis for claim language — from broadest genus-level phrasing to narrowest single-embodiment language for each limitation. Also provides amendment strategy and specification support audit.</w:t>
      </w:r>
    </w:p>
    <w:p>
      <w:pPr>
        <w:pStyle w:val="BodyText"/>
      </w:pPr>
      <w:r>
        <w:rPr>
          <w:b/>
          <w:bCs/>
        </w:rPr>
        <w:t xml:space="preserve">Analysis modes: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Description</w:t>
            </w:r>
          </w:p>
        </w:tc>
      </w:tr>
      <w:tr>
        <w:tc>
          <w:tcPr/>
          <w:p>
            <w:pPr>
              <w:pStyle w:val="Compact"/>
            </w:pPr>
            <w:r>
              <w:t xml:space="preserve">Both (full spectrum)</w:t>
            </w:r>
          </w:p>
        </w:tc>
        <w:tc>
          <w:tcPr/>
          <w:p>
            <w:pPr>
              <w:pStyle w:val="Compact"/>
            </w:pPr>
            <w:r>
              <w:t xml:space="preserve">Shows the complete breadth spectrum for each limitation</w:t>
            </w:r>
          </w:p>
        </w:tc>
      </w:tr>
      <w:tr>
        <w:tc>
          <w:tcPr/>
          <w:p>
            <w:pPr>
              <w:pStyle w:val="Compact"/>
            </w:pPr>
            <w:r>
              <w:t xml:space="preserve">Broadening only</w:t>
            </w:r>
          </w:p>
        </w:tc>
        <w:tc>
          <w:tcPr/>
          <w:p>
            <w:pPr>
              <w:pStyle w:val="Compact"/>
            </w:pPr>
            <w:r>
              <w:t xml:space="preserve">Focuses on broader alternatives; flags estoppel risks</w:t>
            </w:r>
          </w:p>
        </w:tc>
      </w:tr>
      <w:tr>
        <w:tc>
          <w:tcPr/>
          <w:p>
            <w:pPr>
              <w:pStyle w:val="Compact"/>
            </w:pPr>
            <w:r>
              <w:t xml:space="preserve">Narrowing only</w:t>
            </w:r>
          </w:p>
        </w:tc>
        <w:tc>
          <w:tcPr/>
          <w:p>
            <w:pPr>
              <w:pStyle w:val="Compact"/>
            </w:pPr>
            <w:r>
              <w:t xml:space="preserve">Focuses on narrower alternatives to distinguish prior art</w:t>
            </w:r>
          </w:p>
        </w:tc>
      </w:tr>
      <w:tr>
        <w:tc>
          <w:tcPr/>
          <w:p>
            <w:pPr>
              <w:pStyle w:val="Compact"/>
            </w:pPr>
            <w:r>
              <w:t xml:space="preserve">Amendment Draft</w:t>
            </w:r>
          </w:p>
        </w:tc>
        <w:tc>
          <w:tcPr/>
          <w:p>
            <w:pPr>
              <w:pStyle w:val="Compact"/>
            </w:pPr>
            <w:r>
              <w:t xml:space="preserve">Proposes specific narrowing amendments for each limitation with spec support confirmation</w:t>
            </w:r>
          </w:p>
        </w:tc>
      </w:tr>
      <w:tr>
        <w:tc>
          <w:tcPr/>
          <w:p>
            <w:pPr>
              <w:pStyle w:val="Compact"/>
            </w:pPr>
            <w:r>
              <w:t xml:space="preserve">Spec Audit</w:t>
            </w:r>
          </w:p>
        </w:tc>
        <w:tc>
          <w:tcPr/>
          <w:p>
            <w:pPr>
              <w:pStyle w:val="Compact"/>
            </w:pPr>
            <w:r>
              <w:t xml:space="preserve">Assesses specification support for each limitation; identifies 112(a) risks</w:t>
            </w:r>
          </w:p>
        </w:tc>
      </w:tr>
    </w:tbl>
    <w:p>
      <w:pPr>
        <w:pStyle w:val="BodyText"/>
      </w:pPr>
      <w:r>
        <w:rPr>
          <w:b/>
          <w:bCs/>
        </w:rPr>
        <w:t xml:space="preserve">Inputs:</w:t>
      </w:r>
      <w:r>
        <w:t xml:space="preserve"> </w:t>
      </w:r>
      <w:r>
        <w:t xml:space="preserve">- Claim text (paste, or auto-populated from Claim Similarity Scorer via</w:t>
      </w:r>
      <w:r>
        <w:t xml:space="preserve"> </w:t>
      </w:r>
      <w:r>
        <w:t xml:space="preserve">“Send to Scope Tuner”</w:t>
      </w:r>
      <w:r>
        <w:t xml:space="preserve">)</w:t>
      </w:r>
      <w:r>
        <w:t xml:space="preserve"> </w:t>
      </w:r>
      <w:r>
        <w:t xml:space="preserve">- Optional: specification text (required for spec support analysis)</w:t>
      </w:r>
      <w:r>
        <w:t xml:space="preserve"> </w:t>
      </w:r>
      <w:r>
        <w:t xml:space="preserve">- Optional: prior art excerpt (for context-aware narrowing suggestions)</w:t>
      </w:r>
      <w:r>
        <w:t xml:space="preserve"> </w:t>
      </w:r>
      <w:r>
        <w:t xml:space="preserve">- Direction and client context</w:t>
      </w:r>
    </w:p>
    <w:p>
      <w:pPr>
        <w:pStyle w:val="BodyText"/>
      </w:pPr>
      <w:r>
        <w:rPr>
          <w:b/>
          <w:bCs/>
        </w:rPr>
        <w:t xml:space="preserve">Output table (per limitation):</w:t>
      </w:r>
    </w:p>
    <w:p>
      <w:pPr>
        <w:pStyle w:val="SourceCode"/>
      </w:pPr>
      <w:r>
        <w:rPr>
          <w:rStyle w:val="VerbatimChar"/>
        </w:rPr>
        <w:t xml:space="preserve">| Breadth level        | Phrasing           | Drafting notes            |</w:t>
      </w:r>
      <w:r>
        <w:br/>
      </w:r>
      <w:r>
        <w:rPr>
          <w:rStyle w:val="VerbatimChar"/>
        </w:rPr>
        <w:t xml:space="preserve">|----------------------|--------------------|---------------------------|</w:t>
      </w:r>
      <w:r>
        <w:br/>
      </w:r>
      <w:r>
        <w:rPr>
          <w:rStyle w:val="VerbatimChar"/>
        </w:rPr>
        <w:t xml:space="preserve">| Broadest (genus)     | [broad phrasing]   | Functional / result-based |</w:t>
      </w:r>
      <w:r>
        <w:br/>
      </w:r>
      <w:r>
        <w:rPr>
          <w:rStyle w:val="VerbatimChar"/>
        </w:rPr>
        <w:t xml:space="preserve">| Broad                | [medium phrasing]  | Functional + loose struct |</w:t>
      </w:r>
      <w:r>
        <w:br/>
      </w:r>
      <w:r>
        <w:rPr>
          <w:rStyle w:val="VerbatimChar"/>
        </w:rPr>
        <w:t xml:space="preserve">| AS WRITTEN           | [current language] | Baseline                  |</w:t>
      </w:r>
      <w:r>
        <w:br/>
      </w:r>
      <w:r>
        <w:rPr>
          <w:rStyle w:val="VerbatimChar"/>
        </w:rPr>
        <w:t xml:space="preserve">| Narrow               | [specific phrase]  | Structural / compositional|</w:t>
      </w:r>
      <w:r>
        <w:br/>
      </w:r>
      <w:r>
        <w:rPr>
          <w:rStyle w:val="VerbatimChar"/>
        </w:rPr>
        <w:t xml:space="preserve">| Narrowest (single)   | [exact phrasing]   | Numbers / dimensions      |</w:t>
      </w:r>
      <w:r>
        <w:br/>
      </w:r>
      <w:r>
        <w:rPr>
          <w:rStyle w:val="VerbatimChar"/>
        </w:rPr>
        <w:t xml:space="preserve">Spec support: [Supported / Thin / Not found]</w:t>
      </w:r>
    </w:p>
    <w:p>
      <w:pPr>
        <w:pStyle w:val="FirstParagraph"/>
      </w:pPr>
      <w:r>
        <w:rPr>
          <w:b/>
          <w:bCs/>
        </w:rPr>
        <w:t xml:space="preserve">Tips for attorneys:</w:t>
      </w:r>
      <w:r>
        <w:t xml:space="preserve"> </w:t>
      </w:r>
      <w:r>
        <w:t xml:space="preserve">- Always run Spec Audit mode before filing amended claims that include language not present in the original specification. The audit identifies 112(a) risks before they become rejections.</w:t>
      </w:r>
      <w:r>
        <w:t xml:space="preserve"> </w:t>
      </w:r>
      <w:r>
        <w:t xml:space="preserve">- Scope Tuner is a strategic drafting aid. The</w:t>
      </w:r>
      <w:r>
        <w:t xml:space="preserve"> </w:t>
      </w:r>
      <w:r>
        <w:t xml:space="preserve">“Broadest (genus)”</w:t>
      </w:r>
      <w:r>
        <w:t xml:space="preserve"> </w:t>
      </w:r>
      <w:r>
        <w:t xml:space="preserve">phrasing may not survive prior art — always validate against your search results before adopting broader language.</w:t>
      </w:r>
    </w:p>
    <w:p>
      <w:r>
        <w:pict>
          <v:rect style="width:0;height:1.5pt" o:hralign="center" o:hrstd="t" o:hr="t"/>
        </w:pict>
      </w:r>
    </w:p>
    <w:bookmarkEnd w:id="43"/>
    <w:bookmarkStart w:id="44" w:name="citation-analyzer"/>
    <w:p>
      <w:pPr>
        <w:pStyle w:val="Heading3"/>
      </w:pPr>
      <w:r>
        <w:t xml:space="preserve">7.8 Citation Analyzer</w:t>
      </w:r>
    </w:p>
    <w:p>
      <w:pPr>
        <w:pStyle w:val="FirstParagraph"/>
      </w:pPr>
      <w:r>
        <w:rPr>
          <w:b/>
          <w:bCs/>
        </w:rPr>
        <w:t xml:space="preserve">Route:</w:t>
      </w:r>
      <w:r>
        <w:t xml:space="preserve"> </w:t>
      </w:r>
      <w:r>
        <w:rPr>
          <w:rStyle w:val="VerbatimChar"/>
        </w:rPr>
        <w:t xml:space="preserve">/citation-analyzer</w:t>
      </w:r>
    </w:p>
    <w:p>
      <w:pPr>
        <w:pStyle w:val="BodyText"/>
      </w:pPr>
      <w:r>
        <w:rPr>
          <w:b/>
          <w:bCs/>
        </w:rPr>
        <w:t xml:space="preserve">Purpose:</w:t>
      </w:r>
      <w:r>
        <w:t xml:space="preserve"> </w:t>
      </w:r>
      <w:r>
        <w:t xml:space="preserve">Map forward and backward citations for any patent. Identifies whether forward-citing patents belong to known competitor portfolios — relevant to willfulness analysis in litigation.</w:t>
      </w:r>
    </w:p>
    <w:p>
      <w:pPr>
        <w:pStyle w:val="BodyText"/>
      </w:pPr>
      <w:r>
        <w:rPr>
          <w:b/>
          <w:bCs/>
        </w:rPr>
        <w:t xml:space="preserve">Inputs:</w:t>
      </w:r>
      <w:r>
        <w:t xml:space="preserve"> </w:t>
      </w:r>
      <w:r>
        <w:t xml:space="preserve">Patent number(s).</w:t>
      </w:r>
    </w:p>
    <w:p>
      <w:pPr>
        <w:pStyle w:val="BodyText"/>
      </w:pPr>
      <w:r>
        <w:rPr>
          <w:b/>
          <w:bCs/>
        </w:rPr>
        <w:t xml:space="preserve">AI process:</w:t>
      </w:r>
      <w:r>
        <w:t xml:space="preserve"> </w:t>
      </w:r>
      <w:r>
        <w:t xml:space="preserve">Priori fetches the citation network from patent databases and organizes it into:</w:t>
      </w:r>
      <w:r>
        <w:t xml:space="preserve"> </w:t>
      </w:r>
      <w:r>
        <w:t xml:space="preserve">-</w:t>
      </w:r>
      <w:r>
        <w:t xml:space="preserve"> </w:t>
      </w:r>
      <w:r>
        <w:rPr>
          <w:b/>
          <w:bCs/>
        </w:rPr>
        <w:t xml:space="preserve">Backward citations:</w:t>
      </w:r>
      <w:r>
        <w:t xml:space="preserve"> </w:t>
      </w:r>
      <w:r>
        <w:t xml:space="preserve">What the patent cites (prior art acknowledged at filing)</w:t>
      </w:r>
      <w:r>
        <w:t xml:space="preserve"> </w:t>
      </w:r>
      <w:r>
        <w:t xml:space="preserve">-</w:t>
      </w:r>
      <w:r>
        <w:t xml:space="preserve"> </w:t>
      </w:r>
      <w:r>
        <w:rPr>
          <w:b/>
          <w:bCs/>
        </w:rPr>
        <w:t xml:space="preserve">Forward citations:</w:t>
      </w:r>
      <w:r>
        <w:t xml:space="preserve"> </w:t>
      </w:r>
      <w:r>
        <w:t xml:space="preserve">Who cites the patent (later patents that reference it)</w:t>
      </w:r>
      <w:r>
        <w:t xml:space="preserve"> </w:t>
      </w:r>
      <w:r>
        <w:t xml:space="preserve">-</w:t>
      </w:r>
      <w:r>
        <w:t xml:space="preserve"> </w:t>
      </w:r>
      <w:r>
        <w:rPr>
          <w:b/>
          <w:bCs/>
        </w:rPr>
        <w:t xml:space="preserve">Portfolio match:</w:t>
      </w:r>
      <w:r>
        <w:t xml:space="preserve"> </w:t>
      </w:r>
      <w:r>
        <w:t xml:space="preserve">Whether forward-citing patents share an assignee with your portfolio or a specified competitor</w:t>
      </w:r>
    </w:p>
    <w:p>
      <w:pPr>
        <w:pStyle w:val="BodyText"/>
      </w:pPr>
      <w:r>
        <w:rPr>
          <w:b/>
          <w:bCs/>
        </w:rPr>
        <w:t xml:space="preserve">Tips for attorneys:</w:t>
      </w:r>
      <w:r>
        <w:t xml:space="preserve"> </w:t>
      </w:r>
      <w:r>
        <w:t xml:space="preserve">- Forward citation analysis is a key input for willfulness arguments. A defendant who holds a patent that cites your patent-in-suit may have had actual knowledge of your patent.</w:t>
      </w:r>
      <w:r>
        <w:t xml:space="preserve"> </w:t>
      </w:r>
      <w:r>
        <w:t xml:space="preserve">- Citation data is retrieved from Google Patents; completeness depends on Google’s indexing. Cross-reference against PatSnap or Derwent for litigation-critical citation analysis.</w:t>
      </w:r>
    </w:p>
    <w:p>
      <w:r>
        <w:pict>
          <v:rect style="width:0;height:1.5pt" o:hralign="center" o:hrstd="t" o:hr="t"/>
        </w:pict>
      </w:r>
    </w:p>
    <w:bookmarkEnd w:id="44"/>
    <w:bookmarkStart w:id="45" w:name="document-qa"/>
    <w:p>
      <w:pPr>
        <w:pStyle w:val="Heading3"/>
      </w:pPr>
      <w:r>
        <w:t xml:space="preserve">7.9 Document Q&amp;A</w:t>
      </w:r>
    </w:p>
    <w:p>
      <w:pPr>
        <w:pStyle w:val="FirstParagraph"/>
      </w:pPr>
      <w:r>
        <w:rPr>
          <w:b/>
          <w:bCs/>
        </w:rPr>
        <w:t xml:space="preserve">Route:</w:t>
      </w:r>
      <w:r>
        <w:t xml:space="preserve"> </w:t>
      </w:r>
      <w:r>
        <w:rPr>
          <w:rStyle w:val="VerbatimChar"/>
        </w:rPr>
        <w:t xml:space="preserve">/doc-qa</w:t>
      </w:r>
    </w:p>
    <w:p>
      <w:pPr>
        <w:pStyle w:val="BodyText"/>
      </w:pPr>
      <w:r>
        <w:rPr>
          <w:b/>
          <w:bCs/>
        </w:rPr>
        <w:t xml:space="preserve">Purpose:</w:t>
      </w:r>
      <w:r>
        <w:t xml:space="preserve"> </w:t>
      </w:r>
      <w:r>
        <w:t xml:space="preserve">Interactive Q&amp;A chat with an uploaded document or with the firm’s prosecution corpus. Two modes: Library Q&amp;A and Document Chat.</w:t>
      </w:r>
    </w:p>
    <w:p>
      <w:pPr>
        <w:pStyle w:val="BodyText"/>
      </w:pPr>
      <w:r>
        <w:rPr>
          <w:b/>
          <w:bCs/>
        </w:rPr>
        <w:t xml:space="preserve">Library Q&amp;A:</w:t>
      </w:r>
      <w:r>
        <w:t xml:space="preserve"> </w:t>
      </w:r>
      <w:r>
        <w:t xml:space="preserve">Ask questions answered by the firm’s indexed corpus using a locally running AI model (Ollama). Good for questions about prosecution history, client filing patterns, and practice standards captured in the corpus.</w:t>
      </w:r>
    </w:p>
    <w:p>
      <w:pPr>
        <w:pStyle w:val="BodyText"/>
      </w:pPr>
      <w:r>
        <w:rPr>
          <w:b/>
          <w:bCs/>
        </w:rPr>
        <w:t xml:space="preserve">Document Chat:</w:t>
      </w:r>
      <w:r>
        <w:t xml:space="preserve"> </w:t>
      </w:r>
      <w:r>
        <w:t xml:space="preserve">Upload any document (PDF, DOCX, TXT) and ask questions about it. Claude reads the document and answers questions with citations to specific passages. Useful for analyzing third-party patents, prior art references, technical specifications, and case law excerpts.</w:t>
      </w:r>
    </w:p>
    <w:p>
      <w:pPr>
        <w:pStyle w:val="BodyText"/>
      </w:pPr>
      <w:r>
        <w:rPr>
          <w:b/>
          <w:bCs/>
        </w:rPr>
        <w:t xml:space="preserve">Inputs:</w:t>
      </w:r>
      <w:r>
        <w:t xml:space="preserve"> </w:t>
      </w:r>
      <w:r>
        <w:t xml:space="preserve">- Document upload (for Document Chat)</w:t>
      </w:r>
      <w:r>
        <w:t xml:space="preserve"> </w:t>
      </w:r>
      <w:r>
        <w:t xml:space="preserve">- Natural language question</w:t>
      </w:r>
    </w:p>
    <w:p>
      <w:pPr>
        <w:pStyle w:val="BodyText"/>
      </w:pPr>
      <w:r>
        <w:rPr>
          <w:b/>
          <w:bCs/>
        </w:rPr>
        <w:t xml:space="preserve">Tips for attorneys:</w:t>
      </w:r>
      <w:r>
        <w:t xml:space="preserve"> </w:t>
      </w:r>
      <w:r>
        <w:t xml:space="preserve">- For Document Q&amp;A to cite accurately, the uploaded document must be text-extractable. Scanned-image PDFs without OCR will produce poor results — use Priori’s text extraction tools or an external OCR tool first.</w:t>
      </w:r>
      <w:r>
        <w:t xml:space="preserve"> </w:t>
      </w:r>
      <w:r>
        <w:t xml:space="preserve">- Library Q&amp;A requires a locally running Ollama instance. If Ollama is not configured, this mode is unavailable.</w:t>
      </w:r>
    </w:p>
    <w:p>
      <w:r>
        <w:pict>
          <v:rect style="width:0;height:1.5pt" o:hralign="center" o:hrstd="t" o:hr="t"/>
        </w:pict>
      </w:r>
    </w:p>
    <w:bookmarkEnd w:id="45"/>
    <w:bookmarkEnd w:id="46"/>
    <w:bookmarkStart w:id="53" w:name="portfolio-tools"/>
    <w:p>
      <w:pPr>
        <w:pStyle w:val="Heading2"/>
      </w:pPr>
      <w:r>
        <w:t xml:space="preserve">8. Portfolio Tools</w:t>
      </w:r>
    </w:p>
    <w:bookmarkStart w:id="47" w:name="portfolio-dashboard"/>
    <w:p>
      <w:pPr>
        <w:pStyle w:val="Heading3"/>
      </w:pPr>
      <w:r>
        <w:t xml:space="preserve">8.1 Portfolio Dashboard</w:t>
      </w:r>
    </w:p>
    <w:p>
      <w:pPr>
        <w:pStyle w:val="FirstParagraph"/>
      </w:pPr>
      <w:r>
        <w:rPr>
          <w:b/>
          <w:bCs/>
        </w:rPr>
        <w:t xml:space="preserve">Route:</w:t>
      </w:r>
      <w:r>
        <w:t xml:space="preserve"> </w:t>
      </w:r>
      <w:r>
        <w:rPr>
          <w:rStyle w:val="VerbatimChar"/>
        </w:rPr>
        <w:t xml:space="preserve">/portfolio</w:t>
      </w:r>
    </w:p>
    <w:p>
      <w:pPr>
        <w:pStyle w:val="BodyText"/>
      </w:pPr>
      <w:r>
        <w:rPr>
          <w:b/>
          <w:bCs/>
        </w:rPr>
        <w:t xml:space="preserve">Purpose:</w:t>
      </w:r>
      <w:r>
        <w:t xml:space="preserve"> </w:t>
      </w:r>
      <w:r>
        <w:t xml:space="preserve">Portfolio-wide summary of all docketed matters — verdicts, spend, status distribution, and action items. Populated from matters reviewed in In-House Review (Section 6.2).</w:t>
      </w:r>
    </w:p>
    <w:p>
      <w:pPr>
        <w:pStyle w:val="BodyText"/>
      </w:pPr>
      <w:r>
        <w:rPr>
          <w:b/>
          <w:bCs/>
        </w:rPr>
        <w:t xml:space="preserve">Display:</w:t>
      </w:r>
      <w:r>
        <w:t xml:space="preserve"> </w:t>
      </w:r>
      <w:r>
        <w:t xml:space="preserve">The dashboard shows aggregated metrics across all firm_id-scoped matters: matter count by status, prosecution position distribution, cost summaries, and pending action items.</w:t>
      </w:r>
    </w:p>
    <w:p>
      <w:pPr>
        <w:pStyle w:val="BodyText"/>
      </w:pPr>
      <w:r>
        <w:rPr>
          <w:b/>
          <w:bCs/>
        </w:rPr>
        <w:t xml:space="preserve">Tips for attorneys:</w:t>
      </w:r>
      <w:r>
        <w:t xml:space="preserve"> </w:t>
      </w:r>
      <w:r>
        <w:t xml:space="preserve">- The Portfolio Dashboard is only useful after matters have been loaded and reviewed through In-House Review. An empty dashboard means no matters have been imported yet.</w:t>
      </w:r>
      <w:r>
        <w:t xml:space="preserve"> </w:t>
      </w:r>
      <w:r>
        <w:t xml:space="preserve">- This tool is for internal triage and reporting. Portfolio metrics should not be shared with clients without attorney review of the underlying matter data.</w:t>
      </w:r>
    </w:p>
    <w:p>
      <w:r>
        <w:pict>
          <v:rect style="width:0;height:1.5pt" o:hralign="center" o:hrstd="t" o:hr="t"/>
        </w:pict>
      </w:r>
    </w:p>
    <w:bookmarkEnd w:id="47"/>
    <w:bookmarkStart w:id="48" w:name="prosecution-intelligence"/>
    <w:p>
      <w:pPr>
        <w:pStyle w:val="Heading3"/>
      </w:pPr>
      <w:r>
        <w:t xml:space="preserve">8.2 Prosecution Intelligence</w:t>
      </w:r>
    </w:p>
    <w:p>
      <w:pPr>
        <w:pStyle w:val="FirstParagraph"/>
      </w:pPr>
      <w:r>
        <w:rPr>
          <w:b/>
          <w:bCs/>
        </w:rPr>
        <w:t xml:space="preserve">Route:</w:t>
      </w:r>
      <w:r>
        <w:t xml:space="preserve"> </w:t>
      </w:r>
      <w:r>
        <w:rPr>
          <w:rStyle w:val="VerbatimChar"/>
        </w:rPr>
        <w:t xml:space="preserve">/prosecution-intel</w:t>
      </w:r>
    </w:p>
    <w:p>
      <w:pPr>
        <w:pStyle w:val="BodyText"/>
      </w:pPr>
      <w:r>
        <w:rPr>
          <w:b/>
          <w:bCs/>
        </w:rPr>
        <w:t xml:space="preserve">Purpose:</w:t>
      </w:r>
      <w:r>
        <w:t xml:space="preserve"> </w:t>
      </w:r>
      <w:r>
        <w:t xml:space="preserve">Firm-wide prosecution analytics — examiner behavior patterns, argument acceptance rates, pendency statistics, and docket synchronization with USPTO.</w:t>
      </w:r>
    </w:p>
    <w:p>
      <w:pPr>
        <w:pStyle w:val="BodyText"/>
      </w:pPr>
      <w:r>
        <w:rPr>
          <w:b/>
          <w:bCs/>
        </w:rPr>
        <w:t xml:space="preserve">Data sources:</w:t>
      </w:r>
      <w:r>
        <w:t xml:space="preserve"> </w:t>
      </w:r>
      <w:r>
        <w:t xml:space="preserve">- Import from docketing system CSV (AppColl, IPMS, or generic format)</w:t>
      </w:r>
      <w:r>
        <w:t xml:space="preserve"> </w:t>
      </w:r>
      <w:r>
        <w:t xml:space="preserve">- USPTO ODP API batch sync (fetches current status, examiner, and art unit for all matters)</w:t>
      </w:r>
      <w:r>
        <w:t xml:space="preserve"> </w:t>
      </w:r>
      <w:r>
        <w:t xml:space="preserve">- PatentsView bulk data import</w:t>
      </w:r>
      <w:r>
        <w:t xml:space="preserve"> </w:t>
      </w:r>
      <w:r>
        <w:t xml:space="preserve">- IMAP email monitoring for automated OA detection</w:t>
      </w:r>
    </w:p>
    <w:p>
      <w:pPr>
        <w:pStyle w:val="BodyText"/>
      </w:pPr>
      <w:r>
        <w:rPr>
          <w:b/>
          <w:bCs/>
        </w:rPr>
        <w:t xml:space="preserve">Analytics available:</w:t>
      </w:r>
      <w:r>
        <w:t xml:space="preserve"> </w:t>
      </w:r>
      <w:r>
        <w:t xml:space="preserve">- Top examiners by allowance rate and average pendency</w:t>
      </w:r>
      <w:r>
        <w:t xml:space="preserve"> </w:t>
      </w:r>
      <w:r>
        <w:t xml:space="preserve">- Argument patterns by rejection type — which arguments succeed before which examiners</w:t>
      </w:r>
      <w:r>
        <w:t xml:space="preserve"> </w:t>
      </w:r>
      <w:r>
        <w:t xml:space="preserve">- Prosecution stage distribution</w:t>
      </w:r>
      <w:r>
        <w:t xml:space="preserve"> </w:t>
      </w:r>
      <w:r>
        <w:t xml:space="preserve">- Art unit benchmarks</w:t>
      </w:r>
      <w:r>
        <w:t xml:space="preserve"> </w:t>
      </w:r>
      <w:r>
        <w:t xml:space="preserve">- Claim scope delta analysis (how claim scope changes across the prosecution lifecycle)</w:t>
      </w:r>
    </w:p>
    <w:p>
      <w:pPr>
        <w:pStyle w:val="BodyText"/>
      </w:pPr>
      <w:r>
        <w:rPr>
          <w:b/>
          <w:bCs/>
        </w:rPr>
        <w:t xml:space="preserve">Background jobs:</w:t>
      </w:r>
      <w:r>
        <w:t xml:space="preserve"> </w:t>
      </w:r>
      <w:r>
        <w:t xml:space="preserve">Argument mining and USPTO sync run as background jobs. Status is displayed in the panel; you do not need to wait for completion. Check back after several minutes for large dockets.</w:t>
      </w:r>
    </w:p>
    <w:p>
      <w:pPr>
        <w:pStyle w:val="BodyText"/>
      </w:pPr>
      <w:r>
        <w:rPr>
          <w:b/>
          <w:bCs/>
        </w:rPr>
        <w:t xml:space="preserve">Tips for attorneys:</w:t>
      </w:r>
      <w:r>
        <w:t xml:space="preserve"> </w:t>
      </w:r>
      <w:r>
        <w:t xml:space="preserve">- Configure your docketing CSV import first. Without matter data, all analytics are empty.</w:t>
      </w:r>
      <w:r>
        <w:t xml:space="preserve"> </w:t>
      </w:r>
      <w:r>
        <w:t xml:space="preserve">- Examiner-specific argument pattern data is most valuable for art units where your firm has significant history. The patterns are derived from your own prosecution history corpus — they do not pull from external examiner statistics.</w:t>
      </w:r>
    </w:p>
    <w:p>
      <w:r>
        <w:pict>
          <v:rect style="width:0;height:1.5pt" o:hralign="center" o:hrstd="t" o:hr="t"/>
        </w:pict>
      </w:r>
    </w:p>
    <w:bookmarkEnd w:id="48"/>
    <w:bookmarkStart w:id="49" w:name="corpus-manager"/>
    <w:p>
      <w:pPr>
        <w:pStyle w:val="Heading3"/>
      </w:pPr>
      <w:r>
        <w:t xml:space="preserve">8.3 Corpus Manager</w:t>
      </w:r>
    </w:p>
    <w:p>
      <w:pPr>
        <w:pStyle w:val="FirstParagraph"/>
      </w:pPr>
      <w:r>
        <w:rPr>
          <w:b/>
          <w:bCs/>
        </w:rPr>
        <w:t xml:space="preserve">Route:</w:t>
      </w:r>
      <w:r>
        <w:t xml:space="preserve"> </w:t>
      </w:r>
      <w:r>
        <w:rPr>
          <w:rStyle w:val="VerbatimChar"/>
        </w:rPr>
        <w:t xml:space="preserve">/corpus</w:t>
      </w:r>
    </w:p>
    <w:p>
      <w:pPr>
        <w:pStyle w:val="BodyText"/>
      </w:pPr>
      <w:r>
        <w:rPr>
          <w:b/>
          <w:bCs/>
        </w:rPr>
        <w:t xml:space="preserve">Purpose:</w:t>
      </w:r>
      <w:r>
        <w:t xml:space="preserve"> </w:t>
      </w:r>
      <w:r>
        <w:t xml:space="preserve">Manage the firm’s prosecution knowledge corpus — the approved question-answer pairs, claim language examples, argument templates, and practice standards that are injected into AI prompts during OA Response and other tools.</w:t>
      </w:r>
    </w:p>
    <w:p>
      <w:pPr>
        <w:pStyle w:val="BodyText"/>
      </w:pPr>
      <w:r>
        <w:rPr>
          <w:b/>
          <w:bCs/>
        </w:rPr>
        <w:t xml:space="preserve">Three corpus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Scope</w:t>
            </w:r>
          </w:p>
        </w:tc>
        <w:tc>
          <w:tcPr/>
          <w:p>
            <w:pPr>
              <w:pStyle w:val="Compact"/>
            </w:pPr>
            <w:r>
              <w:t xml:space="preserve">Who can edit</w:t>
            </w:r>
          </w:p>
        </w:tc>
      </w:tr>
      <w:tr>
        <w:tc>
          <w:tcPr/>
          <w:p>
            <w:pPr>
              <w:pStyle w:val="Compact"/>
            </w:pPr>
            <w:r>
              <w:t xml:space="preserve">My Corpus</w:t>
            </w:r>
          </w:p>
        </w:tc>
        <w:tc>
          <w:tcPr/>
          <w:p>
            <w:pPr>
              <w:pStyle w:val="Compact"/>
            </w:pPr>
            <w:r>
              <w:t xml:space="preserve">Personal — visible only to you</w:t>
            </w:r>
          </w:p>
        </w:tc>
        <w:tc>
          <w:tcPr/>
          <w:p>
            <w:pPr>
              <w:pStyle w:val="Compact"/>
            </w:pPr>
            <w:r>
              <w:t xml:space="preserve">Any attorney</w:t>
            </w:r>
          </w:p>
        </w:tc>
      </w:tr>
      <w:tr>
        <w:tc>
          <w:tcPr/>
          <w:p>
            <w:pPr>
              <w:pStyle w:val="Compact"/>
            </w:pPr>
            <w:r>
              <w:t xml:space="preserve">Client Corpus</w:t>
            </w:r>
          </w:p>
        </w:tc>
        <w:tc>
          <w:tcPr/>
          <w:p>
            <w:pPr>
              <w:pStyle w:val="Compact"/>
            </w:pPr>
            <w:r>
              <w:t xml:space="preserve">Client-specific — shared with other attorneys working the same client</w:t>
            </w:r>
          </w:p>
        </w:tc>
        <w:tc>
          <w:tcPr/>
          <w:p>
            <w:pPr>
              <w:pStyle w:val="Compact"/>
            </w:pPr>
            <w:r>
              <w:t xml:space="preserve">Client managers + Firm Admin</w:t>
            </w:r>
          </w:p>
        </w:tc>
      </w:tr>
      <w:tr>
        <w:tc>
          <w:tcPr/>
          <w:p>
            <w:pPr>
              <w:pStyle w:val="Compact"/>
            </w:pPr>
            <w:r>
              <w:t xml:space="preserve">Firm Corpus</w:t>
            </w:r>
          </w:p>
        </w:tc>
        <w:tc>
          <w:tcPr/>
          <w:p>
            <w:pPr>
              <w:pStyle w:val="Compact"/>
            </w:pPr>
            <w:r>
              <w:t xml:space="preserve">Firm-wide — available to all users</w:t>
            </w:r>
          </w:p>
        </w:tc>
        <w:tc>
          <w:tcPr/>
          <w:p>
            <w:pPr>
              <w:pStyle w:val="Compact"/>
            </w:pPr>
            <w:r>
              <w:t xml:space="preserve">Firm Admin only</w:t>
            </w:r>
          </w:p>
        </w:tc>
      </w:tr>
    </w:tbl>
    <w:p>
      <w:pPr>
        <w:pStyle w:val="BodyText"/>
      </w:pPr>
      <w:r>
        <w:rPr>
          <w:b/>
          <w:bCs/>
        </w:rPr>
        <w:t xml:space="preserve">Entry structure:</w:t>
      </w:r>
      <w:r>
        <w:t xml:space="preserve"> </w:t>
      </w:r>
      <w:r>
        <w:t xml:space="preserve">Each corpus entry is a prompt-answer pair. The prompt is the type of situation (e.g.,</w:t>
      </w:r>
      <w:r>
        <w:t xml:space="preserve"> </w:t>
      </w:r>
      <w:r>
        <w:t xml:space="preserve">“§ 103 rejection based on combination of two references where primary reference lacks claimed feature”</w:t>
      </w:r>
      <w:r>
        <w:t xml:space="preserve">). The answer is the approved response language or argument framework.</w:t>
      </w:r>
    </w:p>
    <w:p>
      <w:pPr>
        <w:pStyle w:val="BodyText"/>
      </w:pPr>
      <w:r>
        <w:rPr>
          <w:b/>
          <w:bCs/>
        </w:rPr>
        <w:t xml:space="preserve">Approval status:</w:t>
      </w:r>
      <w:r>
        <w:t xml:space="preserve"> </w:t>
      </w:r>
      <w:r>
        <w:t xml:space="preserve">Entries have an Approved or Excluded status. Only Approved entries are injected into AI prompts. The Firm Admin can bulk-approve entries from the firm corpus tab.</w:t>
      </w:r>
    </w:p>
    <w:p>
      <w:pPr>
        <w:pStyle w:val="BodyText"/>
      </w:pPr>
      <w:r>
        <w:rPr>
          <w:b/>
          <w:bCs/>
        </w:rPr>
        <w:t xml:space="preserve">Import:</w:t>
      </w:r>
      <w:r>
        <w:t xml:space="preserve"> </w:t>
      </w:r>
      <w:r>
        <w:t xml:space="preserve">Corpus entries can be imported from text files (one entry per paragraph, or structured JSON).</w:t>
      </w:r>
    </w:p>
    <w:p>
      <w:pPr>
        <w:pStyle w:val="BodyText"/>
      </w:pPr>
      <w:r>
        <w:rPr>
          <w:b/>
          <w:bCs/>
        </w:rPr>
        <w:t xml:space="preserve">Tips for attorneys:</w:t>
      </w:r>
      <w:r>
        <w:t xml:space="preserve"> </w:t>
      </w:r>
      <w:r>
        <w:t xml:space="preserve">- High-value corpus entries are successful argument blocks, claim language that survived challenge, and prosecution history excerpts where the examiner accepted a specific traverse. These create institutional memory.</w:t>
      </w:r>
      <w:r>
        <w:t xml:space="preserve"> </w:t>
      </w:r>
      <w:r>
        <w:t xml:space="preserve">- Excluded entries are retained in the database but never injected. Use Exclude rather than Delete for entries that should not be used but may be needed for audit purposes.</w:t>
      </w:r>
    </w:p>
    <w:p>
      <w:r>
        <w:pict>
          <v:rect style="width:0;height:1.5pt" o:hralign="center" o:hrstd="t" o:hr="t"/>
        </w:pict>
      </w:r>
    </w:p>
    <w:bookmarkEnd w:id="49"/>
    <w:bookmarkStart w:id="50" w:name="patent-fetcher"/>
    <w:p>
      <w:pPr>
        <w:pStyle w:val="Heading3"/>
      </w:pPr>
      <w:r>
        <w:t xml:space="preserve">8.4 Patent Fetcher</w:t>
      </w:r>
    </w:p>
    <w:p>
      <w:pPr>
        <w:pStyle w:val="FirstParagraph"/>
      </w:pPr>
      <w:r>
        <w:rPr>
          <w:b/>
          <w:bCs/>
        </w:rPr>
        <w:t xml:space="preserve">Route:</w:t>
      </w:r>
      <w:r>
        <w:t xml:space="preserve"> </w:t>
      </w:r>
      <w:r>
        <w:rPr>
          <w:rStyle w:val="VerbatimChar"/>
        </w:rPr>
        <w:t xml:space="preserve">/patent-fetch</w:t>
      </w:r>
    </w:p>
    <w:p>
      <w:pPr>
        <w:pStyle w:val="BodyText"/>
      </w:pPr>
      <w:r>
        <w:rPr>
          <w:b/>
          <w:bCs/>
        </w:rPr>
        <w:t xml:space="preserve">Purpose:</w:t>
      </w:r>
      <w:r>
        <w:t xml:space="preserve"> </w:t>
      </w:r>
      <w:r>
        <w:t xml:space="preserve">Retrieve full text, claims, abstract, and citation data for any US, EP, or WO patent. Results are cached locally for reuse by other tools.</w:t>
      </w:r>
    </w:p>
    <w:p>
      <w:pPr>
        <w:pStyle w:val="BodyText"/>
      </w:pPr>
      <w:r>
        <w:rPr>
          <w:b/>
          <w:bCs/>
        </w:rPr>
        <w:t xml:space="preserve">Inputs:</w:t>
      </w:r>
      <w:r>
        <w:t xml:space="preserve"> </w:t>
      </w:r>
      <w:r>
        <w:t xml:space="preserve">Patent number (US, EP, or WO format — e.g.,</w:t>
      </w:r>
      <w:r>
        <w:t xml:space="preserve"> </w:t>
      </w:r>
      <w:r>
        <w:rPr>
          <w:rStyle w:val="VerbatimChar"/>
        </w:rPr>
        <w:t xml:space="preserve">US11044393</w:t>
      </w:r>
      <w:r>
        <w:t xml:space="preserve">,</w:t>
      </w:r>
      <w:r>
        <w:t xml:space="preserve"> </w:t>
      </w:r>
      <w:r>
        <w:rPr>
          <w:rStyle w:val="VerbatimChar"/>
        </w:rPr>
        <w:t xml:space="preserve">EP3456789</w:t>
      </w:r>
      <w:r>
        <w:t xml:space="preserve">,</w:t>
      </w:r>
      <w:r>
        <w:t xml:space="preserve"> </w:t>
      </w:r>
      <w:r>
        <w:rPr>
          <w:rStyle w:val="VerbatimChar"/>
        </w:rPr>
        <w:t xml:space="preserve">WO2019123456</w:t>
      </w:r>
      <w:r>
        <w:t xml:space="preserve">).</w:t>
      </w:r>
    </w:p>
    <w:p>
      <w:pPr>
        <w:pStyle w:val="BodyText"/>
      </w:pPr>
      <w:r>
        <w:rPr>
          <w:b/>
          <w:bCs/>
        </w:rPr>
        <w:t xml:space="preserve">Output display:</w:t>
      </w:r>
      <w:r>
        <w:t xml:space="preserve"> </w:t>
      </w:r>
      <w:r>
        <w:t xml:space="preserve">- Full abstract and claim text</w:t>
      </w:r>
      <w:r>
        <w:t xml:space="preserve"> </w:t>
      </w:r>
      <w:r>
        <w:t xml:space="preserve">- Filing date, grant date, assignee, inventor list</w:t>
      </w:r>
      <w:r>
        <w:t xml:space="preserve"> </w:t>
      </w:r>
      <w:r>
        <w:t xml:space="preserve">- Forward and backward citations (linked)</w:t>
      </w:r>
      <w:r>
        <w:t xml:space="preserve"> </w:t>
      </w:r>
      <w:r>
        <w:t xml:space="preserve">- Raw JSON available for download</w:t>
      </w:r>
    </w:p>
    <w:p>
      <w:pPr>
        <w:pStyle w:val="BodyText"/>
      </w:pPr>
      <w:r>
        <w:rPr>
          <w:b/>
          <w:bCs/>
        </w:rPr>
        <w:t xml:space="preserve">Tips for attorneys:</w:t>
      </w:r>
      <w:r>
        <w:t xml:space="preserve"> </w:t>
      </w:r>
      <w:r>
        <w:t xml:space="preserve">- Use Patent Fetcher to pre-load patents before running FTO Analysis, Invalidity Chart, or Prior Art Mapper. Pre-loaded patents are retrieved from cache instantly rather than re-fetching.</w:t>
      </w:r>
      <w:r>
        <w:t xml:space="preserve"> </w:t>
      </w:r>
      <w:r>
        <w:t xml:space="preserve">- The cache persists across sessions. If you need refreshed data (e.g., for a recently granted continuation), clear the cache entry and re-fetch.</w:t>
      </w:r>
    </w:p>
    <w:p>
      <w:r>
        <w:pict>
          <v:rect style="width:0;height:1.5pt" o:hralign="center" o:hrstd="t" o:hr="t"/>
        </w:pict>
      </w:r>
    </w:p>
    <w:bookmarkEnd w:id="50"/>
    <w:bookmarkStart w:id="51" w:name="practice-notes"/>
    <w:p>
      <w:pPr>
        <w:pStyle w:val="Heading3"/>
      </w:pPr>
      <w:r>
        <w:t xml:space="preserve">8.5 Practice Notes</w:t>
      </w:r>
    </w:p>
    <w:p>
      <w:pPr>
        <w:pStyle w:val="FirstParagraph"/>
      </w:pPr>
      <w:r>
        <w:rPr>
          <w:b/>
          <w:bCs/>
        </w:rPr>
        <w:t xml:space="preserve">Route:</w:t>
      </w:r>
      <w:r>
        <w:t xml:space="preserve"> </w:t>
      </w:r>
      <w:r>
        <w:rPr>
          <w:rStyle w:val="VerbatimChar"/>
        </w:rPr>
        <w:t xml:space="preserve">/practice-notes</w:t>
      </w:r>
    </w:p>
    <w:p>
      <w:pPr>
        <w:pStyle w:val="BodyText"/>
      </w:pPr>
      <w:r>
        <w:rPr>
          <w:b/>
          <w:bCs/>
        </w:rPr>
        <w:t xml:space="preserve">Purpose:</w:t>
      </w:r>
      <w:r>
        <w:t xml:space="preserve"> </w:t>
      </w:r>
      <w:r>
        <w:t xml:space="preserve">Store court decisions, firm guidance documents, claim language standards, and argument precedent that are automatically injected into OA Response, Claim Construction, and AI Assistant contexts when relevant.</w:t>
      </w:r>
    </w:p>
    <w:p>
      <w:pPr>
        <w:pStyle w:val="BodyText"/>
      </w:pPr>
      <w:r>
        <w:rPr>
          <w:b/>
          <w:bCs/>
        </w:rPr>
        <w:t xml:space="preserve">Note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Title</w:t>
            </w:r>
          </w:p>
        </w:tc>
        <w:tc>
          <w:tcPr/>
          <w:p>
            <w:pPr>
              <w:pStyle w:val="Compact"/>
            </w:pPr>
            <w:r>
              <w:t xml:space="preserve">Short descriptive title</w:t>
            </w:r>
          </w:p>
        </w:tc>
      </w:tr>
      <w:tr>
        <w:tc>
          <w:tcPr/>
          <w:p>
            <w:pPr>
              <w:pStyle w:val="Compact"/>
            </w:pPr>
            <w:r>
              <w:t xml:space="preserve">Tag</w:t>
            </w:r>
          </w:p>
        </w:tc>
        <w:tc>
          <w:tcPr/>
          <w:p>
            <w:pPr>
              <w:pStyle w:val="Compact"/>
            </w:pPr>
            <w:r>
              <w:t xml:space="preserve">Rejection type or topic (§ 102, § 103, § 101, § 112, Obviousness, Claim Drafting, etc.)</w:t>
            </w:r>
          </w:p>
        </w:tc>
      </w:tr>
      <w:tr>
        <w:tc>
          <w:tcPr/>
          <w:p>
            <w:pPr>
              <w:pStyle w:val="Compact"/>
            </w:pPr>
            <w:r>
              <w:t xml:space="preserve">Priority</w:t>
            </w:r>
          </w:p>
        </w:tc>
        <w:tc>
          <w:tcPr/>
          <w:p>
            <w:pPr>
              <w:pStyle w:val="Compact"/>
            </w:pPr>
            <w:r>
              <w:t xml:space="preserve">High or Normal — High priority notes are always injected; Normal priority notes are injected when the tag matches the current rejection type</w:t>
            </w:r>
          </w:p>
        </w:tc>
      </w:tr>
      <w:tr>
        <w:tc>
          <w:tcPr/>
          <w:p>
            <w:pPr>
              <w:pStyle w:val="Compact"/>
            </w:pPr>
            <w:r>
              <w:t xml:space="preserve">Content</w:t>
            </w:r>
          </w:p>
        </w:tc>
        <w:tc>
          <w:tcPr/>
          <w:p>
            <w:pPr>
              <w:pStyle w:val="Compact"/>
            </w:pPr>
            <w:r>
              <w:t xml:space="preserve">Full text of the note — case citations, argument language, firm standards</w:t>
            </w:r>
          </w:p>
        </w:tc>
      </w:tr>
      <w:tr>
        <w:tc>
          <w:tcPr/>
          <w:p>
            <w:pPr>
              <w:pStyle w:val="Compact"/>
            </w:pPr>
            <w:r>
              <w:t xml:space="preserve">Active toggle</w:t>
            </w:r>
          </w:p>
        </w:tc>
        <w:tc>
          <w:tcPr/>
          <w:p>
            <w:pPr>
              <w:pStyle w:val="Compact"/>
            </w:pPr>
            <w:r>
              <w:t xml:space="preserve">Inactive notes are retained but not injected</w:t>
            </w:r>
          </w:p>
        </w:tc>
      </w:tr>
    </w:tbl>
    <w:p>
      <w:pPr>
        <w:pStyle w:val="BodyText"/>
      </w:pPr>
      <w:r>
        <w:rPr>
          <w:b/>
          <w:bCs/>
        </w:rPr>
        <w:t xml:space="preserve">Tips for attorneys:</w:t>
      </w:r>
      <w:r>
        <w:t xml:space="preserve"> </w:t>
      </w:r>
      <w:r>
        <w:t xml:space="preserve">- Create High priority notes for firm-wide standards that should always be applied — e.g., the firm’s standard § 112(b) definiteness preservation language, or the firm’s written description reservation clause.</w:t>
      </w:r>
      <w:r>
        <w:t xml:space="preserve"> </w:t>
      </w:r>
      <w:r>
        <w:t xml:space="preserve">- Notes are stored in</w:t>
      </w:r>
      <w:r>
        <w:t xml:space="preserve"> </w:t>
      </w:r>
      <w:r>
        <w:rPr>
          <w:rStyle w:val="VerbatimChar"/>
        </w:rPr>
        <w:t xml:space="preserve">~/.patent_ai_notes/</w:t>
      </w:r>
      <w:r>
        <w:t xml:space="preserve"> </w:t>
      </w:r>
      <w:r>
        <w:t xml:space="preserve">and are shared between Priori and the legacy Streamlit app (if still in use).</w:t>
      </w:r>
      <w:r>
        <w:t xml:space="preserve"> </w:t>
      </w:r>
      <w:r>
        <w:t xml:space="preserve">- Upload court decisions as PDFs — Priori extracts the text and stores it as a practice note. The extracted text is the attorney’s responsibility to verify for accuracy before activating.</w:t>
      </w:r>
    </w:p>
    <w:p>
      <w:r>
        <w:pict>
          <v:rect style="width:0;height:1.5pt" o:hralign="center" o:hrstd="t" o:hr="t"/>
        </w:pict>
      </w:r>
    </w:p>
    <w:bookmarkEnd w:id="51"/>
    <w:bookmarkStart w:id="52" w:name="prompt-manager"/>
    <w:p>
      <w:pPr>
        <w:pStyle w:val="Heading3"/>
      </w:pPr>
      <w:r>
        <w:t xml:space="preserve">8.6 Prompt Manager</w:t>
      </w:r>
    </w:p>
    <w:p>
      <w:pPr>
        <w:pStyle w:val="FirstParagraph"/>
      </w:pPr>
      <w:r>
        <w:rPr>
          <w:b/>
          <w:bCs/>
        </w:rPr>
        <w:t xml:space="preserve">Route:</w:t>
      </w:r>
      <w:r>
        <w:t xml:space="preserve"> </w:t>
      </w:r>
      <w:r>
        <w:rPr>
          <w:rStyle w:val="VerbatimChar"/>
        </w:rPr>
        <w:t xml:space="preserve">/prompt-manager</w:t>
      </w:r>
    </w:p>
    <w:p>
      <w:pPr>
        <w:pStyle w:val="BodyText"/>
      </w:pPr>
      <w:r>
        <w:rPr>
          <w:b/>
          <w:bCs/>
        </w:rPr>
        <w:t xml:space="preserve">Purpose:</w:t>
      </w:r>
      <w:r>
        <w:t xml:space="preserve"> </w:t>
      </w:r>
      <w:r>
        <w:t xml:space="preserve">Create, edit, and manage reusable AI system prompt templates. Templates control the persona and instruction set that Claude uses in the AI Assistant and other tools.</w:t>
      </w:r>
    </w:p>
    <w:p>
      <w:pPr>
        <w:pStyle w:val="BodyText"/>
      </w:pPr>
      <w:r>
        <w:rPr>
          <w:b/>
          <w:bCs/>
        </w:rPr>
        <w:t xml:space="preserve">Default templates: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Template</w:t>
            </w:r>
          </w:p>
        </w:tc>
        <w:tc>
          <w:tcPr/>
          <w:p>
            <w:pPr>
              <w:pStyle w:val="Compact"/>
            </w:pPr>
            <w:r>
              <w:t xml:space="preserve">Use case</w:t>
            </w:r>
          </w:p>
        </w:tc>
      </w:tr>
      <w:tr>
        <w:tc>
          <w:tcPr/>
          <w:p>
            <w:pPr>
              <w:pStyle w:val="Compact"/>
            </w:pPr>
            <w:r>
              <w:t xml:space="preserve">Default</w:t>
            </w:r>
          </w:p>
        </w:tc>
        <w:tc>
          <w:tcPr/>
          <w:p>
            <w:pPr>
              <w:pStyle w:val="Compact"/>
            </w:pPr>
            <w:r>
              <w:t xml:space="preserve">General patent attorney assistant — balanced analytical mode</w:t>
            </w:r>
          </w:p>
        </w:tc>
      </w:tr>
      <w:tr>
        <w:tc>
          <w:tcPr/>
          <w:p>
            <w:pPr>
              <w:pStyle w:val="Compact"/>
            </w:pPr>
            <w:r>
              <w:t xml:space="preserve">Claim Drafting</w:t>
            </w:r>
          </w:p>
        </w:tc>
        <w:tc>
          <w:tcPr/>
          <w:p>
            <w:pPr>
              <w:pStyle w:val="Compact"/>
            </w:pPr>
            <w:r>
              <w:t xml:space="preserve">Focused on claim structure, format, and scope — broadest defensible scope orientation</w:t>
            </w:r>
          </w:p>
        </w:tc>
      </w:tr>
    </w:tbl>
    <w:p>
      <w:pPr>
        <w:pStyle w:val="BodyText"/>
      </w:pPr>
      <w:r>
        <w:rPr>
          <w:b/>
          <w:bCs/>
        </w:rPr>
        <w:t xml:space="preserve">Template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System Prompt</w:t>
            </w:r>
          </w:p>
        </w:tc>
        <w:tc>
          <w:tcPr/>
          <w:p>
            <w:pPr>
              <w:pStyle w:val="Compact"/>
            </w:pPr>
            <w:r>
              <w:t xml:space="preserve">The instruction set given to Claude at the start of every conversation</w:t>
            </w:r>
          </w:p>
        </w:tc>
      </w:tr>
      <w:tr>
        <w:tc>
          <w:tcPr/>
          <w:p>
            <w:pPr>
              <w:pStyle w:val="Compact"/>
            </w:pPr>
            <w:r>
              <w:t xml:space="preserve">Temperature</w:t>
            </w:r>
          </w:p>
        </w:tc>
        <w:tc>
          <w:tcPr/>
          <w:p>
            <w:pPr>
              <w:pStyle w:val="Compact"/>
            </w:pPr>
            <w:r>
              <w:t xml:space="preserve">0.0–1.0 (lower = more deterministic; 0.2–0.3 recommended for legal drafting)</w:t>
            </w:r>
          </w:p>
        </w:tc>
      </w:tr>
      <w:tr>
        <w:tc>
          <w:tcPr/>
          <w:p>
            <w:pPr>
              <w:pStyle w:val="Compact"/>
            </w:pPr>
            <w:r>
              <w:t xml:space="preserve">Output Format Instruction</w:t>
            </w:r>
          </w:p>
        </w:tc>
        <w:tc>
          <w:tcPr/>
          <w:p>
            <w:pPr>
              <w:pStyle w:val="Compact"/>
            </w:pPr>
            <w:r>
              <w:t xml:space="preserve">Appended to the system prompt — e.g.,</w:t>
            </w:r>
            <w:r>
              <w:t xml:space="preserve"> </w:t>
            </w:r>
            <w:r>
              <w:t xml:space="preserve">“Present claims in numbered format”</w:t>
            </w:r>
          </w:p>
        </w:tc>
      </w:tr>
      <w:tr>
        <w:tc>
          <w:tcPr/>
          <w:p>
            <w:pPr>
              <w:pStyle w:val="Compact"/>
            </w:pPr>
            <w:r>
              <w:t xml:space="preserve">Few-Shot Examples</w:t>
            </w:r>
          </w:p>
        </w:tc>
        <w:tc>
          <w:tcPr/>
          <w:p>
            <w:pPr>
              <w:pStyle w:val="Compact"/>
            </w:pPr>
            <w:r>
              <w:t xml:space="preserve">Example exchanges to shape output style</w:t>
            </w:r>
          </w:p>
        </w:tc>
      </w:tr>
    </w:tbl>
    <w:p>
      <w:pPr>
        <w:pStyle w:val="BodyText"/>
      </w:pPr>
      <w:r>
        <w:rPr>
          <w:b/>
          <w:bCs/>
        </w:rPr>
        <w:t xml:space="preserve">Tips for attorneys:</w:t>
      </w:r>
      <w:r>
        <w:t xml:space="preserve"> </w:t>
      </w:r>
      <w:r>
        <w:t xml:space="preserve">- Create a Litigation Support template with instructions to focus on claim construction, file wrapper estoppel, and prior art analysis. Switch to this template when using the AI Assistant for litigation work.</w:t>
      </w:r>
      <w:r>
        <w:t xml:space="preserve"> </w:t>
      </w:r>
      <w:r>
        <w:t xml:space="preserve">- Temperature above 0.5 increases creative variation but reduces consistency. Keep temperature at 0.3 or below for claim drafting and formal analysis tasks.</w:t>
      </w:r>
    </w:p>
    <w:p>
      <w:r>
        <w:pict>
          <v:rect style="width:0;height:1.5pt" o:hralign="center" o:hrstd="t" o:hr="t"/>
        </w:pict>
      </w:r>
    </w:p>
    <w:bookmarkEnd w:id="52"/>
    <w:bookmarkEnd w:id="53"/>
    <w:bookmarkStart w:id="58" w:name="settings"/>
    <w:p>
      <w:pPr>
        <w:pStyle w:val="Heading2"/>
      </w:pPr>
      <w:r>
        <w:t xml:space="preserve">9. Settings</w:t>
      </w:r>
    </w:p>
    <w:p>
      <w:pPr>
        <w:pStyle w:val="FirstParagraph"/>
      </w:pPr>
      <w:r>
        <w:rPr>
          <w:b/>
          <w:bCs/>
        </w:rPr>
        <w:t xml:space="preserve">Route:</w:t>
      </w:r>
      <w:r>
        <w:t xml:space="preserve"> </w:t>
      </w:r>
      <w:r>
        <w:rPr>
          <w:rStyle w:val="VerbatimChar"/>
        </w:rPr>
        <w:t xml:space="preserve">/settings</w:t>
      </w:r>
    </w:p>
    <w:bookmarkStart w:id="54" w:name="attorney-profile"/>
    <w:p>
      <w:pPr>
        <w:pStyle w:val="Heading3"/>
      </w:pPr>
      <w:r>
        <w:t xml:space="preserve">9.1 Attorney Profile</w:t>
      </w:r>
    </w:p>
    <w:p>
      <w:pPr>
        <w:pStyle w:val="FirstParagraph"/>
      </w:pPr>
      <w:r>
        <w:t xml:space="preserve">The attorney profile is used on all generated documents — headers, signature blocks, and transmittal letters.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Where it appears</w:t>
            </w:r>
          </w:p>
        </w:tc>
      </w:tr>
      <w:tr>
        <w:tc>
          <w:tcPr/>
          <w:p>
            <w:pPr>
              <w:pStyle w:val="Compact"/>
            </w:pPr>
            <w:r>
              <w:t xml:space="preserve">Attorney Name</w:t>
            </w:r>
          </w:p>
        </w:tc>
        <w:tc>
          <w:tcPr/>
          <w:p>
            <w:pPr>
              <w:pStyle w:val="Compact"/>
            </w:pPr>
            <w:r>
              <w:t xml:space="preserve">All document headers and signature blocks</w:t>
            </w:r>
          </w:p>
        </w:tc>
      </w:tr>
      <w:tr>
        <w:tc>
          <w:tcPr/>
          <w:p>
            <w:pPr>
              <w:pStyle w:val="Compact"/>
            </w:pPr>
            <w:r>
              <w:t xml:space="preserve">Registration Number</w:t>
            </w:r>
          </w:p>
        </w:tc>
        <w:tc>
          <w:tcPr/>
          <w:p>
            <w:pPr>
              <w:pStyle w:val="Compact"/>
            </w:pPr>
            <w:r>
              <w:t xml:space="preserve">Transmittal letters, IDS, ADS, Certificate of Mailing</w:t>
            </w:r>
          </w:p>
        </w:tc>
      </w:tr>
      <w:tr>
        <w:tc>
          <w:tcPr/>
          <w:p>
            <w:pPr>
              <w:pStyle w:val="Compact"/>
            </w:pPr>
            <w:r>
              <w:t xml:space="preserve">Firm Phone</w:t>
            </w:r>
          </w:p>
        </w:tc>
        <w:tc>
          <w:tcPr/>
          <w:p>
            <w:pPr>
              <w:pStyle w:val="Compact"/>
            </w:pPr>
            <w:r>
              <w:t xml:space="preserve">Document headers</w:t>
            </w:r>
          </w:p>
        </w:tc>
      </w:tr>
      <w:tr>
        <w:tc>
          <w:tcPr/>
          <w:p>
            <w:pPr>
              <w:pStyle w:val="Compact"/>
            </w:pPr>
            <w:r>
              <w:t xml:space="preserve">Firm Email</w:t>
            </w:r>
          </w:p>
        </w:tc>
        <w:tc>
          <w:tcPr/>
          <w:p>
            <w:pPr>
              <w:pStyle w:val="Compact"/>
            </w:pPr>
            <w:r>
              <w:t xml:space="preserve">Document headers</w:t>
            </w:r>
          </w:p>
        </w:tc>
      </w:tr>
      <w:tr>
        <w:tc>
          <w:tcPr/>
          <w:p>
            <w:pPr>
              <w:pStyle w:val="Compact"/>
            </w:pPr>
            <w:r>
              <w:t xml:space="preserve">Firm Name (override)</w:t>
            </w:r>
          </w:p>
        </w:tc>
        <w:tc>
          <w:tcPr/>
          <w:p>
            <w:pPr>
              <w:pStyle w:val="Compact"/>
            </w:pPr>
            <w:r>
              <w:t xml:space="preserve">Overrides the firm-level name on your personal documents</w:t>
            </w:r>
          </w:p>
        </w:tc>
      </w:tr>
    </w:tbl>
    <w:p>
      <w:pPr>
        <w:pStyle w:val="BodyText"/>
      </w:pPr>
      <w:r>
        <w:rPr>
          <w:b/>
          <w:bCs/>
        </w:rPr>
        <w:t xml:space="preserve">OED Verification:</w:t>
      </w:r>
      <w:r>
        <w:t xml:space="preserve"> </w:t>
      </w:r>
      <w:r>
        <w:t xml:space="preserve">If your registration number is on file and Priori has verified it against the USPTO OED database, a green verification badge is shown. If the badge is absent or amber, save your registration number and sign in again to trigger verification.</w:t>
      </w:r>
    </w:p>
    <w:bookmarkEnd w:id="54"/>
    <w:bookmarkStart w:id="55" w:name="output-folder"/>
    <w:p>
      <w:pPr>
        <w:pStyle w:val="Heading3"/>
      </w:pPr>
      <w:r>
        <w:t xml:space="preserve">9.2 Output Folder</w:t>
      </w:r>
    </w:p>
    <w:p>
      <w:pPr>
        <w:pStyle w:val="FirstParagraph"/>
      </w:pPr>
      <w:r>
        <w:t xml:space="preserve">Specify a local folder path where generated</w:t>
      </w:r>
      <w:r>
        <w:t xml:space="preserve"> </w:t>
      </w:r>
      <w:r>
        <w:rPr>
          <w:rStyle w:val="VerbatimChar"/>
        </w:rPr>
        <w:t xml:space="preserve">.docx</w:t>
      </w:r>
      <w:r>
        <w:t xml:space="preserve"> </w:t>
      </w:r>
      <w:r>
        <w:t xml:space="preserve">and</w:t>
      </w:r>
      <w:r>
        <w:t xml:space="preserve"> </w:t>
      </w:r>
      <w:r>
        <w:rPr>
          <w:rStyle w:val="VerbatimChar"/>
        </w:rPr>
        <w:t xml:space="preserve">.md</w:t>
      </w:r>
      <w:r>
        <w:t xml:space="preserve"> </w:t>
      </w:r>
      <w:r>
        <w:t xml:space="preserve">files are saved. Leave blank to use the default Priori Outputs folder.</w:t>
      </w:r>
    </w:p>
    <w:bookmarkEnd w:id="55"/>
    <w:bookmarkStart w:id="56" w:name="model-preference"/>
    <w:p>
      <w:pPr>
        <w:pStyle w:val="Heading3"/>
      </w:pPr>
      <w:r>
        <w:t xml:space="preserve">9.3 Model Preference</w:t>
      </w:r>
    </w:p>
    <w:p>
      <w:pPr>
        <w:pStyle w:val="FirstParagraph"/>
      </w:pPr>
      <w:r>
        <w:t xml:space="preserve">Select your preferred Claude model. Options available as of v2.1: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Use case</w:t>
            </w:r>
          </w:p>
        </w:tc>
      </w:tr>
      <w:tr>
        <w:tc>
          <w:tcPr/>
          <w:p>
            <w:pPr>
              <w:pStyle w:val="Compact"/>
            </w:pPr>
            <w:r>
              <w:t xml:space="preserve">claude-sonnet-4-6</w:t>
            </w:r>
          </w:p>
        </w:tc>
        <w:tc>
          <w:tcPr/>
          <w:p>
            <w:pPr>
              <w:pStyle w:val="Compact"/>
            </w:pPr>
            <w:r>
              <w:t xml:space="preserve">Default — fast, high quality for most tasks</w:t>
            </w:r>
          </w:p>
        </w:tc>
      </w:tr>
      <w:tr>
        <w:tc>
          <w:tcPr/>
          <w:p>
            <w:pPr>
              <w:pStyle w:val="Compact"/>
            </w:pPr>
            <w:r>
              <w:t xml:space="preserve">claude-opus-4-7</w:t>
            </w:r>
          </w:p>
        </w:tc>
        <w:tc>
          <w:tcPr/>
          <w:p>
            <w:pPr>
              <w:pStyle w:val="Compact"/>
            </w:pPr>
            <w:r>
              <w:t xml:space="preserve">Extended reasoning — best for complex FTO, invalidity, and claim construction</w:t>
            </w:r>
          </w:p>
        </w:tc>
      </w:tr>
      <w:tr>
        <w:tc>
          <w:tcPr/>
          <w:p>
            <w:pPr>
              <w:pStyle w:val="Compact"/>
            </w:pPr>
            <w:r>
              <w:t xml:space="preserve">claude-haiku-4-5-20251001</w:t>
            </w:r>
          </w:p>
        </w:tc>
        <w:tc>
          <w:tcPr/>
          <w:p>
            <w:pPr>
              <w:pStyle w:val="Compact"/>
            </w:pPr>
            <w:r>
              <w:t xml:space="preserve">Fastest — suitable for quick lookups and simple drafting tasks</w:t>
            </w:r>
          </w:p>
        </w:tc>
      </w:tr>
    </w:tbl>
    <w:p>
      <w:pPr>
        <w:pStyle w:val="BodyText"/>
      </w:pPr>
      <w:r>
        <w:t xml:space="preserve">Your individual model preference overrides the firm default for your sessions only.</w:t>
      </w:r>
    </w:p>
    <w:bookmarkEnd w:id="56"/>
    <w:bookmarkStart w:id="57" w:name="Xdcbef6df78e643ffb099be464551c062cd24385"/>
    <w:p>
      <w:pPr>
        <w:pStyle w:val="Heading3"/>
      </w:pPr>
      <w:r>
        <w:t xml:space="preserve">9.4 Firm-Level Settings (read-only for attorneys)</w:t>
      </w:r>
    </w:p>
    <w:p>
      <w:pPr>
        <w:pStyle w:val="FirstParagraph"/>
      </w:pPr>
      <w:r>
        <w:t xml:space="preserve">Firm-level API keys, the default model, and the grants index path are set by the Firm Admin and appear as read-only fields with a</w:t>
      </w:r>
      <w:r>
        <w:t xml:space="preserve"> </w:t>
      </w:r>
      <w:r>
        <w:t xml:space="preserve">“Set by Firm Admin”</w:t>
      </w:r>
      <w:r>
        <w:t xml:space="preserve"> </w:t>
      </w:r>
      <w:r>
        <w:t xml:space="preserve">badge. To change these settings, ask your Firm Admin or, if you are a Firm Admin, navigate to Admin Dashboard → Firm Settings.</w:t>
      </w:r>
    </w:p>
    <w:p>
      <w:r>
        <w:pict>
          <v:rect style="width:0;height:1.5pt" o:hralign="center" o:hrstd="t" o:hr="t"/>
        </w:pict>
      </w:r>
    </w:p>
    <w:bookmarkEnd w:id="57"/>
    <w:bookmarkEnd w:id="58"/>
    <w:bookmarkStart w:id="63" w:name="administration-firm-admins"/>
    <w:p>
      <w:pPr>
        <w:pStyle w:val="Heading2"/>
      </w:pPr>
      <w:r>
        <w:t xml:space="preserve">10. Administration (Firm Admins)</w:t>
      </w:r>
    </w:p>
    <w:p>
      <w:pPr>
        <w:pStyle w:val="FirstParagraph"/>
      </w:pPr>
      <w:r>
        <w:rPr>
          <w:b/>
          <w:bCs/>
        </w:rPr>
        <w:t xml:space="preserve">Route:</w:t>
      </w:r>
      <w:r>
        <w:t xml:space="preserve"> </w:t>
      </w:r>
      <w:r>
        <w:rPr>
          <w:rStyle w:val="VerbatimChar"/>
        </w:rPr>
        <w:t xml:space="preserve">/admin</w:t>
      </w:r>
      <w:r>
        <w:t xml:space="preserve"> </w:t>
      </w:r>
      <w:r>
        <w:t xml:space="preserve">(accessible only to users with firm_admin role)</w:t>
      </w:r>
    </w:p>
    <w:p>
      <w:pPr>
        <w:pStyle w:val="BodyText"/>
      </w:pPr>
      <w:r>
        <w:t xml:space="preserve">The Admin Dashboard provides:</w:t>
      </w:r>
    </w:p>
    <w:bookmarkStart w:id="59" w:name="firm-settings-adminsettings"/>
    <w:p>
      <w:pPr>
        <w:pStyle w:val="Heading3"/>
      </w:pPr>
      <w:r>
        <w:t xml:space="preserve">10.1 Firm Settings (</w:t>
      </w:r>
      <w:r>
        <w:rPr>
          <w:rStyle w:val="VerbatimChar"/>
        </w:rPr>
        <w:t xml:space="preserve">/admin/settings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Firm Name</w:t>
            </w:r>
          </w:p>
        </w:tc>
        <w:tc>
          <w:tcPr/>
          <w:p>
            <w:pPr>
              <w:pStyle w:val="Compact"/>
            </w:pPr>
            <w:r>
              <w:t xml:space="preserve">Displayed in the sidebar and on all documents</w:t>
            </w:r>
          </w:p>
        </w:tc>
      </w:tr>
      <w:tr>
        <w:tc>
          <w:tcPr/>
          <w:p>
            <w:pPr>
              <w:pStyle w:val="Compact"/>
            </w:pPr>
            <w:r>
              <w:t xml:space="preserve">Firm Logo</w:t>
            </w:r>
          </w:p>
        </w:tc>
        <w:tc>
          <w:tcPr/>
          <w:p>
            <w:pPr>
              <w:pStyle w:val="Compact"/>
            </w:pPr>
            <w:r>
              <w:t xml:space="preserve">Upload a logo (PNG or JPG); replaces the Priori mark in the sidebar</w:t>
            </w:r>
          </w:p>
        </w:tc>
      </w:tr>
      <w:tr>
        <w:tc>
          <w:tcPr/>
          <w:p>
            <w:pPr>
              <w:pStyle w:val="Compact"/>
            </w:pPr>
            <w:r>
              <w:t xml:space="preserve">Anthropic API Key</w:t>
            </w:r>
          </w:p>
        </w:tc>
        <w:tc>
          <w:tcPr/>
          <w:p>
            <w:pPr>
              <w:pStyle w:val="Compact"/>
            </w:pPr>
            <w:r>
              <w:t xml:space="preserve">Required for Claude-powered features. Stored encrypted at rest</w:t>
            </w:r>
          </w:p>
        </w:tc>
      </w:tr>
      <w:tr>
        <w:tc>
          <w:tcPr/>
          <w:p>
            <w:pPr>
              <w:pStyle w:val="Compact"/>
            </w:pPr>
            <w:r>
              <w:t xml:space="preserve">USPTO ODP API Key</w:t>
            </w:r>
          </w:p>
        </w:tc>
        <w:tc>
          <w:tcPr/>
          <w:p>
            <w:pPr>
              <w:pStyle w:val="Compact"/>
            </w:pPr>
            <w:r>
              <w:t xml:space="preserve">Required for IFW Collector, Prosecution Monitor, and pending application search.</w:t>
            </w:r>
            <w:r>
              <w:t xml:space="preserve"> </w:t>
            </w:r>
            <w:r>
              <w:rPr>
                <w:b/>
                <w:bCs/>
              </w:rPr>
              <w:t xml:space="preserve">Mandatory after June 18, 2026</w:t>
            </w:r>
          </w:p>
        </w:tc>
      </w:tr>
      <w:tr>
        <w:tc>
          <w:tcPr/>
          <w:p>
            <w:pPr>
              <w:pStyle w:val="Compact"/>
            </w:pPr>
            <w:r>
              <w:t xml:space="preserve">Default Claude Model</w:t>
            </w:r>
          </w:p>
        </w:tc>
        <w:tc>
          <w:tcPr/>
          <w:p>
            <w:pPr>
              <w:pStyle w:val="Compact"/>
            </w:pPr>
            <w:r>
              <w:t xml:space="preserve">Applies to all users unless overridden in individual settings</w:t>
            </w:r>
          </w:p>
        </w:tc>
      </w:tr>
      <w:tr>
        <w:tc>
          <w:tcPr/>
          <w:p>
            <w:pPr>
              <w:pStyle w:val="Compact"/>
            </w:pPr>
            <w:r>
              <w:t xml:space="preserve">Firm Output Root</w:t>
            </w:r>
          </w:p>
        </w:tc>
        <w:tc>
          <w:tcPr/>
          <w:p>
            <w:pPr>
              <w:pStyle w:val="Compact"/>
            </w:pPr>
            <w:r>
              <w:t xml:space="preserve">Base folder for all document output across the firm</w:t>
            </w:r>
          </w:p>
        </w:tc>
      </w:tr>
      <w:tr>
        <w:tc>
          <w:tcPr/>
          <w:p>
            <w:pPr>
              <w:pStyle w:val="Compact"/>
            </w:pPr>
            <w:r>
              <w:t xml:space="preserve">Patent Grants Index Path</w:t>
            </w:r>
          </w:p>
        </w:tc>
        <w:tc>
          <w:tcPr/>
          <w:p>
            <w:pPr>
              <w:pStyle w:val="Compact"/>
            </w:pPr>
            <w:r>
              <w:t xml:space="preserve">Path to the local FTS5 USPTO grants index database. See below</w:t>
            </w:r>
          </w:p>
        </w:tc>
      </w:tr>
    </w:tbl>
    <w:p>
      <w:pPr>
        <w:pStyle w:val="BodyText"/>
      </w:pPr>
      <w:r>
        <w:rPr>
          <w:b/>
          <w:bCs/>
        </w:rPr>
        <w:t xml:space="preserve">Patent Grants Index:</w:t>
      </w:r>
      <w:r>
        <w:t xml:space="preserve"> </w:t>
      </w:r>
      <w:r>
        <w:t xml:space="preserve">The local index (</w:t>
      </w:r>
      <w:r>
        <w:rPr>
          <w:rStyle w:val="VerbatimChar"/>
        </w:rPr>
        <w:t xml:space="preserve">patents_grants.db</w:t>
      </w:r>
      <w:r>
        <w:t xml:space="preserve">) is a SQLite database with FTS5 full-text search over all USPTO grant data. It enables fast, offline semantic search without relying on Google Patents. To build or update the index, run:</w:t>
      </w:r>
    </w:p>
    <w:p>
      <w:pPr>
        <w:pStyle w:val="SourceCode"/>
      </w:pPr>
      <w:r>
        <w:rPr>
          <w:rStyle w:val="VerbatimChar"/>
        </w:rPr>
        <w:t xml:space="preserve">python3 scripts/build_grants_index.py</w:t>
      </w:r>
    </w:p>
    <w:p>
      <w:pPr>
        <w:pStyle w:val="FirstParagraph"/>
      </w:pPr>
      <w:r>
        <w:t xml:space="preserve">The index path must be set in Firm Settings for the index to be used by Patent Search.</w:t>
      </w:r>
    </w:p>
    <w:bookmarkEnd w:id="59"/>
    <w:bookmarkStart w:id="60" w:name="user-management-adminusers"/>
    <w:p>
      <w:pPr>
        <w:pStyle w:val="Heading3"/>
      </w:pPr>
      <w:r>
        <w:t xml:space="preserve">10.2 User Management (</w:t>
      </w:r>
      <w:r>
        <w:rPr>
          <w:rStyle w:val="VerbatimChar"/>
        </w:rPr>
        <w:t xml:space="preserve">/admin/users</w:t>
      </w:r>
      <w:r>
        <w:t xml:space="preserve">)</w:t>
      </w:r>
    </w:p>
    <w:p>
      <w:pPr>
        <w:pStyle w:val="FirstParagraph"/>
      </w:pPr>
      <w:r>
        <w:t xml:space="preserve">Create, edit, and deactivate user accounts. Set roles (attorney / firm_admin). Reset passwords.</w:t>
      </w:r>
    </w:p>
    <w:bookmarkEnd w:id="60"/>
    <w:bookmarkStart w:id="61" w:name="client-management-adminclients"/>
    <w:p>
      <w:pPr>
        <w:pStyle w:val="Heading3"/>
      </w:pPr>
      <w:r>
        <w:t xml:space="preserve">10.3 Client Management (</w:t>
      </w:r>
      <w:r>
        <w:rPr>
          <w:rStyle w:val="VerbatimChar"/>
        </w:rPr>
        <w:t xml:space="preserve">/admin/clients</w:t>
      </w:r>
      <w:r>
        <w:t xml:space="preserve">)</w:t>
      </w:r>
    </w:p>
    <w:p>
      <w:pPr>
        <w:pStyle w:val="FirstParagraph"/>
      </w:pPr>
      <w:r>
        <w:t xml:space="preserve">Create and manage client identifiers used to scope the corpus and portfolio data.</w:t>
      </w:r>
    </w:p>
    <w:bookmarkEnd w:id="61"/>
    <w:bookmarkStart w:id="62" w:name="corpus-administration-admincorpus"/>
    <w:p>
      <w:pPr>
        <w:pStyle w:val="Heading3"/>
      </w:pPr>
      <w:r>
        <w:t xml:space="preserve">10.4 Corpus Administration (</w:t>
      </w:r>
      <w:r>
        <w:rPr>
          <w:rStyle w:val="VerbatimChar"/>
        </w:rPr>
        <w:t xml:space="preserve">/admin/corpus</w:t>
      </w:r>
      <w:r>
        <w:t xml:space="preserve">)</w:t>
      </w:r>
    </w:p>
    <w:p>
      <w:pPr>
        <w:pStyle w:val="FirstParagraph"/>
      </w:pPr>
      <w:r>
        <w:t xml:space="preserve">Review and approve firm-level corpus entries submitted by attorneys. Bulk-approve or exclude entries. Export corpus to JSON.</w:t>
      </w:r>
    </w:p>
    <w:p>
      <w:r>
        <w:pict>
          <v:rect style="width:0;height:1.5pt" o:hralign="center" o:hrstd="t" o:hr="t"/>
        </w:pict>
      </w:r>
    </w:p>
    <w:bookmarkEnd w:id="62"/>
    <w:bookmarkEnd w:id="63"/>
    <w:bookmarkStart w:id="68" w:name="troubleshooting"/>
    <w:p>
      <w:pPr>
        <w:pStyle w:val="Heading2"/>
      </w:pPr>
      <w:r>
        <w:t xml:space="preserve">11. Troubleshooting</w:t>
      </w:r>
    </w:p>
    <w:bookmarkStart w:id="64" w:name="common-errors-and-fixes"/>
    <w:p>
      <w:pPr>
        <w:pStyle w:val="Heading3"/>
      </w:pPr>
      <w:r>
        <w:t xml:space="preserve">Common errors and fixes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“No API key — go to Settings”</w:t>
            </w:r>
          </w:p>
        </w:tc>
        <w:tc>
          <w:tcPr/>
          <w:p>
            <w:pPr>
              <w:pStyle w:val="Compact"/>
            </w:pPr>
            <w:r>
              <w:t xml:space="preserve">Anthropic API key not set</w:t>
            </w:r>
          </w:p>
        </w:tc>
        <w:tc>
          <w:tcPr/>
          <w:p>
            <w:pPr>
              <w:pStyle w:val="Compact"/>
            </w:pPr>
            <w:r>
              <w:t xml:space="preserve">Settings → save your API key, or ask Firm Admin to set the firm key</w:t>
            </w:r>
          </w:p>
        </w:tc>
      </w:tr>
      <w:tr>
        <w:tc>
          <w:tcPr/>
          <w:p>
            <w:pPr>
              <w:pStyle w:val="Compact"/>
            </w:pPr>
            <w:r>
              <w:t xml:space="preserve">“USPTO ODP key not configured”</w:t>
            </w:r>
          </w:p>
        </w:tc>
        <w:tc>
          <w:tcPr/>
          <w:p>
            <w:pPr>
              <w:pStyle w:val="Compact"/>
            </w:pPr>
            <w:r>
              <w:t xml:space="preserve">ODP API key absent</w:t>
            </w:r>
          </w:p>
        </w:tc>
        <w:tc>
          <w:tcPr/>
          <w:p>
            <w:pPr>
              <w:pStyle w:val="Compact"/>
            </w:pPr>
            <w:r>
              <w:t xml:space="preserve">Admin → Firm Settings → USPTO ODP API Key</w:t>
            </w:r>
          </w:p>
        </w:tc>
      </w:tr>
      <w:tr>
        <w:tc>
          <w:tcPr/>
          <w:p>
            <w:pPr>
              <w:pStyle w:val="Compact"/>
            </w:pPr>
            <w:r>
              <w:t xml:space="preserve">Patent Search auto-search blocked</w:t>
            </w:r>
          </w:p>
        </w:tc>
        <w:tc>
          <w:tcPr/>
          <w:p>
            <w:pPr>
              <w:pStyle w:val="Compact"/>
            </w:pPr>
            <w:r>
              <w:t xml:space="preserve">Google Patents rate limiting</w:t>
            </w:r>
          </w:p>
        </w:tc>
        <w:tc>
          <w:tcPr/>
          <w:p>
            <w:pPr>
              <w:pStyle w:val="Compact"/>
            </w:pPr>
            <w:r>
              <w:t xml:space="preserve">Use</w:t>
            </w:r>
            <w:r>
              <w:t xml:space="preserve"> </w:t>
            </w:r>
            <w:r>
              <w:t xml:space="preserve">“Search in Browser”</w:t>
            </w:r>
            <w:r>
              <w:t xml:space="preserve"> </w:t>
            </w:r>
            <w:r>
              <w:t xml:space="preserve">button; or configure the local grants index</w:t>
            </w:r>
          </w:p>
        </w:tc>
      </w:tr>
      <w:tr>
        <w:tc>
          <w:tcPr/>
          <w:p>
            <w:pPr>
              <w:pStyle w:val="Compact"/>
            </w:pPr>
            <w:r>
              <w:t xml:space="preserve">“Search backend unavailable”</w:t>
            </w:r>
          </w:p>
        </w:tc>
        <w:tc>
          <w:tcPr/>
          <w:p>
            <w:pPr>
              <w:pStyle w:val="Compact"/>
            </w:pPr>
            <w:r>
              <w:t xml:space="preserve">patent_intelligence module import error</w:t>
            </w:r>
          </w:p>
        </w:tc>
        <w:tc>
          <w:tcPr/>
          <w:p>
            <w:pPr>
              <w:pStyle w:val="Compact"/>
            </w:pPr>
            <w:r>
              <w:t xml:space="preserve">Restart Priori; check that all Python dependencies are installed</w:t>
            </w:r>
          </w:p>
        </w:tc>
      </w:tr>
      <w:tr>
        <w:tc>
          <w:tcPr/>
          <w:p>
            <w:pPr>
              <w:pStyle w:val="Compact"/>
            </w:pPr>
            <w:r>
              <w:t xml:space="preserve">OCQR checks don’t run</w:t>
            </w:r>
          </w:p>
        </w:tc>
        <w:tc>
          <w:tcPr/>
          <w:p>
            <w:pPr>
              <w:pStyle w:val="Compact"/>
            </w:pPr>
            <w:r>
              <w:t xml:space="preserve">Specification not uploaded</w:t>
            </w:r>
          </w:p>
        </w:tc>
        <w:tc>
          <w:tcPr/>
          <w:p>
            <w:pPr>
              <w:pStyle w:val="Compact"/>
            </w:pPr>
            <w:r>
              <w:t xml:space="preserve">Upload the specification to enable 112(a) checks</w:t>
            </w:r>
          </w:p>
        </w:tc>
      </w:tr>
      <w:tr>
        <w:tc>
          <w:tcPr/>
          <w:p>
            <w:pPr>
              <w:pStyle w:val="Compact"/>
            </w:pPr>
            <w:r>
              <w:t xml:space="preserve">IFW Collector returns no documents</w:t>
            </w:r>
          </w:p>
        </w:tc>
        <w:tc>
          <w:tcPr/>
          <w:p>
            <w:pPr>
              <w:pStyle w:val="Compact"/>
            </w:pPr>
            <w:r>
              <w:t xml:space="preserve">Application number format issue</w:t>
            </w:r>
          </w:p>
        </w:tc>
        <w:tc>
          <w:tcPr/>
          <w:p>
            <w:pPr>
              <w:pStyle w:val="Compact"/>
            </w:pPr>
            <w:r>
              <w:t xml:space="preserve">Format:</w:t>
            </w:r>
            <w:r>
              <w:t xml:space="preserve"> </w:t>
            </w:r>
            <w:r>
              <w:rPr>
                <w:rStyle w:val="VerbatimChar"/>
              </w:rPr>
              <w:t xml:space="preserve">17/123,456</w:t>
            </w:r>
            <w:r>
              <w:t xml:space="preserve"> </w:t>
            </w:r>
            <w:r>
              <w:t xml:space="preserve">or bare 8-digit number. No slashes needed for post-2003 apps</w:t>
            </w:r>
          </w:p>
        </w:tc>
      </w:tr>
      <w:tr>
        <w:tc>
          <w:tcPr/>
          <w:p>
            <w:pPr>
              <w:pStyle w:val="Compact"/>
            </w:pPr>
            <w:r>
              <w:t xml:space="preserve">OA Response generates empty output</w:t>
            </w:r>
          </w:p>
        </w:tc>
        <w:tc>
          <w:tcPr/>
          <w:p>
            <w:pPr>
              <w:pStyle w:val="Compact"/>
            </w:pPr>
            <w:r>
              <w:t xml:space="preserve">Missing OA upload or API key</w:t>
            </w:r>
          </w:p>
        </w:tc>
        <w:tc>
          <w:tcPr/>
          <w:p>
            <w:pPr>
              <w:pStyle w:val="Compact"/>
            </w:pPr>
            <w:r>
              <w:t xml:space="preserve">Upload the OA file; confirm the API key is set</w:t>
            </w:r>
          </w:p>
        </w:tc>
      </w:tr>
      <w:tr>
        <w:tc>
          <w:tcPr/>
          <w:p>
            <w:pPr>
              <w:pStyle w:val="Compact"/>
            </w:pPr>
            <w:r>
              <w:t xml:space="preserve">Ollama-based tools show error</w:t>
            </w:r>
          </w:p>
        </w:tc>
        <w:tc>
          <w:tcPr/>
          <w:p>
            <w:pPr>
              <w:pStyle w:val="Compact"/>
            </w:pPr>
            <w:r>
              <w:t xml:space="preserve">Ollama not running</w:t>
            </w:r>
          </w:p>
        </w:tc>
        <w:tc>
          <w:tcPr/>
          <w:p>
            <w:pPr>
              <w:pStyle w:val="Compact"/>
            </w:pPr>
            <w:r>
              <w:t xml:space="preserve">Start Ollama on your machine:</w:t>
            </w:r>
            <w:r>
              <w:t xml:space="preserve"> </w:t>
            </w:r>
            <w:r>
              <w:rPr>
                <w:rStyle w:val="VerbatimChar"/>
              </w:rPr>
              <w:t xml:space="preserve">ollama serve</w:t>
            </w:r>
          </w:p>
        </w:tc>
      </w:tr>
      <w:tr>
        <w:tc>
          <w:tcPr/>
          <w:p>
            <w:pPr>
              <w:pStyle w:val="Compact"/>
            </w:pPr>
            <w:r>
              <w:t xml:space="preserve">Portfolio Dashboard is empty</w:t>
            </w:r>
          </w:p>
        </w:tc>
        <w:tc>
          <w:tcPr/>
          <w:p>
            <w:pPr>
              <w:pStyle w:val="Compact"/>
            </w:pPr>
            <w:r>
              <w:t xml:space="preserve">No matters imported</w:t>
            </w:r>
          </w:p>
        </w:tc>
        <w:tc>
          <w:tcPr/>
          <w:p>
            <w:pPr>
              <w:pStyle w:val="Compact"/>
            </w:pPr>
            <w:r>
              <w:t xml:space="preserve">Load matters via In-House Review first</w:t>
            </w:r>
          </w:p>
        </w:tc>
      </w:tr>
      <w:tr>
        <w:tc>
          <w:tcPr/>
          <w:p>
            <w:pPr>
              <w:pStyle w:val="Compact"/>
            </w:pPr>
            <w:r>
              <w:t xml:space="preserve">Sidebar</w:t>
            </w:r>
            <w:r>
              <w:t xml:space="preserve"> </w:t>
            </w:r>
            <w:r>
              <w:t xml:space="preserve">“USPTO ODP Deadline”</w:t>
            </w:r>
            <w:r>
              <w:t xml:space="preserve"> </w:t>
            </w:r>
            <w:r>
              <w:t xml:space="preserve">banner is red</w:t>
            </w:r>
          </w:p>
        </w:tc>
        <w:tc>
          <w:tcPr/>
          <w:p>
            <w:pPr>
              <w:pStyle w:val="Compact"/>
            </w:pPr>
            <w:r>
              <w:t xml:space="preserve">Less than 14 days to June 18, 2026 deadline</w:t>
            </w:r>
          </w:p>
        </w:tc>
        <w:tc>
          <w:tcPr/>
          <w:p>
            <w:pPr>
              <w:pStyle w:val="Compact"/>
            </w:pPr>
            <w:r>
              <w:t xml:space="preserve">Configure ODP API key immediately</w:t>
            </w:r>
          </w:p>
        </w:tc>
      </w:tr>
      <w:tr>
        <w:tc>
          <w:tcPr/>
          <w:p>
            <w:pPr>
              <w:pStyle w:val="Compact"/>
            </w:pPr>
            <w:r>
              <w:t xml:space="preserve">Document Q&amp;A gives poor answers</w:t>
            </w:r>
          </w:p>
        </w:tc>
        <w:tc>
          <w:tcPr/>
          <w:p>
            <w:pPr>
              <w:pStyle w:val="Compact"/>
            </w:pPr>
            <w:r>
              <w:t xml:space="preserve">Scanned PDF without OCR</w:t>
            </w:r>
          </w:p>
        </w:tc>
        <w:tc>
          <w:tcPr/>
          <w:p>
            <w:pPr>
              <w:pStyle w:val="Compact"/>
            </w:pPr>
            <w:r>
              <w:t xml:space="preserve">Run document through OCR tool before uploading</w:t>
            </w:r>
          </w:p>
        </w:tc>
      </w:tr>
    </w:tbl>
    <w:bookmarkEnd w:id="64"/>
    <w:bookmarkStart w:id="65" w:name="restarting-priori"/>
    <w:p>
      <w:pPr>
        <w:pStyle w:val="Heading3"/>
      </w:pPr>
      <w:r>
        <w:t xml:space="preserve">Restarting Priori</w:t>
      </w:r>
    </w:p>
    <w:p>
      <w:pPr>
        <w:pStyle w:val="FirstParagraph"/>
      </w:pPr>
      <w:r>
        <w:t xml:space="preserve">If the application becomes unresponsive:</w:t>
      </w:r>
    </w:p>
    <w:p>
      <w:pPr>
        <w:numPr>
          <w:ilvl w:val="0"/>
          <w:numId w:val="1013"/>
        </w:numPr>
      </w:pPr>
      <w:r>
        <w:t xml:space="preserve">Stop the running server process (Ctrl-C in the terminal where Priori was launched, or stop the background service).</w:t>
      </w:r>
    </w:p>
    <w:p>
      <w:pPr>
        <w:numPr>
          <w:ilvl w:val="0"/>
          <w:numId w:val="1013"/>
        </w:numPr>
      </w:pPr>
      <w:r>
        <w:t xml:space="preserve">Restart using the launch script:</w:t>
      </w:r>
    </w:p>
    <w:p>
      <w:pPr>
        <w:pStyle w:val="SourceCode"/>
        <w:numPr>
          <w:ilvl w:val="0"/>
          <w:numId w:val="1000"/>
        </w:numPr>
      </w:pPr>
      <w:r>
        <w:rPr>
          <w:rStyle w:val="VerbatimChar"/>
        </w:rPr>
        <w:t xml:space="preserve">bash launch_priori_ng.sh</w:t>
      </w:r>
    </w:p>
    <w:p>
      <w:pPr>
        <w:numPr>
          <w:ilvl w:val="0"/>
          <w:numId w:val="1000"/>
        </w:numPr>
      </w:pPr>
      <w:r>
        <w:t xml:space="preserve">Or via the Python entry point:</w:t>
      </w:r>
    </w:p>
    <w:p>
      <w:pPr>
        <w:pStyle w:val="SourceCode"/>
        <w:numPr>
          <w:ilvl w:val="0"/>
          <w:numId w:val="1000"/>
        </w:numPr>
      </w:pPr>
      <w:r>
        <w:rPr>
          <w:rStyle w:val="VerbatimChar"/>
        </w:rPr>
        <w:t xml:space="preserve">python3 priori_ng/main.py</w:t>
      </w:r>
    </w:p>
    <w:p>
      <w:pPr>
        <w:numPr>
          <w:ilvl w:val="0"/>
          <w:numId w:val="1013"/>
        </w:numPr>
      </w:pPr>
      <w:r>
        <w:t xml:space="preserve">Reload the browser tab.</w:t>
      </w:r>
    </w:p>
    <w:bookmarkEnd w:id="65"/>
    <w:bookmarkStart w:id="67" w:name="uspto-odp-deadline"/>
    <w:p>
      <w:pPr>
        <w:pStyle w:val="Heading3"/>
      </w:pPr>
      <w:r>
        <w:t xml:space="preserve">USPTO ODP Deadline</w:t>
      </w:r>
    </w:p>
    <w:p>
      <w:pPr>
        <w:pStyle w:val="FirstParagraph"/>
      </w:pPr>
      <w:r>
        <w:t xml:space="preserve">The USPTO Open Data Portal requires API authentication starting June 18, 2026. Features affected if the key is not configured before that date:</w:t>
      </w:r>
      <w:r>
        <w:t xml:space="preserve"> </w:t>
      </w:r>
      <w:r>
        <w:t xml:space="preserve">- IFW Collector (prosecution history fetch)</w:t>
      </w:r>
      <w:r>
        <w:t xml:space="preserve"> </w:t>
      </w:r>
      <w:r>
        <w:t xml:space="preserve">- Prosecution Monitor (live application status)</w:t>
      </w:r>
      <w:r>
        <w:t xml:space="preserve"> </w:t>
      </w:r>
      <w:r>
        <w:t xml:space="preserve">- Patent Search ODP results (pending applications)</w:t>
      </w:r>
      <w:r>
        <w:t xml:space="preserve"> </w:t>
      </w:r>
      <w:r>
        <w:t xml:space="preserve">- FTO Analysis expiry data (maintenance fee records)</w:t>
      </w:r>
    </w:p>
    <w:p>
      <w:pPr>
        <w:pStyle w:val="BodyText"/>
      </w:pPr>
      <w:r>
        <w:t xml:space="preserve">To configure the key: Admin Dashboard → Firm Settings → USPTO ODP API Key. Obtain the key at</w:t>
      </w:r>
      <w:r>
        <w:t xml:space="preserve"> </w:t>
      </w:r>
      <w:hyperlink r:id="rId66">
        <w:r>
          <w:rPr>
            <w:rStyle w:val="Hyperlink"/>
          </w:rPr>
          <w:t xml:space="preserve">developer.uspto.gov</w:t>
        </w:r>
      </w:hyperlink>
      <w:r>
        <w:t xml:space="preserve">.</w:t>
      </w:r>
    </w:p>
    <w:p>
      <w:r>
        <w:pict>
          <v:rect style="width:0;height:1.5pt" o:hralign="center" o:hrstd="t" o:hr="t"/>
        </w:pict>
      </w:r>
    </w:p>
    <w:bookmarkEnd w:id="67"/>
    <w:bookmarkEnd w:id="68"/>
    <w:bookmarkStart w:id="69" w:name="attorney-responsibility-notice"/>
    <w:p>
      <w:pPr>
        <w:pStyle w:val="Heading2"/>
      </w:pPr>
      <w:r>
        <w:t xml:space="preserve">12. Attorney Responsibility Notice</w:t>
      </w:r>
    </w:p>
    <w:p>
      <w:pPr>
        <w:pStyle w:val="FirstParagraph"/>
      </w:pPr>
      <w:r>
        <w:t xml:space="preserve">All outputs from Priori are AI-assisted drafts. They are tools for attorney review and editing, not final work product for client delivery or filing without independent attorney verification.</w:t>
      </w:r>
    </w:p>
    <w:p>
      <w:pPr>
        <w:pStyle w:val="BodyText"/>
      </w:pPr>
      <w:r>
        <w:rPr>
          <w:b/>
          <w:bCs/>
        </w:rPr>
        <w:t xml:space="preserve">Filing obligations:</w:t>
      </w:r>
      <w:r>
        <w:t xml:space="preserve"> </w:t>
      </w:r>
      <w:r>
        <w:t xml:space="preserve">The signing attorney bears personal responsibility for every statement in a document filed with the USPTO or any court. AI-generated content carries the same verification obligation as attorney-drafted content under 37 C.F.R. § 11.303, FRCP Rule 11, and the ABA Model Rules.</w:t>
      </w:r>
    </w:p>
    <w:p>
      <w:pPr>
        <w:pStyle w:val="BodyText"/>
      </w:pPr>
      <w:r>
        <w:rPr>
          <w:b/>
          <w:bCs/>
        </w:rPr>
        <w:t xml:space="preserve">Citation verification:</w:t>
      </w:r>
      <w:r>
        <w:t xml:space="preserve"> </w:t>
      </w:r>
      <w:r>
        <w:t xml:space="preserve">Any citation, URL, date, or case reference generated by Priori should be verified before inclusion in a filed document. Priori cannot guarantee the accuracy of dynamically retrieved data from USPTO, Google Patents, or other external sources. Citations and case references that have not been independently verified should be flagged as [TO BE VERIFIED].</w:t>
      </w:r>
    </w:p>
    <w:p>
      <w:pPr>
        <w:pStyle w:val="BodyText"/>
      </w:pPr>
      <w:r>
        <w:rPr>
          <w:b/>
          <w:bCs/>
        </w:rPr>
        <w:t xml:space="preserve">Client confidentiality:</w:t>
      </w:r>
      <w:r>
        <w:t xml:space="preserve"> </w:t>
      </w:r>
      <w:r>
        <w:t xml:space="preserve">Patent application text, claim language, and client matter information uploaded to Priori may be transmitted to the Anthropic API for AI processing. Review your engagement agreements and firm data handling policies before uploading client confidential materials.</w:t>
      </w:r>
    </w:p>
    <w:p>
      <w:pPr>
        <w:pStyle w:val="BodyText"/>
      </w:pPr>
      <w:r>
        <w:rPr>
          <w:b/>
          <w:bCs/>
        </w:rPr>
        <w:t xml:space="preserve">No legal advice:</w:t>
      </w:r>
      <w:r>
        <w:t xml:space="preserve"> </w:t>
      </w:r>
      <w:r>
        <w:t xml:space="preserve">Priori is a drafting and analysis aid. Its outputs do not constitute legal advice, and no attorney-client relationship is created by the use of this tool with respect to the AI outputs themselves.</w:t>
      </w:r>
    </w:p>
    <w:p>
      <w:r>
        <w:pict>
          <v:rect style="width:0;height:1.5pt" o:hralign="center" o:hrstd="t" o:hr="t"/>
        </w:pict>
      </w:r>
    </w:p>
    <w:p>
      <w:pPr>
        <w:pStyle w:val="FirstParagraph"/>
      </w:pPr>
      <w:r>
        <w:rPr>
          <w:i/>
          <w:iCs/>
        </w:rPr>
        <w:t xml:space="preserve">Priori v2.1 — Suiter Swantz IP, powered by Claude (Anthropic)</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https://developer.uspto.gov" TargetMode="External" /></Relationships>
</file>

<file path=word/_rels/footnotes.xml.rels><?xml version="1.0" encoding="UTF-8"?><Relationships xmlns="http://schemas.openxmlformats.org/package/2006/relationships"><Relationship Type="http://schemas.openxmlformats.org/officeDocument/2006/relationships/hyperlink" Id="rId66" Target="https://developer.uspto.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2026-05-30T22:19:44Z</dcterms:created>
  <dcterms:modified xsi:type="dcterms:W3CDTF">2026-05-30T22:19:44Z</dcterms:modified>
</cp:coreProperties>
</file>

<file path=docProps/custom.xml><?xml version="1.0" encoding="utf-8"?>
<Properties xmlns="http://schemas.openxmlformats.org/officeDocument/2006/custom-properties" xmlns:vt="http://schemas.openxmlformats.org/officeDocument/2006/docPropsVTypes"/>
</file>