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b1a1a" w:val="solid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IB Biology (2023 Syllabus) — Higher Level</w:t>
      </w:r>
    </w:p>
    <w:p>
      <w:pPr>
        <w:shd w:fill="7b1a1a" w:val="solid"/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Obscure Detail Practice Paper — Paper 1A Style (30 Questions)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Instructions to candidates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• Answer all questions by circling the letter (A, B, C or D) for your chosen answer.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• Each question has one best answer. No marks are deducted for incorrect answers.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• This HL paper includes specific experimental data, measurement tools, statistical analysis, and molecular mechanisms.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• Maximum mark: [30]     Recommended time: 45 minutes</w:t>
      </w:r>
    </w:p>
    <w:p>
      <w:pPr>
        <w:pBdr>
          <w:bottom w:val="single" w:color="7b1a1a" w:sz="8" w:space="1"/>
        </w:pBd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What property of water explains its high specific heat capacity?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High specific heat capacity because covalent O−H bonds restrict molecular motion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Low specific heat capacity because hydrogen bonds restrict molecular motion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High specific heat capacity because hydrogen bonds between molecules restrict motion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Low specific heat capacity because van der Waals forces are easily overcome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Intermolecular vs intramolecular bonds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How does brown adipose tissue contribute to regulating body temperature at 2 °C?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It produces ATP that is used directly for shivering in nearby skeletal muscles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It stores fat that is slowly metabolised to maintain a steady metabolic rate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It breaks down fat to generate heat without producing ATP (uncoupled respiration)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It increases the metabolic rate of surrounding white adipose tissue by paracrine signalling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Uncoupled respiration — thermogenin/UCP1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What is the action of neonicotinoids on the insect synapse?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They prevent the release of acetylcholine from the presynaptic membrane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They increase the permeability of the presynaptic neuron to sodium ions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They bind to acetylcholine receptors on the postsynaptic neuron as persistent agonists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They block the reuptake of acetylcholine into vesicles in the presynaptic terminal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Neonicotinoids — specific mechanism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What evidence was used by Woese and colleagues to establish the three-domain system (Bacteria, Archaea, Eukarya)?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Comparison of mRNA base sequences across all living organisms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Comparison of rRNA base sequences across all living organisms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Analysis of amino acid sequences of cytochrome c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Patterns of DNA methylation across prokaryotes and eukaryotes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Three-domain system — rRNA evidence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In 2020, researchers imaged the GABAA membrane receptor protein by flash-freezing the sample in vitreous ice before imaging with an electron beam. Which technique did they use?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Immunofluorescence microscopy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Gel electrophoresis combined with Western blotting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Cryogenic electron microscopy (cryo-EM)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Confocal laser scanning microscopy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Cryo-EM — structural biology technique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What is the role of clathrin molecules in receptor-mediated endocytosis?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They facilitate transport of Na⁺ and K⁺ ions to create an electrochemical gradient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They polymerise to coat the membrane, generating curvature as a coated pit that buds off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They adhere to the phospholipid bilayer to increase membrane fluidity at endocytic zones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They create a localised concentration gradient to drive uptake of substances by diffusion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Clathrin — mechanical scaffolding for endocytosis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How does methylation of nucleosome histone proteins affect DNA transcription?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Methylation always represses transcription by condensing chromatin irreversibly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Methylation can either activate or repress transcription depending on which residue is modified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Methylation adds a negative charge that directly repels RNA polymerase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Methylation prevents binding of restriction enzymes, thereby enhancing transcription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Histone methylation — context-dependent effects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Epinephrine infusion during exercise maintains elevated blood glucose. Which cellular mechanism explains this?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Epinephrine enters the nucleus and directly activates glucagon gene transcription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A G-protein is activated, producing cAMP which activates protein kinase A to break down glycogen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Epinephrine acts as a second messenger that directly phosphorylates glycogen synthase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Cyclic AMP (cAMP) deactivates the G-protein, preventing glucose uptake by cells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GPCR — signal transduction cascade for glycogen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What is gene knockout used for in biological research?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Increasing protein production by editing a gene to make it constitutively active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Investigating the function of a specific gene by making it inoperative and observing the phenotype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Identifying gene presence by editing it to produce a fluorescent reporter protein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Editing a gene sequence to initiate programmed cell death in tumour cells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Gene knockout — loss-of-function approach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Myoglobin is a globular protein with non-polar R-groups oriented toward the interior and polar R-groups facing the exterior. What can be deduced from this arrangement?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Disulfide bonds are exclusively located on the outside of the molecule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Hydrogen bonds form between polar R-groups on the exterior and surrounding water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Ionic bonds form with water on the inner hydrophobic core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Hydrophobic interactions stabilise the outer surface rather than the interior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Protein solubility — polar/non-polar R-group distribution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What is a difference between the lytic and lysogenic cycles of bacteriophage lambda?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Only in the lytic cycle is lambda DNA inserted into the host chromosome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Only in the lysogenic cycle does the phage use host cell metabolism to replicate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Only in the lytic cycle does the phage use host cell metabolism to replicate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Only in the lysogenic cycle is lambda DNA integrated into the host chromosome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Prophage integration — lysogenic only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What results when an unspecialised embryonic cell experiences a gradient of signalling chemicals (morphogens)?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Cell differentiation into a specific cell type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Entry into meiosis to produce haploid daughter cells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Saltatory conduction of action potentials along an axon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DNA replication to prepare for binary fission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Morphogen gradients — positional information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Cherry trees (Prunus avium) have self-incompatibility alleles at the S-locus. What is the evolutionary benefit of these alleles?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They decrease genetic variation by enforcing mate choice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They prevent self-fertilisation, enforcing outbreeding and maintaining genetic diversity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They reduce the rate of mutation in pollen-producing cells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They prevent pollen dispersal during adverse weather conditions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Self-incompatibility — Prunus avium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Scientists measured methylation levels of chromosome 2 in identical twins and found twin 1 had consistently higher methylation than twin 2 across multiple loci. What is the most appropriate explanation?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A post-translational modification to histone proteins has occurred in twin 1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Histones have been completely removed from the chromosome in twin 2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The DNA base sequence of twin 1 has been permanently altered by methylation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Cytosines in the promoter regions of twin 2 are more methylated than in twin 1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Epigenetics — histone methylation in twins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Mandible size in the male broadhorned flour beetle (Gnatocerus cornutus) was measured in a predation experiment. Why is a ruler not suitable for precisely measuring mandible length?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Rulers cannot measure objects smaller than 1 mm with accuracy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Rulers measure straight-line distances but mandibles are curved and irregular in shape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Rulers introduce parallax error which is impossible to correct in insect anatomy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The mandibles of Gnatocerus are transparent and cannot be aligned to ruler markings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Measurement precision — curved structures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In earthworm (Lumbricus terrestris) giant nerve fibres, the medial giant fibre (MGF) has a diameter 1.4× larger than the lateral giant fibre (LGF). Why does this result in faster conduction in the MGF?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A larger diameter means a thicker myelin sheath surrounding the fibre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A larger diameter reduces internal longitudinal resistance, allowing faster current spread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The larger cross-section accommodates more Na⁺/K⁺-ATPase pumps per unit length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A larger diameter increases the surface area available for neurotransmitter release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Axon diameter and conduction velocity — earthworm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A goniometer is used in biological and medical research. What does it measure?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The electrical potential difference across a cell membrane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The angle of a joint during extension or flexion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The ionic concentration of a solution using an electrode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The diameter of microscopic anatomical structures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Goniometer — joint angle measurement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Box-and-whisker plots comparing two measurement methods for finger joint angles were produced. What do the circles lying outside the whiskers in a box-and-whisker plot represent?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The median values of each dataset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The interquartile range of each dataset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Outlier data points that fall beyond 1.5× the interquartile range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The mean values plotted separately to allow comparison with the median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Box-and-whisker plots — outlier representation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In a study of 10 earthworms, the standard deviation (SD) for earthworm 10 was not calculated (only 1 MGF measurement was recorded). What is the reason for this?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SD cannot be calculated when the mean is greater than 30 ms⁻¹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SD requires a minimum of two data points; a single measurement has no variation to quantify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SD is only calculated when the dataset is normally distributed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The measurement for earthworm 10 was an outlier and excluded from SD calculation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Standard deviation — n=1 case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The Calvin cycle produces triose phosphate (G3P). In total, how many RuBP molecules are regenerated during the production of one glucose molecule from CO₂?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2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6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10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12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Calvin cycle stoichiometry — RuBP regeneration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21. </w:t>
      </w:r>
      <w:r>
        <w:rPr>
          <w:rFonts w:ascii="Calibri" w:cs="Calibri" w:eastAsia="Calibri" w:hAnsi="Calibri"/>
          <w:sz w:val="22"/>
          <w:szCs w:val="22"/>
        </w:rPr>
        <w:t xml:space="preserve">What is the correct sequence of events in spermatogenesis?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Mitosis → differentiation → meiosis → cell growth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Meiosis → differentiation → mitosis → cell growth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Mitosis → cell growth → meiosis → differentiation (spermiogenesis)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Meiosis → cell growth → mitosis → differentiation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Spermatogenesis sequence — order of events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22. </w:t>
      </w:r>
      <w:r>
        <w:rPr>
          <w:rFonts w:ascii="Calibri" w:cs="Calibri" w:eastAsia="Calibri" w:hAnsi="Calibri"/>
          <w:sz w:val="22"/>
          <w:szCs w:val="22"/>
        </w:rPr>
        <w:t xml:space="preserve">What correctly applies to the process of speciation by temporal isolation?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Temporal isolation causes populations to immediately form new species upon separation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Temporal isolation maintains constant allele frequencies in both populations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Temporal isolation prevents interbreeding at certain times, contributing to reproductive isolation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Temporal isolation always leads to directional selection acting in the same direction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Temporal isolation — mechanism of reproductive isolation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23. </w:t>
      </w:r>
      <w:r>
        <w:rPr>
          <w:rFonts w:ascii="Calibri" w:cs="Calibri" w:eastAsia="Calibri" w:hAnsi="Calibri"/>
          <w:sz w:val="22"/>
          <w:szCs w:val="22"/>
        </w:rPr>
        <w:t xml:space="preserve">In the mutualistic relationship between coral and zooxanthellae (dinoflagellate algae), what substance do zooxanthellae receive from the coral that benefits their metabolism?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Carbon dioxide and nitrogenous waste products for photosynthesis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Pre-formed glucose and amino acids for growth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Carbon dioxide from coral calcification and oxygen from water splitting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Structural support and protection from predators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Coral–zooxanthellae mutualism — substance exchange (HL detail)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24. </w:t>
      </w:r>
      <w:r>
        <w:rPr>
          <w:rFonts w:ascii="Calibri" w:cs="Calibri" w:eastAsia="Calibri" w:hAnsi="Calibri"/>
          <w:sz w:val="22"/>
          <w:szCs w:val="22"/>
        </w:rPr>
        <w:t xml:space="preserve">Predation by assassin bugs (Amphibolus venator) on flour beetles (Gnatocerus cornutus) for seven generations caused male mandible size to decrease compared to controls. Which explanation best accounts for this trend?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The assassin bugs caused mutations that reduced mandible size in each generation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Larger-mandibbled beetles moved more slowly and were selectively predated, reducing large-mandible allele frequency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Smaller mandibles were advantageous for camouflage against the assassin bug's visual system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Epigenetic silencing of mandible-size genes occurred in response to predation stress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Natural selection by predation — Gnatocerus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25. </w:t>
      </w:r>
      <w:r>
        <w:rPr>
          <w:rFonts w:ascii="Calibri" w:cs="Calibri" w:eastAsia="Calibri" w:hAnsi="Calibri"/>
          <w:sz w:val="22"/>
          <w:szCs w:val="22"/>
        </w:rPr>
        <w:t xml:space="preserve">In the lysogenic cycle of bacteriophage lambda, the viral DNA integrates into the host chromosome. What term describes the integrated viral DNA?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Virion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Prophage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Provirus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Capsomere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Lysogenic cycle — prophage terminology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26. </w:t>
      </w:r>
      <w:r>
        <w:rPr>
          <w:rFonts w:ascii="Calibri" w:cs="Calibri" w:eastAsia="Calibri" w:hAnsi="Calibri"/>
          <w:sz w:val="22"/>
          <w:szCs w:val="22"/>
        </w:rPr>
        <w:t xml:space="preserve">Which response to the data showing equal numbers in all four phenotype classes (approximately 1:1:1:1) in a Drosophila testcross is most scientifically accurate?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The two genes show complete linkage on the same chromosome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Independent assortment is occurring because the genes are on different chromosomes (or far apart)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Crossing over is occurring at a frequency of exactly 50% between the two gene loci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Both options B and C are equally valid explanations for a 1:1:1:1 ratio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Linkage — distinguishing unlinked from 50% recombination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27. </w:t>
      </w:r>
      <w:r>
        <w:rPr>
          <w:rFonts w:ascii="Calibri" w:cs="Calibri" w:eastAsia="Calibri" w:hAnsi="Calibri"/>
          <w:sz w:val="22"/>
          <w:szCs w:val="22"/>
        </w:rPr>
        <w:t xml:space="preserve">The nucleosome core particle consists of DNA wound around histone proteins. Which combination of histones forms the octamer core?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Two copies each of H1, H2A, H2B and H3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Two copies each of H2A, H2B, H3 and H4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One copy each of H1, H2A, H2B, H3, H4, H5, H6 and H7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Four copies of H2 and four copies of H4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Nucleosome structure — histone octamer composition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28. </w:t>
      </w:r>
      <w:r>
        <w:rPr>
          <w:rFonts w:ascii="Calibri" w:cs="Calibri" w:eastAsia="Calibri" w:hAnsi="Calibri"/>
          <w:sz w:val="22"/>
          <w:szCs w:val="22"/>
        </w:rPr>
        <w:t xml:space="preserve">Standard error (SE) and standard deviation (SD) are both measures used in biological statistics. What is the key distinction?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SD measures the spread within one sample; SE estimates how precisely the sample mean estimates the true population mean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SD applies only to normally distributed data; SE applies to all distributions equally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SE measures the spread within one sample; SD estimates how far the sample mean is from the true mean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SD is always larger than SE because it is calculated from the full dataset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SD vs SE — statistical distinction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29. </w:t>
      </w:r>
      <w:r>
        <w:rPr>
          <w:rFonts w:ascii="Calibri" w:cs="Calibri" w:eastAsia="Calibri" w:hAnsi="Calibri"/>
          <w:sz w:val="22"/>
          <w:szCs w:val="22"/>
        </w:rPr>
        <w:t xml:space="preserve">What function does saltatory conduction serve in myelinated neurons?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It allows action potentials to propagate in both directions simultaneously along the axon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It increases conduction speed by causing depolarisation to jump between nodes of Ranvier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It reduces the refractory period, allowing a higher maximum firing frequency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It allows the neuron to function without maintaining a resting membrane potential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Saltatory conduction — myelination and speed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1a1a"/>
          <w:sz w:val="22"/>
          <w:szCs w:val="22"/>
        </w:rPr>
        <w:t xml:space="preserve">30. </w:t>
      </w:r>
      <w:r>
        <w:rPr>
          <w:rFonts w:ascii="Calibri" w:cs="Calibri" w:eastAsia="Calibri" w:hAnsi="Calibri"/>
          <w:sz w:val="22"/>
          <w:szCs w:val="22"/>
        </w:rPr>
        <w:t xml:space="preserve">p53 knockout mice lack a functional tumour suppressor gene. What is the most appropriate experimental use of these mice?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To extract functional tumour suppressor protein for use in human cancer therapy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To obtain copies of the p53 gene to use in gene replacement therapy in human patients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To investigate the effect of novel anti-cancer drugs on tumour formation and progression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To study the epigenetic silencing of the p53 promoter by DNA methylation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HL only — p53 knockout — experimental model for cancer drug testing</w:t>
      </w:r>
    </w:p>
    <w:p>
      <w:pPr>
        <w:pBdr>
          <w:bottom w:val="single" w:color="7b1a1a" w:sz="8" w:space="1"/>
        </w:pBd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7b1a1a"/>
          <w:sz w:val="26"/>
          <w:szCs w:val="26"/>
        </w:rPr>
        <w:t xml:space="preserve">Answer Key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C</w:t>
            </w:r>
          </w:p>
        </w:tc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C</w:t>
            </w:r>
          </w:p>
        </w:tc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C</w:t>
            </w:r>
          </w:p>
        </w:tc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C</w:t>
            </w:r>
          </w:p>
        </w:tc>
      </w:tr>
      <w:tr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</w:tr>
      <w:tr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D</w:t>
            </w:r>
          </w:p>
        </w:tc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A</w:t>
            </w:r>
          </w:p>
        </w:tc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A</w:t>
            </w:r>
          </w:p>
        </w:tc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</w:tr>
      <w:tr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C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</w:tr>
      <w:tr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C</w:t>
            </w:r>
          </w:p>
        </w:tc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22.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C</w:t>
            </w:r>
          </w:p>
        </w:tc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23.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A</w:t>
            </w:r>
          </w:p>
        </w:tc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24.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  <w:tc>
          <w:tcPr>
            <w:shd w:fill="fdf0ed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</w:tr>
      <w:tr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26.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D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27.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A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29.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30. </w:t>
            </w:r>
            <w:r>
              <w:rPr>
                <w:rFonts w:ascii="Calibri" w:cs="Calibri" w:eastAsia="Calibri" w:hAnsi="Calibri"/>
                <w:b/>
                <w:bCs/>
                <w:color w:val="7b1a1a"/>
                <w:sz w:val="20"/>
                <w:szCs w:val="20"/>
              </w:rPr>
              <w:t xml:space="preserve">C</w:t>
            </w:r>
          </w:p>
        </w:tc>
      </w:tr>
    </w:tbl>
    <w:p>
      <w:pPr>
        <w:spacing w:before="300"/>
      </w:pP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7b1a1a"/>
          <w:sz w:val="26"/>
          <w:szCs w:val="26"/>
        </w:rPr>
        <w:t xml:space="preserve">Teacher Notes — Key Distinctions by Question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Questions students most commonly miss on first attempt: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7b1a1a"/>
          <w:sz w:val="20"/>
          <w:szCs w:val="20"/>
        </w:rPr>
        <w:t xml:space="preserve">Q2: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Brown adipose tissue (Q2): Students confuse 'generates heat in cold' with 'loses heat in hot'. Uncoupled respiration = heat YES, ATP NO. Thermogenin = uncoupling protein in inner mitochondrial membrane.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7b1a1a"/>
          <w:sz w:val="20"/>
          <w:szCs w:val="20"/>
        </w:rPr>
        <w:t xml:space="preserve">Q4: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Three-domain system (Q4): Must be rRNA (not mRNA, not cytochrome c, not DNA methylation). 16S rRNA for prokaryotes, 18S rRNA for eukaryotes. Woese 1977.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7b1a1a"/>
          <w:sz w:val="20"/>
          <w:szCs w:val="20"/>
        </w:rPr>
        <w:t xml:space="preserve">Q5: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Cryo-EM (Q5): 'Flash-frozen in vitreous ice at a moment in time' = cryo-EM. Electron beam, not light. Distinguishes from immunofluorescence (antibodies + fluorescent tags) and confocal (light microscope).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7b1a1a"/>
          <w:sz w:val="20"/>
          <w:szCs w:val="20"/>
        </w:rPr>
        <w:t xml:space="preserve">Q6: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Clathrin (Q6): Mechanical scaffolding only. Does not transport ions, create gradients, or affect fluidity. Forms 'clathrin-coated pit'. Pure shape change.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7b1a1a"/>
          <w:sz w:val="20"/>
          <w:szCs w:val="20"/>
        </w:rPr>
        <w:t xml:space="preserve">Q7: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Histone methylation (Q7): Unlike acetylation (generally activating), methylation is context-dependent — H3K4me3 = active, H3K27me3 = repressive.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7b1a1a"/>
          <w:sz w:val="20"/>
          <w:szCs w:val="20"/>
        </w:rPr>
        <w:t xml:space="preserve">Q11: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Lysogenic vs lytic (Q11): DNA insertion is ONLY in lysogenic cycle. Both cycles use host metabolism — this is the distractor. The defining feature of lysogeny = integration as prophage.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7b1a1a"/>
          <w:sz w:val="20"/>
          <w:szCs w:val="20"/>
        </w:rPr>
        <w:t xml:space="preserve">Q17: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Goniometer (Q17): Measures angles at joints. From past paper: measuring MCP, PIP, DIP joint angles in finger study. Not a voltmeter, not an ion meter.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7b1a1a"/>
          <w:sz w:val="20"/>
          <w:szCs w:val="20"/>
        </w:rPr>
        <w:t xml:space="preserve">Q18: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Box-and-whisker outliers (Q18): Circles outside whiskers = outliers beyond 1.5× IQR. Common misconception: students think circles = mean.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7b1a1a"/>
          <w:sz w:val="20"/>
          <w:szCs w:val="20"/>
        </w:rPr>
        <w:t xml:space="preserve">Q19: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SD with n=1 (Q19): SD requires variance; a single data point has no spread from itself. Cannot calculate SD when n=1.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7b1a1a"/>
          <w:sz w:val="20"/>
          <w:szCs w:val="20"/>
        </w:rPr>
        <w:t xml:space="preserve">Q27: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Nucleosome octamer (Q27): H2A, H2B, H3, H4 — two copies of each = 8 histones. H1 is the linker histone, NOT part of the core octamer.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7b1a1a"/>
          <w:sz w:val="20"/>
          <w:szCs w:val="20"/>
        </w:rPr>
        <w:t xml:space="preserve">Q28: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SD vs SE (Q28): SD = spread within the sample. SE = SD/√n = how precisely the mean estimates the population mean. SE is always ≤ SD.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2026-04-26T09:20:23.993Z</dcterms:created>
  <dcterms:modified xsi:type="dcterms:W3CDTF">2026-04-26T09:20:23.994Z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