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0" w:before="0"/>
        <w:jc w:val="center"/>
      </w:pPr>
      <w:r>
        <w:rPr>
          <w:rFonts w:ascii="Arial" w:cs="Arial" w:eastAsia="Arial" w:hAnsi="Arial"/>
          <w:b/>
          <w:bCs/>
          <w:color w:val="ffffff"/>
          <w:sz w:val="36"/>
          <w:szCs w:val="36"/>
        </w:rPr>
        <w:t xml:space="preserve">IB Biology (2023 Syllabus)</w:t>
      </w:r>
    </w:p>
    <w:p>
      <w:pPr>
        <w:shd w:fill="1e3a5f" w:val="clear"/>
        <w:spacing w:after="240" w:before="0"/>
        <w:jc w:val="center"/>
      </w:pPr>
      <w:r>
        <w:rPr>
          <w:rFonts w:ascii="Arial" w:cs="Arial" w:eastAsia="Arial" w:hAnsi="Arial"/>
          <w:b/>
          <w:bCs/>
          <w:color w:val="ffffff"/>
          <w:sz w:val="28"/>
          <w:szCs w:val="28"/>
        </w:rPr>
        <w:t xml:space="preserve">New &amp; Obscure Syllabus Details — Teacher Reference with MCQ Links</w:t>
      </w:r>
    </w:p>
    <w:p>
      <w:pPr>
        <w:spacing w:after="200" w:before="120"/>
      </w:pPr>
      <w:r>
        <w:rPr>
          <w:rFonts w:ascii="Arial" w:cs="Arial" w:eastAsia="Arial" w:hAnsi="Arial"/>
          <w:i/>
          <w:iCs/>
          <w:color w:val="444444"/>
          <w:sz w:val="19"/>
          <w:szCs w:val="19"/>
        </w:rPr>
        <w:t xml:space="preserve">How to use this document: Each entry identifies a specific detail in the 2023 syllabus that is either new, easily overlooked in teaching, or a known exam trap. The 'MCQ Link' column shows a sample question demonstrating how it could be tested. Entries are colour-coded: SL+HL (blue rows), HL only (red indicator in ID prefix). Use the ID codes to link entries to the question bank in the interactive app.</w:t>
      </w:r>
    </w:p>
    <w:p>
      <w:pPr>
        <w:shd w:fill="1e3a5f" w:val="clear"/>
        <w:spacing w:after="80" w:before="280"/>
        <w:ind w:left="0"/>
      </w:pPr>
      <w:r>
        <w:rPr>
          <w:rFonts w:ascii="Arial" w:cs="Arial" w:eastAsia="Arial" w:hAnsi="Arial"/>
          <w:b/>
          <w:bCs/>
          <w:color w:val="ffffff"/>
          <w:sz w:val="26"/>
          <w:szCs w:val="26"/>
        </w:rPr>
        <w:t xml:space="preserve">CELL BIOLOGY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3100"/>
        <w:gridCol w:w="3626"/>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ID</w:t>
            </w:r>
          </w:p>
        </w:tc>
        <w:tc>
          <w:tcPr>
            <w:tcW w:type="dxa" w:w="9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Level</w:t>
            </w:r>
          </w:p>
        </w:tc>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Syllabus Ref</w:t>
            </w:r>
          </w:p>
        </w:tc>
        <w:tc>
          <w:tcPr>
            <w:tcW w:type="dxa" w:w="31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Detail / New Addition</w:t>
            </w:r>
          </w:p>
        </w:tc>
        <w:tc>
          <w:tcPr>
            <w:tcW w:type="dxa" w:w="3626"/>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Trap / Misconception</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CB-01</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A2.2.8</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Fungi cell walls contain chitin (not cellulose, not peptidoglycan)</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Students default to saying all cell walls = cellulose. Chitin is correct for fungi. Bacterial = peptidoglycan. Plant = cellulose.</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CB-02</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A2.2.8</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Plastids are a category of organelle in plants (not just chloroplasts). Types: chloroplasts, chromoplasts, leucoplasts (incl. amyloplasts)</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Most teachers only mention chloroplasts. Syllabus says 'chloroplasts and other plastids' — chromoplasts store pigments (fruit/flower colour); leucoplasts store starch.</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CB-03</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A2.2.9</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Atypical cell structures: aseptate fungal hyphae (multinucleate / no cross-walls), skeletal muscle fibres (multinucleate), mature red blood cells (anucleate), phloem sieve tube elements (no nucleus at maturity)</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These are explicitly listed in syllabus A2.2.9. Students confuse 'no nucleus' with 'prokaryote'. Sieve tube elements also lack most organelles incl. tonoplast and nucleus.</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CB-04</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A2.2.5/A2.2.12</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70S ribosomes in prokaryotes AND in mitochondria and chloroplasts (evidence for endosymbiosis). Eukaryotic cytoplasm = 80S</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Students often say mitochondria have 80S ribosomes. The 70S ribosomes in organelles = key endosymbiosis evidence alongside naked circular DNA and ability to replicate.</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CB-05</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A2.2.3</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Cryogenic electron microscopy (cryo-EM): flash-freezing in vitreous ice preserves protein structure at a moment in time; images single protein molecules</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Students confuse cryo-EM (electron beam, frozen sample) with immunofluorescence (antibody + fluorescent dye, light microscope) or freeze-fracture.</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CB-06</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A2.2.5</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Prokaryote model required = Gram-positive eubacteria (Bacillus, Staphylococcus). Cell wall, plasma membrane, cytoplasm, naked circular DNA, 70S ribosomes</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Syllabus specifies Gram-positive as the model. Students may describe Gram-negative (with outer membrane) which is not required.</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CB-07</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A2.2.14</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Multicellularity has evolved REPEATEDLY — not just once. Fungi, algae, plants, animals all evolved multicellularity independently</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Students assume multicellularity evolved once. Syllabus explicitly states it evolved repeatedly. Advantages: larger body size and cell specialisation.</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CB-08</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B2.3.8</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Type I pneumocytes: extremely thin (rapid diffusion); Type II pneumocytes: contain lamellar bodies (secretory vesicles) — produce and secrete pulmonary surfactant</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often only know that alveoli are thin. Type II cells and their lamellar bodies / surfactant secretion are specific HL requirements. Surfactant reduces surface tension.</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CB-09</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B2.1.9</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Glycoproteins and glycolipids: carbohydrate groups are ALWAYS on the extracellular side. Functions: cell adhesion and cell recognition</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forget the extracellular-only location. Also: ABO blood group antigens are glycoproteins (named in syllabus as example).</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CB-10</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B2.2.9</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Clathrin coats the cytoplasmic face of the membrane and polymerises to form a pit that buds off as a coated vesicle — it is a mechanical scaffolding protein only</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Clathrin is not a transport protein, does not create gradients or transport ions. It simply curves the membrane. Easy to confuse with integral transport proteins.</w:t>
            </w:r>
          </w:p>
        </w:tc>
      </w:tr>
    </w:tbl>
    <w:p>
      <w:pPr>
        <w:spacing w:after="0" w:before="160"/>
      </w:pPr>
      <w:r>
        <w:t xml:space="preserve"/>
      </w:r>
    </w:p>
    <w:p>
      <w:pPr>
        <w:shd w:fill="1e3a5f" w:val="clear"/>
        <w:spacing w:after="80" w:before="280"/>
        <w:ind w:left="0"/>
      </w:pPr>
      <w:r>
        <w:rPr>
          <w:rFonts w:ascii="Arial" w:cs="Arial" w:eastAsia="Arial" w:hAnsi="Arial"/>
          <w:b/>
          <w:bCs/>
          <w:color w:val="ffffff"/>
          <w:sz w:val="26"/>
          <w:szCs w:val="26"/>
        </w:rPr>
        <w:t xml:space="preserve">WATER PROPERTIES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3100"/>
        <w:gridCol w:w="3626"/>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ID</w:t>
            </w:r>
          </w:p>
        </w:tc>
        <w:tc>
          <w:tcPr>
            <w:tcW w:type="dxa" w:w="9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Level</w:t>
            </w:r>
          </w:p>
        </w:tc>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Syllabus Ref</w:t>
            </w:r>
          </w:p>
        </w:tc>
        <w:tc>
          <w:tcPr>
            <w:tcW w:type="dxa" w:w="31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Detail / New Addition</w:t>
            </w:r>
          </w:p>
        </w:tc>
        <w:tc>
          <w:tcPr>
            <w:tcW w:type="dxa" w:w="3626"/>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Trap / Misconception</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W-01</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A1.1.6</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Named organisms: ringed seal (Pusa hispida) — thermal conductivity → blubber; black-throated loon (Gavia arctica) — buoyancy/viscosity of water</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Both named organisms are explicitly in the syllabus. Gavia arctica is often missed completely. Questions can ask which property explains a specific adaptation of either species.</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W-02</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A1.1.6</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Four physical properties explicitly listed: buoyancy, viscosity, thermal conductivity, specific heat capacity — all must be compared to air</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Students know specific heat capacity but forget buoyancy and viscosity as separate named properties. Thermal conductivity (25× greater than air) explains why aquatic endotherms need insulation.</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W-03</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A1.1.7/A1.1.8</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Extraplanetary origin of water: asteroids. Retention on Earth: gravity + temperatures low enough to condense. Goldilocks zone — liquid water as criterion for life</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HL-only. 'Goldilocks zone' is the actual term used in the syllabus. Two hypotheses for retention: gravity (stops escape) and condensation temperature.</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W-04</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A1.1.5</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Capillary action occurs in soil AND in plant cell walls (not only in xylem). Cohesion-tension theory requires all three: capillarity at evaporation surface, cohesion, tension</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Students attribute capillary action only to xylem vessels. The syllabus explicitly mentions plant cell walls as a site of capillary action, contributing to the evaporation of water.</w:t>
            </w:r>
          </w:p>
        </w:tc>
      </w:tr>
    </w:tbl>
    <w:p>
      <w:pPr>
        <w:spacing w:after="0" w:before="160"/>
      </w:pPr>
      <w:r>
        <w:t xml:space="preserve"/>
      </w:r>
    </w:p>
    <w:p>
      <w:pPr>
        <w:shd w:fill="1e3a5f" w:val="clear"/>
        <w:spacing w:after="80" w:before="280"/>
        <w:ind w:left="0"/>
      </w:pPr>
      <w:r>
        <w:rPr>
          <w:rFonts w:ascii="Arial" w:cs="Arial" w:eastAsia="Arial" w:hAnsi="Arial"/>
          <w:b/>
          <w:bCs/>
          <w:color w:val="ffffff"/>
          <w:sz w:val="26"/>
          <w:szCs w:val="26"/>
        </w:rPr>
        <w:t xml:space="preserve">ORIGIN OF LIFE (HL ONLY)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3100"/>
        <w:gridCol w:w="3626"/>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ID</w:t>
            </w:r>
          </w:p>
        </w:tc>
        <w:tc>
          <w:tcPr>
            <w:tcW w:type="dxa" w:w="9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Level</w:t>
            </w:r>
          </w:p>
        </w:tc>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Syllabus Ref</w:t>
            </w:r>
          </w:p>
        </w:tc>
        <w:tc>
          <w:tcPr>
            <w:tcW w:type="dxa" w:w="31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Detail / New Addition</w:t>
            </w:r>
          </w:p>
        </w:tc>
        <w:tc>
          <w:tcPr>
            <w:tcW w:type="dxa" w:w="3626"/>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Trap / Misconception</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OL-01</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A2.1.6</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RNA as presumed first genetic material. Ribozymes still function in ribosomes today — they catalyse peptide bond formation (peptidyl transferase activity)</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know RNA was first genetic material but don't connect ribozymes to the ribosome's peptidyl transferase centre. 'Ribozymes are RNA enzymes' — the ribosome's catalytic core is RNA, not protein.</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OL-02</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A2.1.7/A2.1.9</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LUCA (Last Universal Common Ancestor): evidence = universal genetic code + conserved genes. Evidence for hydrothermal vent origin = fossilised precipitates + conserved genomic sequences</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may not know what LUCA stands for or what evidence supports a hydrothermal vent location. The universal genetic code is cited as evidence for LUCA, not for evolution by selection.</w:t>
            </w:r>
          </w:p>
        </w:tc>
      </w:tr>
    </w:tbl>
    <w:p>
      <w:pPr>
        <w:spacing w:after="0" w:before="160"/>
      </w:pPr>
      <w:r>
        <w:t xml:space="preserve"/>
      </w:r>
    </w:p>
    <w:p>
      <w:pPr>
        <w:shd w:fill="1e3a5f" w:val="clear"/>
        <w:spacing w:after="80" w:before="280"/>
        <w:ind w:left="0"/>
      </w:pPr>
      <w:r>
        <w:rPr>
          <w:rFonts w:ascii="Arial" w:cs="Arial" w:eastAsia="Arial" w:hAnsi="Arial"/>
          <w:b/>
          <w:bCs/>
          <w:color w:val="ffffff"/>
          <w:sz w:val="26"/>
          <w:szCs w:val="26"/>
        </w:rPr>
        <w:t xml:space="preserve">CLASSIFICATION &amp; CLADISTICS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3100"/>
        <w:gridCol w:w="3626"/>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ID</w:t>
            </w:r>
          </w:p>
        </w:tc>
        <w:tc>
          <w:tcPr>
            <w:tcW w:type="dxa" w:w="9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Level</w:t>
            </w:r>
          </w:p>
        </w:tc>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Syllabus Ref</w:t>
            </w:r>
          </w:p>
        </w:tc>
        <w:tc>
          <w:tcPr>
            <w:tcW w:type="dxa" w:w="31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Detail / New Addition</w:t>
            </w:r>
          </w:p>
        </w:tc>
        <w:tc>
          <w:tcPr>
            <w:tcW w:type="dxa" w:w="3626"/>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Trap / Misconception</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CL-01</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A3.2.7</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Cladogram terminology: root (earliest common ancestor), node (hypothetical common ancestor), terminal branch (extant/named taxon). Parsimony = fewest sequence changes</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Students label nodes incorrectly or confuse node with terminal branch. Node = hypothetical common ancestor at a branch point, not a named organism.</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CL-02</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A3.2.5</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Molecular clock: gradual accumulation of sequence differences used to estimate when clades diverged. Rate affected by: generation time, population size, selective pressure</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Students say molecular clock is perfectly accurate. Syllabus emphasises it gives estimates only, because mutation rates vary with these three factors.</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CL-03</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A3.2.9</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Three-domain system established using rRNA base sequences (specifically 16S/18S rRNA), not mRNA, not cytochrome c, not DNA methylation</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Students often say DNA sequences or amino acid sequences. Must be rRNA. Woese used 16S rRNA (prokaryotes) and 18S rRNA (eukaryotes).</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CL-04</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A4.1.11</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Abrupt speciation in plants by hybridization + polyploidy. Named example: Persicaria (knotweed/smartweed genus). Mule = sterile interspecific hybrid (not a new species)</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Students confuse polyploidy (new species) with hybrid sterility (mule). Polyploidy CAN produce new species abruptly in plants. Mule = hybrid but sterile, so NOT speciation.</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CL-05</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A4.2.3</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Named extinct species: North Island giant moa (Dinornis novaezealandiae) = terrestrial megafauna loss; Caribbean monk seal (Neomonachus tropicalis) = marine species loss</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Both full binomial names may appear in exam questions. Students need to know which category each represents (terrestrial megafauna vs marine).</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CL-06</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A4.2.8</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EDGE of Existence programme: conserves Evolutionarily Distinct and Globally Endangered species. Rationale: unique evolutionary history = irreplaceable if extinct</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'EDGE' stands for Evolutionarily Distinct and Globally Endangered. Students may not know the full term or rationale (not just rarity but evolutionary uniqueness).</w:t>
            </w:r>
          </w:p>
        </w:tc>
      </w:tr>
    </w:tbl>
    <w:p>
      <w:pPr>
        <w:spacing w:after="0" w:before="160"/>
      </w:pPr>
      <w:r>
        <w:t xml:space="preserve"/>
      </w:r>
    </w:p>
    <w:p>
      <w:pPr>
        <w:shd w:fill="1e3a5f" w:val="clear"/>
        <w:spacing w:after="80" w:before="280"/>
        <w:ind w:left="0"/>
      </w:pPr>
      <w:r>
        <w:rPr>
          <w:rFonts w:ascii="Arial" w:cs="Arial" w:eastAsia="Arial" w:hAnsi="Arial"/>
          <w:b/>
          <w:bCs/>
          <w:color w:val="ffffff"/>
          <w:sz w:val="26"/>
          <w:szCs w:val="26"/>
        </w:rPr>
        <w:t xml:space="preserve">MOLECULES &amp; BIOCHEMISTRY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3100"/>
        <w:gridCol w:w="3626"/>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ID</w:t>
            </w:r>
          </w:p>
        </w:tc>
        <w:tc>
          <w:tcPr>
            <w:tcW w:type="dxa" w:w="9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Level</w:t>
            </w:r>
          </w:p>
        </w:tc>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Syllabus Ref</w:t>
            </w:r>
          </w:p>
        </w:tc>
        <w:tc>
          <w:tcPr>
            <w:tcW w:type="dxa" w:w="31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Detail / New Addition</w:t>
            </w:r>
          </w:p>
        </w:tc>
        <w:tc>
          <w:tcPr>
            <w:tcW w:type="dxa" w:w="3626"/>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Trap / Misconception</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M-01</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B1.2.11</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Conjugated proteins: haemoglobin (contains haem prosthetic groups). Non-conjugated: insulin (polypeptide only), collagen (polypeptide only)</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often say haemoglobin is non-conjugated or forget the term 'conjugated'. The haem group (Fe²⁺-containing porphyrin ring) makes it conjugated.</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M-02</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C1.1.16</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Feedback inhibition example: isoleucine synthesis. Isoleucine (end product) inhibits the first enzyme in its own biosynthetic pathway — prevents wasteful production</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must name isoleucine as the specific example. This is allosteric inhibition by the end product (not the substrate).</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M-03</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C1.1.17</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Mechanism-based inhibition: penicillin inhibits transpeptidase (irreversible). Resistance occurs when transpeptidase is modified so penicillin can no longer bind</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know penicillin inhibits cell wall synthesis but often can't name the enzyme (transpeptidase). Resistance = enzyme modification, not antibiotic degradation (for this mechanism).</w:t>
            </w:r>
          </w:p>
        </w:tc>
      </w:tr>
    </w:tbl>
    <w:p>
      <w:pPr>
        <w:spacing w:after="0" w:before="160"/>
      </w:pPr>
      <w:r>
        <w:t xml:space="preserve"/>
      </w:r>
    </w:p>
    <w:p>
      <w:pPr>
        <w:shd w:fill="1e3a5f" w:val="clear"/>
        <w:spacing w:after="80" w:before="280"/>
        <w:ind w:left="0"/>
      </w:pPr>
      <w:r>
        <w:rPr>
          <w:rFonts w:ascii="Arial" w:cs="Arial" w:eastAsia="Arial" w:hAnsi="Arial"/>
          <w:b/>
          <w:bCs/>
          <w:color w:val="ffffff"/>
          <w:sz w:val="26"/>
          <w:szCs w:val="26"/>
        </w:rPr>
        <w:t xml:space="preserve">ECOLOGY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3100"/>
        <w:gridCol w:w="3626"/>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ID</w:t>
            </w:r>
          </w:p>
        </w:tc>
        <w:tc>
          <w:tcPr>
            <w:tcW w:type="dxa" w:w="9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Level</w:t>
            </w:r>
          </w:p>
        </w:tc>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Syllabus Ref</w:t>
            </w:r>
          </w:p>
        </w:tc>
        <w:tc>
          <w:tcPr>
            <w:tcW w:type="dxa" w:w="31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Detail / New Addition</w:t>
            </w:r>
          </w:p>
        </w:tc>
        <w:tc>
          <w:tcPr>
            <w:tcW w:type="dxa" w:w="3626"/>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Trap / Misconception</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EC-01</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B4.2.5</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Mixotrophic nutrition: both autotrophic AND heterotrophic. Named example = Euglena. Obligate vs facultative mixotrophs (syllabus distinction)</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Mixotrophy is a new emphasis in 2023 syllabus. Students must know Euglena is the named example and understand obligate (always mixotrophic) vs facultative (can switch).</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EC-02</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B4.2.7</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Archaea: metabolically very diverse — use light, oxidation of inorganic chemicals, or oxidation of carbon compounds. Archaea are NOT known to cause any disease in humans</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Two traps in one: (1) archaea nutrition is diverse (not just one mode); (2) archaea cause NO known human diseases — this explicit statement is new in 2023 syllabus.</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EC-03</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B4.2.8</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Dentition study: named hominids for inferring diet from skull morphology — Homo sapiens, Homo floresiensis, Paranthropus robustus</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Homo floresiensis and Paranthropus robustus are named in the syllabus. Students may know H. sapiens but miss the other two. P. robustus had large molars = herbivorous/hard plant diet.</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EC-04</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C4.1.12</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Three required mutualism examples: (1) root nodules in Fabaceae (legume family); (2) mycorrhizae in Orchidaceae (orchid family); (3) zooxanthellae in hard corals</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Students often only know one example. The syllabus uses 'In each case include the benefits to both organisms.' All three examples with BOTH benefits required.</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EC-05</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C4.1.18</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Allelopathy: a plant/organism secretes chemicals to inhibit competitors (e.g. walnut juglone). Antibiotic secretion by fungi/bacteria serves same function. Both are chemical competition</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Allelopathy is new emphasis in 2023 syllabus. Students confuse it with herbivory deterrence. It is one organism releasing chemicals to suppress competitors, not pathogens.</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EC-06</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A4.2.4</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Named ecosystem loss case study: mixed dipterocarp forest in Southeast Asia (Borneo/Sumatra). Must know this specific ecosystem, not just 'tropical rainforest'</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Syllabus specifies mixed dipterocarp forest, not generic rainforest. Dipterocarps are a family of tall hardwood trees dominant in SE Asian forests.</w:t>
            </w:r>
          </w:p>
        </w:tc>
      </w:tr>
    </w:tbl>
    <w:p>
      <w:pPr>
        <w:spacing w:after="0" w:before="160"/>
      </w:pPr>
      <w:r>
        <w:t xml:space="preserve"/>
      </w:r>
    </w:p>
    <w:p>
      <w:pPr>
        <w:shd w:fill="1e3a5f" w:val="clear"/>
        <w:spacing w:after="80" w:before="280"/>
        <w:ind w:left="0"/>
      </w:pPr>
      <w:r>
        <w:rPr>
          <w:rFonts w:ascii="Arial" w:cs="Arial" w:eastAsia="Arial" w:hAnsi="Arial"/>
          <w:b/>
          <w:bCs/>
          <w:color w:val="ffffff"/>
          <w:sz w:val="26"/>
          <w:szCs w:val="26"/>
        </w:rPr>
        <w:t xml:space="preserve">NERVOUS SYSTEM &amp; PHARMACOLOGY</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3100"/>
        <w:gridCol w:w="3626"/>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ID</w:t>
            </w:r>
          </w:p>
        </w:tc>
        <w:tc>
          <w:tcPr>
            <w:tcW w:type="dxa" w:w="9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Level</w:t>
            </w:r>
          </w:p>
        </w:tc>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Syllabus Ref</w:t>
            </w:r>
          </w:p>
        </w:tc>
        <w:tc>
          <w:tcPr>
            <w:tcW w:type="dxa" w:w="31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Detail / New Addition</w:t>
            </w:r>
          </w:p>
        </w:tc>
        <w:tc>
          <w:tcPr>
            <w:tcW w:type="dxa" w:w="3626"/>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Trap / Misconception</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NS-01</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C2.2.12</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Two named synapse-affecting chemicals: neonicotinoids (bind to nAChRs as persistent agonists — block transmission by continuous activation) AND cocaine (blocks neurotransmitter reuptake)</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Students often confuse mechanism: neonicotinoids are AGONISTS (not blockers of release). Cocaine blocks REUPTAKE (prevents recycling of neurotransmitter — causes accumulation in synapse).</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NS-02</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C2.2.15</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Pain receptors: free nerve endings with ion channels that open in response to heat, acid, or capsaicin (the chemical in chilli peppers). Entry of positive ions = threshold reached = pain signal</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Capsaicin is the named chemical example. Students may not know the receptor mechanism: positive ion channel opening (not G-protein signalling). This generates an action potential identical to heat/acid.</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NS-03</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C2.2.11</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Saltatory conduction: ion pumps and channels CLUSTERED AT NODES OF RANVIER. Action potential jumps node to node. Myelin sheaths formed by Schwann cells (PNS)</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say 'depolarisation occurs along the whole axon' in myelinated neurons. In reality it is only at nodes. The ions cannot cross the myelin, so current spreads passively to the next node.</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NS-04</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C2.2.13</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Inhibitory neurotransmitters cause hyperpolarisation of the postsynaptic membrane (not just 'prevent action potential'). The membrane becomes MORE negative.</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say 'inhibitory neurotransmitters block the action potential'. More precisely: they open Cl⁻ or K⁺ channels → hyperpolarisation → threshold is harder to reach.</w:t>
            </w:r>
          </w:p>
        </w:tc>
      </w:tr>
    </w:tbl>
    <w:p>
      <w:pPr>
        <w:spacing w:after="0" w:before="160"/>
      </w:pPr>
      <w:r>
        <w:t xml:space="preserve"/>
      </w:r>
    </w:p>
    <w:p>
      <w:pPr>
        <w:shd w:fill="1e3a5f" w:val="clear"/>
        <w:spacing w:after="80" w:before="280"/>
        <w:ind w:left="0"/>
      </w:pPr>
      <w:r>
        <w:rPr>
          <w:rFonts w:ascii="Arial" w:cs="Arial" w:eastAsia="Arial" w:hAnsi="Arial"/>
          <w:b/>
          <w:bCs/>
          <w:color w:val="ffffff"/>
          <w:sz w:val="26"/>
          <w:szCs w:val="26"/>
        </w:rPr>
        <w:t xml:space="preserve">REPRODUCTION &amp; HORMONES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3100"/>
        <w:gridCol w:w="3626"/>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ID</w:t>
            </w:r>
          </w:p>
        </w:tc>
        <w:tc>
          <w:tcPr>
            <w:tcW w:type="dxa" w:w="9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Level</w:t>
            </w:r>
          </w:p>
        </w:tc>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Syllabus Ref</w:t>
            </w:r>
          </w:p>
        </w:tc>
        <w:tc>
          <w:tcPr>
            <w:tcW w:type="dxa" w:w="31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Detail / New Addition</w:t>
            </w:r>
          </w:p>
        </w:tc>
        <w:tc>
          <w:tcPr>
            <w:tcW w:type="dxa" w:w="3626"/>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Trap / Misconception</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RH-01</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D3.1.13</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Puberty initiated by increased GnRH (gonadotropin-releasing hormone) from hypothalamus → increased LH and FSH from pituitary → increased sex hormone production</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often say 'the pituitary starts puberty'. The hypothalamus initiates it via GnRH. The sequence matters: hypothalamus → pituitary → gonads.</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RH-02</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D3.1.15</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Pregnancy testing detects hCG (human chorionic gonadotropin) produced by embryo/placenta. Monoclonal antibodies bind to hCG in urine. hCG maintains the corpus luteum</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know pregnancy tests detect hCG but forget (1) it is produced by the embryo (not the mother's glands), (2) monoclonal antibodies are the detection mechanism.</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RH-03</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D3.1.11</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Self-incompatibility: genetic mechanism preventing self-fertilisation. Named example: Prunus avium (cherry). S-locus alleles prevent pollen tube growth if S-allele matches pistil allele</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Prunus avium is the named organism. Self-incompatibility = genetic (not physical) barrier to inbreeding. Promotes outbreeding and maintains genetic diversity.</w:t>
            </w:r>
          </w:p>
        </w:tc>
      </w:tr>
    </w:tbl>
    <w:p>
      <w:pPr>
        <w:spacing w:after="0" w:before="160"/>
      </w:pPr>
      <w:r>
        <w:t xml:space="preserve"/>
      </w:r>
    </w:p>
    <w:p>
      <w:pPr>
        <w:shd w:fill="1e3a5f" w:val="clear"/>
        <w:spacing w:after="80" w:before="280"/>
        <w:ind w:left="0"/>
      </w:pPr>
      <w:r>
        <w:rPr>
          <w:rFonts w:ascii="Arial" w:cs="Arial" w:eastAsia="Arial" w:hAnsi="Arial"/>
          <w:b/>
          <w:bCs/>
          <w:color w:val="ffffff"/>
          <w:sz w:val="26"/>
          <w:szCs w:val="26"/>
        </w:rPr>
        <w:t xml:space="preserve">MUSCLE, SKELETON &amp; MOVEMENT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3100"/>
        <w:gridCol w:w="3626"/>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ID</w:t>
            </w:r>
          </w:p>
        </w:tc>
        <w:tc>
          <w:tcPr>
            <w:tcW w:type="dxa" w:w="9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Level</w:t>
            </w:r>
          </w:p>
        </w:tc>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Syllabus Ref</w:t>
            </w:r>
          </w:p>
        </w:tc>
        <w:tc>
          <w:tcPr>
            <w:tcW w:type="dxa" w:w="31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Detail / New Addition</w:t>
            </w:r>
          </w:p>
        </w:tc>
        <w:tc>
          <w:tcPr>
            <w:tcW w:type="dxa" w:w="3626"/>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Trap / Misconception</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MV-01</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B3.3.3</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Titin: the largest protein in the body. Prevents overstretching of sarcomeres. In intercostal muscles: stores potential energy when antagonistic muscles stretch it</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Students know actin and myosin but miss titin entirely. The syllabus explicitly states both its role in preventing overstretching AND its energy-storing role in intercostal antagonism.</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MV-02</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B3.3.7</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Goniometer measures joint angles. Students should measure joint angles using computer analysis of images OR a goniometer. Not a ruler (can't measure curved joint angles)</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The goniometer appeared in Paper 1B 2025. Students need to know what it measures (angles) and why a ruler is inappropriate (measures straight-line distances; joints are curved).</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MV-03</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B3.3.10</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Marine mammal swimming adaptations: streamlining, limbs → flippers, tail → fluke with up-and-down (not side-to-side) movement, airways adapted for periodic breathing between dives</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Students often say 'tail moves side to side' — that is fish. Marine mammals (whales, seals) move their tail/fluke UP AND DOWN. Also: airways (not gills) are modified.</w:t>
            </w:r>
          </w:p>
        </w:tc>
      </w:tr>
    </w:tbl>
    <w:p>
      <w:pPr>
        <w:spacing w:after="0" w:before="160"/>
      </w:pPr>
      <w:r>
        <w:t xml:space="preserve"/>
      </w:r>
    </w:p>
    <w:p>
      <w:pPr>
        <w:shd w:fill="1e3a5f" w:val="clear"/>
        <w:spacing w:after="80" w:before="280"/>
        <w:ind w:left="0"/>
      </w:pPr>
      <w:r>
        <w:rPr>
          <w:rFonts w:ascii="Arial" w:cs="Arial" w:eastAsia="Arial" w:hAnsi="Arial"/>
          <w:b/>
          <w:bCs/>
          <w:color w:val="ffffff"/>
          <w:sz w:val="26"/>
          <w:szCs w:val="26"/>
        </w:rPr>
        <w:t xml:space="preserve">HOMEOSTASIS &amp; OSMOREGULATION (HL)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3100"/>
        <w:gridCol w:w="3626"/>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ID</w:t>
            </w:r>
          </w:p>
        </w:tc>
        <w:tc>
          <w:tcPr>
            <w:tcW w:type="dxa" w:w="9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Level</w:t>
            </w:r>
          </w:p>
        </w:tc>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Syllabus Ref</w:t>
            </w:r>
          </w:p>
        </w:tc>
        <w:tc>
          <w:tcPr>
            <w:tcW w:type="dxa" w:w="31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Detail / New Addition</w:t>
            </w:r>
          </w:p>
        </w:tc>
        <w:tc>
          <w:tcPr>
            <w:tcW w:type="dxa" w:w="3626"/>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Trap / Misconception</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HO-01</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D3.3.9</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Loop of Henle: Na⁺ is actively transported OUT in the ASCENDING limb (not descending). This creates high osmotic concentration in medulla → drives water reabsorption in collecting duct</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confuse descending/ascending. Descending = permeable to water (water leaves passively). Ascending = impermeable to water but actively pumps Na⁺ out. Only ascending = active transport.</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HO-02</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D3.3.10</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Aquaporin regulation: ADH causes aquaporins to move FROM cytoplasm TO the cell membrane of collecting duct cells — increasing water permeability. Without ADH = aquaporins in cytoplasm = dilute urine</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This is a subtle new syllabus detail: aquaporins SWITCH LOCATION between cytoplasm and membrane in response to ADH. Not 'ADH opens channels' — the channels physically move.</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HO-03</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D3.3.5</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Thermoregulation hormones: the syllabus includes thyroxin as a thermoregulation hormone (increases basal metabolic rate in cold). Often forgotten alongside vasodilation, shivering, brown adipose tissue</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The syllabus explicitly includes thyroxin in thermoregulation (D3.3.5). Students list vasodilation/vasoconstriction/shivering/sweating but forget thyroxin as a hormonal mechanism.</w:t>
            </w:r>
          </w:p>
        </w:tc>
      </w:tr>
    </w:tbl>
    <w:p>
      <w:pPr>
        <w:spacing w:after="0" w:before="160"/>
      </w:pPr>
      <w:r>
        <w:t xml:space="preserve"/>
      </w:r>
    </w:p>
    <w:p>
      <w:pPr>
        <w:shd w:fill="1e3a5f" w:val="clear"/>
        <w:spacing w:after="80" w:before="280"/>
        <w:ind w:left="0"/>
      </w:pPr>
      <w:r>
        <w:rPr>
          <w:rFonts w:ascii="Arial" w:cs="Arial" w:eastAsia="Arial" w:hAnsi="Arial"/>
          <w:b/>
          <w:bCs/>
          <w:color w:val="ffffff"/>
          <w:sz w:val="26"/>
          <w:szCs w:val="26"/>
        </w:rPr>
        <w:t xml:space="preserve">GENETICS &amp; CELL CYCLE (HL)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3100"/>
        <w:gridCol w:w="3626"/>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ID</w:t>
            </w:r>
          </w:p>
        </w:tc>
        <w:tc>
          <w:tcPr>
            <w:tcW w:type="dxa" w:w="9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Level</w:t>
            </w:r>
          </w:p>
        </w:tc>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Syllabus Ref</w:t>
            </w:r>
          </w:p>
        </w:tc>
        <w:tc>
          <w:tcPr>
            <w:tcW w:type="dxa" w:w="31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Detail / New Addition</w:t>
            </w:r>
          </w:p>
        </w:tc>
        <w:tc>
          <w:tcPr>
            <w:tcW w:type="dxa" w:w="3626"/>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Trap / Misconception</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GC-01</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D2.1.15</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Cyclins: concentration increases and decreases during cell cycle. A threshold level of each specific cyclin is required to pass each checkpoint (G1/S, G2/M). Students do NOT need names of specific cyclins</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confuse cyclins with CDKs. The key syllabus point: concentration changes and threshold concept only. The idea that a specific threshold must be reached to pass each checkpoint is the testable fact.</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GC-02</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D2.1.16/D2.1.17</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Proto-oncogenes → oncogenes (gain of function mutation = cancer). Tumour suppressor genes → loss of function mutation = cancer. Benign = no metastasis; malignant = can metastasize (invade)</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often confuse oncogene and tumour suppressor. Oncogene = mutated proto-oncogene that is overactive. Tumour suppressor = loses function. Malignant specifically = capacity for metastasis.</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GC-03</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A3.1.7</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Human chromosome 2 is hypothesised to have arisen from fusion of chromosomes 12 and 13 of a shared primate ancestor. Evidence: banding patterns, telomeric sequences at centre, two centromeres fused into one</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This is a named hypothesis in the syllabus requiring evaluation. Students should know: humans 46 chromosomes, chimpanzees 48 — the difference is accounted for by chromosome 2 fusion.</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GC-04</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D1.1.8/D1.1.9</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DNA replication enzymes (prokaryotic): DNA primase (makes RNA primer), DNA polymerase III (main synthesis, also proofreads 3' mismatches), DNA polymerase I (removes RNA primer), DNA ligase (joins Okazaki fragments)</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know DNA polymerase but confuse roles of polymerase I vs III. III = main synthesis AND proofreading. I = primer removal and gap filling. Primase makes the primer that starts each Okazaki fragment.</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GC-05</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D1.3.10</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Conserved sequences: two hypotheses — (1) functional requirement (product must maintain precise structure); (2) slower rate of mutation. Highly conserved = identical across long evolutionary time</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often only think of selective pressure. The syllabus presents TWO distinct hypotheses. Mutation rate itself varying (intrinsic) is separate from purifying selection (extrinsic).</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GC-06</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D4.1.13/D4.1.14</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Hardy-Weinberg: p + q = 1; p² + 2pq + q² = 1. Conditions for equilibrium: random mating, no selection, no mutation, no migration, large population (no genetic drift)</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forget both equations or the 5 conditions. A deviation from HW proportions indicates one or more conditions are violated — this is the main use of HW in practice.</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GC-07</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D2.2.2</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Gene regulation: promoters (RNA polymerase binding site), enhancers (increase transcription when proteins bind), transcription factors (proteins that bind to promoters/enhancers)</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often only know 'promoter'. Enhancers can be distant from the gene they regulate. Transcription factors are the proteins that bind to these regulatory sequences.</w:t>
            </w:r>
          </w:p>
        </w:tc>
      </w:tr>
      <w:tr>
        <w:trPr>
          <w:tblHeader w:val="false"/>
        </w:trPr>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bCs/>
                <w:color w:val="7b0000"/>
                <w:sz w:val="17"/>
                <w:szCs w:val="17"/>
              </w:rPr>
              <w:t xml:space="preserve">GC-08</w:t>
            </w:r>
          </w:p>
        </w:tc>
        <w:tc>
          <w:tcPr>
            <w:tcW w:type="dxa" w:w="9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HL</w:t>
            </w:r>
          </w:p>
        </w:tc>
        <w:tc>
          <w:tcPr>
            <w:tcW w:type="dxa" w:w="7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D2.2.4</w:t>
            </w:r>
          </w:p>
        </w:tc>
        <w:tc>
          <w:tcPr>
            <w:tcW w:type="dxa" w:w="3100"/>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Epigenesis: development of differentiation patterns WITHOUT altering DNA base sequence. Phenotype is altered, genotype is NOT. Examples: histone methylation, DNA methylation of cytosine</w:t>
            </w:r>
          </w:p>
        </w:tc>
        <w:tc>
          <w:tcPr>
            <w:tcW w:type="dxa" w:w="3626"/>
            <w:tcBorders>
              <w:top w:val="single" w:color="CCCCCC" w:sz="4"/>
              <w:left w:val="single" w:color="CCCCCC" w:sz="4"/>
              <w:bottom w:val="single" w:color="CCCCCC" w:sz="4"/>
              <w:right w:val="single" w:color="CCCCCC" w:sz="4"/>
            </w:tcBorders>
            <w:shd w:fill="fff0f0" w:val="clear"/>
            <w:tcMar>
              <w:top w:type="dxa" w:w="60"/>
              <w:bottom w:type="dxa" w:w="60"/>
            </w:tcMar>
          </w:tcPr>
          <w:p>
            <w:r>
              <w:rPr>
                <w:rFonts w:ascii="Arial" w:cs="Arial" w:eastAsia="Arial" w:hAnsi="Arial"/>
                <w:b w:val="false"/>
                <w:bCs w:val="false"/>
                <w:color w:val="7b0000"/>
                <w:sz w:val="17"/>
                <w:szCs w:val="17"/>
              </w:rPr>
              <w:t xml:space="preserve">Students confuse 'epigenetics' and 'mutation'. Key distinction: epigenetic changes alter phenotype NOT genotype (base sequence unchanged). This is explicitly stated in the syllabus.</w:t>
            </w:r>
          </w:p>
        </w:tc>
      </w:tr>
    </w:tbl>
    <w:p>
      <w:pPr>
        <w:spacing w:after="0" w:before="160"/>
      </w:pPr>
      <w:r>
        <w:t xml:space="preserve"/>
      </w:r>
    </w:p>
    <w:p>
      <w:pPr>
        <w:shd w:fill="1e3a5f" w:val="clear"/>
        <w:spacing w:after="80" w:before="280"/>
        <w:ind w:left="0"/>
      </w:pPr>
      <w:r>
        <w:rPr>
          <w:rFonts w:ascii="Arial" w:cs="Arial" w:eastAsia="Arial" w:hAnsi="Arial"/>
          <w:b/>
          <w:bCs/>
          <w:color w:val="ffffff"/>
          <w:sz w:val="26"/>
          <w:szCs w:val="26"/>
        </w:rPr>
        <w:t xml:space="preserve">STATISTICAL SKILLS (NEW EMPHASIS)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00"/>
        <w:gridCol w:w="3100"/>
        <w:gridCol w:w="3626"/>
      </w:tblGrid>
      <w:tr>
        <w:trPr>
          <w:tblHeader/>
        </w:trPr>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ID</w:t>
            </w:r>
          </w:p>
        </w:tc>
        <w:tc>
          <w:tcPr>
            <w:tcW w:type="dxa" w:w="9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Level</w:t>
            </w:r>
          </w:p>
        </w:tc>
        <w:tc>
          <w:tcPr>
            <w:tcW w:type="dxa" w:w="7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Syllabus Ref</w:t>
            </w:r>
          </w:p>
        </w:tc>
        <w:tc>
          <w:tcPr>
            <w:tcW w:type="dxa" w:w="3100"/>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Detail / New Addition</w:t>
            </w:r>
          </w:p>
        </w:tc>
        <w:tc>
          <w:tcPr>
            <w:tcW w:type="dxa" w:w="3626"/>
            <w:tcBorders>
              <w:top w:val="single" w:color="CCCCCC" w:sz="4"/>
              <w:left w:val="single" w:color="CCCCCC" w:sz="4"/>
              <w:bottom w:val="single" w:color="CCCCCC" w:sz="4"/>
              <w:right w:val="single" w:color="CCCCCC" w:sz="4"/>
            </w:tcBorders>
            <w:shd w:fill="1e3a5f" w:val="clear"/>
            <w:tcMar>
              <w:top w:type="dxa" w:w="60"/>
              <w:bottom w:type="dxa" w:w="60"/>
            </w:tcMar>
          </w:tcPr>
          <w:p>
            <w:r>
              <w:rPr>
                <w:rFonts w:ascii="Arial" w:cs="Arial" w:eastAsia="Arial" w:hAnsi="Arial"/>
                <w:b/>
                <w:bCs/>
                <w:color w:val="ffffff"/>
                <w:sz w:val="18"/>
                <w:szCs w:val="18"/>
              </w:rPr>
              <w:t xml:space="preserve">Trap / Misconception</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ST-01</w:t>
            </w:r>
          </w:p>
        </w:tc>
        <w:tc>
          <w:tcPr>
            <w:tcW w:type="dxa" w:w="9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D3.2.15</w:t>
            </w:r>
          </w:p>
        </w:tc>
        <w:tc>
          <w:tcPr>
            <w:tcW w:type="dxa" w:w="31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Box-and-whisker plots show 6 aspects: minimum, Q1, median, Q3, maximum, AND outliers. Outlier = data point &gt;1.5 × IQR above Q3 or below Q1 — shown as individual circles/dots</w:t>
            </w:r>
          </w:p>
        </w:tc>
        <w:tc>
          <w:tcPr>
            <w:tcW w:type="dxa" w:w="3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Students say box plots show mean. They show median. Outliers are &gt;1.5 × IQR from quartile — shown as circles outside the whiskers. Many students think whiskers extend to all data.</w:t>
            </w:r>
          </w:p>
        </w:tc>
      </w:tr>
      <w:tr>
        <w:trPr>
          <w:tblHeader w:val="false"/>
        </w:trPr>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bCs/>
                <w:color w:val="222222"/>
                <w:sz w:val="17"/>
                <w:szCs w:val="17"/>
              </w:rPr>
              <w:t xml:space="preserve">ST-02</w:t>
            </w:r>
          </w:p>
        </w:tc>
        <w:tc>
          <w:tcPr>
            <w:tcW w:type="dxa" w:w="9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SL+HL</w:t>
            </w:r>
          </w:p>
        </w:tc>
        <w:tc>
          <w:tcPr>
            <w:tcW w:type="dxa" w:w="7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D3.2.21</w:t>
            </w:r>
          </w:p>
        </w:tc>
        <w:tc>
          <w:tcPr>
            <w:tcW w:type="dxa" w:w="3100"/>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Chi-squared test at p=0.05. Null hypothesis = no association (or 1:1:1:1 expected). If chi-squared &gt; critical value at p=0.05, reject null hypothesis. Used for dihybrid crosses AND interspecific competition</w:t>
            </w:r>
          </w:p>
        </w:tc>
        <w:tc>
          <w:tcPr>
            <w:tcW w:type="dxa" w:w="3626"/>
            <w:tcBorders>
              <w:top w:val="single" w:color="CCCCCC" w:sz="4"/>
              <w:left w:val="single" w:color="CCCCCC" w:sz="4"/>
              <w:bottom w:val="single" w:color="CCCCCC" w:sz="4"/>
              <w:right w:val="single" w:color="CCCCCC" w:sz="4"/>
            </w:tcBorders>
            <w:shd w:fill="f0f4fa" w:val="clear"/>
            <w:tcMar>
              <w:top w:type="dxa" w:w="60"/>
              <w:bottom w:type="dxa" w:w="60"/>
            </w:tcMar>
          </w:tcPr>
          <w:p>
            <w:r>
              <w:rPr>
                <w:rFonts w:ascii="Arial" w:cs="Arial" w:eastAsia="Arial" w:hAnsi="Arial"/>
                <w:b w:val="false"/>
                <w:bCs w:val="false"/>
                <w:color w:val="222222"/>
                <w:sz w:val="17"/>
                <w:szCs w:val="17"/>
              </w:rPr>
              <w:t xml:space="preserve">Students often just know chi-squared exists. The syllabus requires: understanding p=0.05, null vs alternative hypothesis, observed vs expected, and that the test is used in TWO contexts: genetics AND ecology.</w:t>
            </w:r>
          </w:p>
        </w:tc>
      </w:tr>
    </w:tbl>
    <w:p>
      <w:pPr>
        <w:spacing w:after="0" w:before="160"/>
      </w:pPr>
      <w:r>
        <w:t xml:space="preserve"/>
      </w:r>
    </w:p>
    <w:p>
      <w:pPr>
        <w:shd w:fill="2d4a1e" w:val="clear"/>
        <w:spacing w:after="80" w:before="280"/>
        <w:ind w:left="0"/>
      </w:pPr>
      <w:r>
        <w:rPr>
          <w:rFonts w:ascii="Arial" w:cs="Arial" w:eastAsia="Arial" w:hAnsi="Arial"/>
          <w:b/>
          <w:bCs/>
          <w:color w:val="ffffff"/>
          <w:sz w:val="26"/>
          <w:szCs w:val="26"/>
        </w:rPr>
        <w:t xml:space="preserve">SAMPLE MCQ QUESTIONS — LINKED TO EACH DETAIL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626"/>
      </w:tblGrid>
      <w:tr>
        <w:trPr>
          <w:tblHeader/>
        </w:trPr>
        <w:tc>
          <w:tcPr>
            <w:tcW w:type="dxa" w:w="700"/>
            <w:tcBorders>
              <w:top w:val="single" w:color="CCCCCC" w:sz="4"/>
              <w:left w:val="single" w:color="CCCCCC" w:sz="4"/>
              <w:bottom w:val="single" w:color="CCCCCC" w:sz="4"/>
              <w:right w:val="single" w:color="CCCCCC" w:sz="4"/>
            </w:tcBorders>
            <w:shd w:fill="2d4a1e" w:val="clear"/>
            <w:tcMar>
              <w:top w:type="dxa" w:w="60"/>
              <w:bottom w:type="dxa" w:w="60"/>
            </w:tcMar>
          </w:tcPr>
          <w:p>
            <w:r>
              <w:rPr>
                <w:rFonts w:ascii="Arial" w:cs="Arial" w:eastAsia="Arial" w:hAnsi="Arial"/>
                <w:b/>
                <w:bCs/>
                <w:color w:val="ffffff"/>
                <w:sz w:val="18"/>
                <w:szCs w:val="18"/>
              </w:rPr>
              <w:t xml:space="preserve">ID</w:t>
            </w:r>
          </w:p>
        </w:tc>
        <w:tc>
          <w:tcPr>
            <w:tcW w:type="dxa" w:w="700"/>
            <w:tcBorders>
              <w:top w:val="single" w:color="CCCCCC" w:sz="4"/>
              <w:left w:val="single" w:color="CCCCCC" w:sz="4"/>
              <w:bottom w:val="single" w:color="CCCCCC" w:sz="4"/>
              <w:right w:val="single" w:color="CCCCCC" w:sz="4"/>
            </w:tcBorders>
            <w:shd w:fill="2d4a1e" w:val="clear"/>
            <w:tcMar>
              <w:top w:type="dxa" w:w="60"/>
              <w:bottom w:type="dxa" w:w="60"/>
            </w:tcMar>
          </w:tcPr>
          <w:p>
            <w:r>
              <w:rPr>
                <w:rFonts w:ascii="Arial" w:cs="Arial" w:eastAsia="Arial" w:hAnsi="Arial"/>
                <w:b/>
                <w:bCs/>
                <w:color w:val="ffffff"/>
                <w:sz w:val="18"/>
                <w:szCs w:val="18"/>
              </w:rPr>
              <w:t xml:space="preserve">Level</w:t>
            </w:r>
          </w:p>
        </w:tc>
        <w:tc>
          <w:tcPr>
            <w:tcW w:type="dxa" w:w="7626"/>
            <w:tcBorders>
              <w:top w:val="single" w:color="CCCCCC" w:sz="4"/>
              <w:left w:val="single" w:color="CCCCCC" w:sz="4"/>
              <w:bottom w:val="single" w:color="CCCCCC" w:sz="4"/>
              <w:right w:val="single" w:color="CCCCCC" w:sz="4"/>
            </w:tcBorders>
            <w:shd w:fill="2d4a1e" w:val="clear"/>
            <w:tcMar>
              <w:top w:type="dxa" w:w="60"/>
              <w:bottom w:type="dxa" w:w="60"/>
            </w:tcMar>
          </w:tcPr>
          <w:p>
            <w:r>
              <w:rPr>
                <w:rFonts w:ascii="Arial" w:cs="Arial" w:eastAsia="Arial" w:hAnsi="Arial"/>
                <w:b/>
                <w:bCs/>
                <w:color w:val="ffffff"/>
                <w:sz w:val="18"/>
                <w:szCs w:val="18"/>
              </w:rPr>
              <w:t xml:space="preserve">Sample MCQ Question Stem + Answer</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CB-01</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A student observes a cell wall. Which component would confirm the cell is a fungal cell? A. Cellulose  B. Peptidoglycan  C. Chitin  D. Lignin  [C]</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CB-02</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Which of the following is a plastid found in ripe fruit that gives it its orange/red colour? A. Mitochondrion  B. Chromoplast  C. Vacuole  D. Lysosome  [B]</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CB-03</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Which cell type is correctly matched to its atypical feature? A. Skeletal muscle fibre — no cell membrane  B. Phloem sieve tube element — no nucleus at maturity  C. Red blood cell — many nuclei  D. Aseptate fungal hypha — has cross walls dividing nuclei  [B]</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CB-04</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Which observation provides evidence that chloroplasts evolved by endosymbiosis? A. They contain 80S ribosomes identical to the cytoplasm  B. They have a single membrane surrounding them  C. They contain 70S ribosomes and naked circular DNA  D. They divide by meiosis  [C]</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CB-05</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A 2020 study imaged the GABA-A receptor by freezing the sample in vitreous ice before using an electron beam. What technique is this? A. Immunofluorescence  B. Cryogenic electron microscopy  C. Freeze fracture  D. Confocal microscopy  [B]</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CB-06</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The IB Biology syllabus requires study of Gram-positive eubacteria. Which organism is specified as an example? A. Escherichia coli  B. Vibrio cholerae  C. Bacillus subtilis  D. Mycoplasma pneumoniae  [C]</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CB-07</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Which statement about the evolution of multicellularity is correct? A. Multicellularity evolved once from a single common ancestor  B. Multicellularity evolved repeatedly and independently in different lineages  C. Only plants and animals are multicellular  D. Multicellularity evolved before prokaryotes  [B]</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CB-08</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Which cell type in alveoli secretes pulmonary surfactant via lamellar bodies? A. Type I pneumocyte  B. Type II pneumocyte  C. Goblet cell  D. Macrophage  [B]</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CB-09</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Where are the carbohydrate groups of glycolipids located in the plasma membrane? A. On the cytoplasmic face  B. Embedded within the hydrophobic core  C. On the extracellular face only  D. Equally on both faces  [C]</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CB-10</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What is the role of clathrin during receptor-mediated endocytosis? A. It pumps ions to create a gradient driving uptake  B. It polymerises on the cytoplasmic face to curve the membrane into a coated pit  C. It increases membrane fluidity at the endocytic zone  D. It binds to the phospholipid tails to facilitate membrane fusion  [B]</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W-01</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The black-throated loon (Gavia arctica) has dense bones reducing buoyancy. Which property of water makes this adaptation relevant? A. High specific heat capacity  B. High thermal conductivity  C. High buoyancy compared to air  D. High viscosity  [C]</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W-02</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Which physical property of water, when compared to air, explains why swimming through water requires much greater muscular effort? A. Specific heat capacity  B. Thermal conductivity  C. Viscosity  D. Buoyancy  [C]</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W-03</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What is the 'Goldilocks zone' in the context of the search for extraterrestrial life? A. The distance from Earth where other planets orbit  B. The range of distances from a star where liquid water can exist on a planet's surface  C. The zone within a cell where water activity is optimal  D. The temperature range at which enzymes function  [B]</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W-04</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In which location(s) does capillary action contribute to water movement in a plant? A. Xylem vessels only  B. Phloem sieve tubes only  C. Both xylem vessels and plant cell walls  D. Root hair cells only  [C]</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OL-01</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What evidence supports the hypothesis that RNA was the first genetic material of early cells? A. RNA is more stable than DNA and therefore persisted  B. Ribozymes in ribosomes still catalyse peptide bond formation, suggesting RNA once had catalytic roles  C. RNA can replicate independently of any protein enzyme  D. RNA contains thymine, which is more resistant to UV damage  [B]</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OL-02</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What evidence supports the evolution of the Last Universal Common Ancestor (LUCA) near hydrothermal vents? A. Fossilised evidence in ancient seafloor hydrothermal vent precipitates and conserved genomic sequences  B. The presence of the universal genetic code in all living organisms  C. The Miller-Urey experiment showing amino acid synthesis in early Earth conditions  D. The spontaneous formation of vesicles from fatty acids  [A]</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CL-01</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In a cladogram, what does a node represent? A. An extant organism at the end of a branch  B. A hypothetical common ancestor at a branch point  C. The outgroup used to root the tree  D. A known fossil at a specific geological time  [B]</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CL-02</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Why can the molecular clock only give estimates of when two clades diverged? A. DNA sequences are too unstable to compare accurately  B. Mutation rates vary with generation time, population size and selective pressure  C. Only protein sequences, not DNA sequences, can be used for dating  D. The molecular clock only works for organisms alive today  [B]</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CL-03</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Which type of molecular evidence was used by Woese to establish the three-domain system? A. mRNA base sequences  B. Amino acid sequences of ATP synthase  C. rRNA base sequences  D. DNA methylation patterns  [C]</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CL-04</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Which genus is used as an example of abrupt speciation by hybridization and polyploidy in the IB syllabus? A. Felis  B. Persicaria  C. Orchis  D. Mirabilis  [B]</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CL-05</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The Caribbean monk seal (Neomonachus tropicalis) is used in the IB syllabus as an example of which type of biodiversity loss? A. Loss of a terrestrial megafauna species  B. Loss of a marine mammal species  C. Loss due to invasive disease  D. Loss due to habitat fragmentation only  [B]</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CL-06</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What is the rationale for prioritising EDGE species in conservation efforts? A. They are the most abundant species in each ecosystem  B. They represent unique evolutionary lineages that cannot be replaced if lost  C. They have the smallest genomes and are easiest to sequence  D. They live in habitats with the highest species richness  [B]</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M-01</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Which protein is correctly identified as a conjugated protein? A. Insulin  B. Collagen  C. Haemoglobin  D. Myosin  [C]</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M-02</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Which amino acid is used in the IB syllabus as the named example of end-product feedback inhibition of a metabolic pathway? A. Glycine  B. Isoleucine  C. Phenylalanine  D. Leucine  [B]</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M-03</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Penicillin is an example of a mechanism-based inhibitor. Which enzyme does it irreversibly inhibit? A. Beta-lactamase  B. Peptidoglycan synthase  C. Transpeptidase  D. Murein ligase  [C]</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EC-01</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Which organism is named in the IB Biology syllabus as an example of a mixotrophic protist? A. Paramecium  B. Amoeba  C. Euglena  D. Plasmodium  [C]</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EC-02</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Which statement about the nutritional diversity of archaea is correct according to the IB syllabus? A. All archaea are obligate anaerobes that use sulfur reduction  B. Archaea use light, oxidation of inorganic chemicals, or oxidation of carbon compounds for energy  C. Archaea are exclusively chemoautotrophic  D. Archaea obtain energy only by fermentation  [B]</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EC-03</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Which extinct hominid is named in the IB Biology syllabus as an example used to infer diet from dentition? A. Australopithecus afarensis  B. Homo heidelbergensis  C. Paranthropus robustus  D. Homo antecessor  [C]</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EC-04</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Which family of plants has a mutualism with mycorrhizal fungi named specifically in the IB Biology syllabus? A. Poaceae (grass family)  B. Orchidaceae (orchid family)  C. Asteraceae (daisy family)  D. Rosaceae (rose family)  [B]</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EC-05</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What is allelopathy? A. The use of antibiotics to kill pathogens inside a host organism  B. Release of chemical substances by an organism into the environment to deter competing species  C. The production of toxins by prey organisms to deter predators  D. Mutualistic chemical exchange between mycorrhizae and roots  [B]</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EC-06</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Which specific ecosystem is named in the IB Biology syllabus as a case study of ecosystem loss? A. Temperate deciduous forest in Western Europe  B. Mixed dipterocarp forest in Southeast Asia  C. Mangrove forest in the Caribbean  D. Boreal taiga forest in Canada  [B]</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NS-01</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How does cocaine affect synaptic transmission? A. It binds to the postsynaptic receptor as an agonist, mimicking the neurotransmitter  B. It prevents the release of neurotransmitter from the presynaptic membrane  C. It blocks the reuptake of neurotransmitter into the presynaptic terminal, causing accumulation in the cleft  D. It irreversibly inactivates acetylcholinesterase  [C]</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NS-02</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Capsaicin, the chemical responsible for the sensation of heat in chilli peppers, causes pain by which mechanism? A. It triggers release of substance P from the thalamus  B. It opens ion channels in free nerve endings that allow positive ions to enter, reaching threshold potential  C. It blocks potassium channels in nociceptors, preventing repolarisation  D. It activates mast cells to release histamine  [B]</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NS-03</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Where are the voltage-gated ion channels and pumps concentrated in a myelinated axon? A. Uniformly distributed along the full length of the axon  B. Only at the axon terminals where neurotransmitter is released  C. Clustered at the nodes of Ranvier between myelinated segments  D. Concentrated at the axon hillock only  [C]</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NS-04</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What is the direct effect of an inhibitory neurotransmitter on the postsynaptic membrane? A. The membrane is depolarised towards threshold  B. Neurotransmitter vesicles are prevented from fusing  C. The postsynaptic membrane becomes hyperpolarised  D. Acetylcholinesterase is activated in the synaptic cleft  [C]</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RH-01</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What is the correct sequence of hormonal events triggering puberty? A. Pituitary releases GnRH → hypothalamus releases LH and FSH → sex hormone production  B. Hypothalamus releases GnRH → pituitary releases LH and FSH → sex hormone production  C. Gonads release sex hormones → pituitary releases GnRH → hypothalamus responds  D. Hypothalamus releases LH → pituitary releases GnRH → gonad stimulation  [B]</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RH-02</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A home pregnancy test detects pregnancy by which mechanism? A. Measuring blood oestradiol levels using a biosensor  B. Monoclonal antibodies binding to hCG produced by the embryo or developing placenta  C. Detecting progesterone produced by the corpus luteum in urine  D. Measuring LH concentration that spikes at implantation  [B]</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RH-03</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What is the mechanism of self-incompatibility in Prunus avium? A. The stigma is physically below the anthers, preventing pollen contact  B. If the pollen S-allele matches either S-allele in the pistil, pollen tube growth is inhibited  C. Male and female flowers are on separate trees  D. Pollen and stigma mature at different times  [B]</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MV-01</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What role does the protein titin play in skeletal muscle? A. It catalyses the hydrolysis of ATP to provide energy for contraction  B. It forms the thin filaments that interact with myosin  C. It prevents sarcomeres from overstretching and stores potential energy during antagonistic muscle action  D. It links the neuromuscular junction to the T-tubule system  [C]</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MV-02</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Why is a ruler not suitable for precisely measuring the angle of a flexed finger joint? A. Rulers are not calibrated in degrees  B. Rulers measure straight-line distances and cannot directly measure angles at curved joints  C. Rulers are too large to place next to a finger  D. Rulers introduce unacceptable parallax error in all measurements  [B]</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MV-03</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How does the tail movement of a whale differ from that of a fish? A. Whales move their tail from side to side; fish move it up and down  B. Whales move their fluke up and down; fish move their tail from side to side  C. Both whales and fish move their tail from side to side  D. Whale flukes do not move — propulsion is by flippers only  [B]</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HO-01</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In which part of the loop of Henle does active transport of sodium ions occur to maintain high osmotic concentration in the medulla? A. Descending limb  B. Ascending limb  C. Collecting duct  D. Bowman's capsule  [B]</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HO-02</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How does antidiuretic hormone (ADH) increase water reabsorption in the collecting duct? A. It synthesises new aquaporin proteins on demand  B. It causes existing aquaporin proteins to move from the cytoplasm to the cell membrane  C. It directly opens water channels by binding to the aquaporin protein  D. It increases active transport of water by ATP-powered pumps  [B]</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HO-03</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Which hormone, released in cold conditions, increases the basal metabolic rate and contributes to thermoregulation by generating more body heat? A. Melatonin  B. Cortisol  C. Thyroxin  D. Glucagon  [C]</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GC-01</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What is the role of cyclins in controlling the cell cycle? A. They permanently activate cell division by binding to tumour suppressor genes  B. Their concentration rises and falls during the cycle, and a threshold level is required to pass each checkpoint  C. They catalyse the phosphorylation of chromosomes to initiate condensation  D. They act as structural proteins that shorten and lengthen throughout the cycle  [B]</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GC-02</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A tumour that remains in its original location and does not invade surrounding tissue is described as what? A. Malignant  B. Metastatic  C. Benign  D. Secondary  [C]</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GC-03</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What evidence supports the hypothesis that human chromosome 2 arose from the fusion of two ancestral primate chromosomes? A. Its DNA sequence is 99% identical to the chimpanzee genome  B. Telomeric sequences are found at its centre, and it shows two centromere regions fused into one  C. It is the largest human chromosome by base pair count  D. It contains the genes for all primate-specific traits  [B]</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GC-04</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Which enzyme removes the RNA primer during DNA replication in prokaryotes and replaces it with DNA? A. DNA polymerase III  B. DNA primase  C. DNA polymerase I  D. DNA ligase  [C]</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GC-05</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Which TWO hypotheses account for highly conserved gene sequences? A. Functional requirement of the gene product AND slower rate of mutation in those regions  B. Random genetic drift AND increased recombination in conserved regions  C. Higher expression level AND longer gene length  D. Epigenetic silencing AND transposon insertion  [A]</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GC-06</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In a population, the frequency of a recessive allele (q) is 0.3. According to the Hardy-Weinberg equation, what is the expected frequency of heterozygotes (2pq)? A. 0.09  B. 0.49  C. 0.42  D. 0.21  [C — p=0.7, 2pq = 2×0.7×0.3 = 0.42]</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GC-07</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Which regulatory DNA sequence can be located far from the gene it regulates, and when bound by specific proteins, increases the rate of transcription? A. Promoter  B. Okazaki fragment  C. Enhancer  D. Codon  [C]</w:t>
            </w:r>
          </w:p>
        </w:tc>
      </w:tr>
      <w:tr>
        <w:trPr>
          <w:tblHeader w:val="false"/>
        </w:trPr>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bCs/>
                <w:color w:val="7b3800"/>
                <w:sz w:val="17"/>
                <w:szCs w:val="17"/>
              </w:rPr>
              <w:t xml:space="preserve">GC-08</w:t>
            </w:r>
          </w:p>
        </w:tc>
        <w:tc>
          <w:tcPr>
            <w:tcW w:type="dxa" w:w="700"/>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HL</w:t>
            </w:r>
          </w:p>
        </w:tc>
        <w:tc>
          <w:tcPr>
            <w:tcW w:type="dxa" w:w="7626"/>
            <w:tcBorders>
              <w:top w:val="single" w:color="CCCCCC" w:sz="4"/>
              <w:left w:val="single" w:color="CCCCCC" w:sz="4"/>
              <w:bottom w:val="single" w:color="CCCCCC" w:sz="4"/>
              <w:right w:val="single" w:color="CCCCCC" w:sz="4"/>
            </w:tcBorders>
            <w:shd w:fill="fff8f0" w:val="clear"/>
            <w:tcMar>
              <w:top w:type="dxa" w:w="60"/>
              <w:bottom w:type="dxa" w:w="60"/>
            </w:tcMar>
          </w:tcPr>
          <w:p>
            <w:r>
              <w:rPr>
                <w:rFonts w:ascii="Arial" w:cs="Arial" w:eastAsia="Arial" w:hAnsi="Arial"/>
                <w:b w:val="false"/>
                <w:bCs w:val="false"/>
                <w:color w:val="7b3800"/>
                <w:sz w:val="17"/>
                <w:szCs w:val="17"/>
              </w:rPr>
              <w:t xml:space="preserve">Q: What distinguishes an epigenetic change from a genetic mutation? A. Epigenetic changes alter the DNA base sequence permanently; mutations do not  B. Epigenetic changes alter phenotype without altering the DNA base sequence  C. Mutations affect only somatic cells; epigenetic changes affect only germ cells  D. Epigenetic changes only affect mitochondrial DNA  [B]</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bCs/>
                <w:color w:val="222222"/>
                <w:sz w:val="17"/>
                <w:szCs w:val="17"/>
              </w:rPr>
              <w:t xml:space="preserve">ST-01</w:t>
            </w:r>
          </w:p>
        </w:tc>
        <w:tc>
          <w:tcPr>
            <w:tcW w:type="dxa" w:w="700"/>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fffff" w:val="clear"/>
            <w:tcMar>
              <w:top w:type="dxa" w:w="60"/>
              <w:bottom w:type="dxa" w:w="60"/>
            </w:tcMar>
          </w:tcPr>
          <w:p>
            <w:r>
              <w:rPr>
                <w:rFonts w:ascii="Arial" w:cs="Arial" w:eastAsia="Arial" w:hAnsi="Arial"/>
                <w:b w:val="false"/>
                <w:bCs w:val="false"/>
                <w:color w:val="222222"/>
                <w:sz w:val="17"/>
                <w:szCs w:val="17"/>
              </w:rPr>
              <w:t xml:space="preserve">Q: In a box-and-whisker plot, what is represented by circles plotted beyond the end of the whiskers? A. The mean of the dataset  B. The maximum and minimum values  C. Outliers: data points more than 1.5 × IQR from the nearest quartile  D. Standard deviation  [C]</w:t>
            </w:r>
          </w:p>
        </w:tc>
      </w:tr>
      <w:tr>
        <w:trPr>
          <w:tblHeader w:val="false"/>
        </w:trPr>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bCs/>
                <w:color w:val="222222"/>
                <w:sz w:val="17"/>
                <w:szCs w:val="17"/>
              </w:rPr>
              <w:t xml:space="preserve">ST-02</w:t>
            </w:r>
          </w:p>
        </w:tc>
        <w:tc>
          <w:tcPr>
            <w:tcW w:type="dxa" w:w="700"/>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SL+HL</w:t>
            </w:r>
          </w:p>
        </w:tc>
        <w:tc>
          <w:tcPr>
            <w:tcW w:type="dxa" w:w="7626"/>
            <w:tcBorders>
              <w:top w:val="single" w:color="CCCCCC" w:sz="4"/>
              <w:left w:val="single" w:color="CCCCCC" w:sz="4"/>
              <w:bottom w:val="single" w:color="CCCCCC" w:sz="4"/>
              <w:right w:val="single" w:color="CCCCCC" w:sz="4"/>
            </w:tcBorders>
            <w:shd w:fill="f5f9f0" w:val="clear"/>
            <w:tcMar>
              <w:top w:type="dxa" w:w="60"/>
              <w:bottom w:type="dxa" w:w="60"/>
            </w:tcMar>
          </w:tcPr>
          <w:p>
            <w:r>
              <w:rPr>
                <w:rFonts w:ascii="Arial" w:cs="Arial" w:eastAsia="Arial" w:hAnsi="Arial"/>
                <w:b w:val="false"/>
                <w:bCs w:val="false"/>
                <w:color w:val="222222"/>
                <w:sz w:val="17"/>
                <w:szCs w:val="17"/>
              </w:rPr>
              <w:t xml:space="preserve">Q: In a chi-squared test at p = 0.05, if the calculated value exceeds the critical value, what conclusion is drawn? A. The null hypothesis is accepted  B. The null hypothesis is rejected — the difference between observed and expected results is statistically significant  C. The results support Lamarckian inheritance  D. More data must be collected before any conclusion can be made  [B]</w:t>
            </w:r>
          </w:p>
        </w:tc>
      </w:tr>
    </w:tbl>
    <w:p>
      <w:pPr>
        <w:spacing w:after="0" w:before="200"/>
      </w:pPr>
      <w:r>
        <w:t xml:space="preserve"/>
      </w:r>
    </w:p>
    <w:p>
      <w:pPr>
        <w:spacing w:after="0" w:before="60"/>
      </w:pPr>
      <w:r>
        <w:rPr>
          <w:rFonts w:ascii="Arial" w:cs="Arial" w:eastAsia="Arial" w:hAnsi="Arial"/>
          <w:i/>
          <w:iCs/>
          <w:color w:val="555555"/>
          <w:sz w:val="17"/>
          <w:szCs w:val="17"/>
        </w:rPr>
        <w:t xml:space="preserve">KEY: Blue rows = SL + HL content. Red-tinted rows (HL) = Higher Level only. White rows = SL + HL shared. Column 'Ref' = 2023 IB Biology guide section code.</w:t>
      </w:r>
    </w:p>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2026-04-26T10:47:00.389Z</dcterms:created>
  <dcterms:modified xsi:type="dcterms:W3CDTF">2026-04-26T10:47:00.390Z</dcterms:modified>
</cp:coreProperties>
</file>

<file path=docProps/custom.xml><?xml version="1.0" encoding="utf-8"?>
<Properties xmlns="http://schemas.openxmlformats.org/officeDocument/2006/custom-properties" xmlns:vt="http://schemas.openxmlformats.org/officeDocument/2006/docPropsVTypes"/>
</file>