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Diseño de Parallax</w:t>
      </w:r>
    </w:p>
    <w:p>
      <w:pPr>
        <w:pStyle w:val="Subtitle"/>
      </w:pPr>
      <w:r>
        <w:rPr>
          <w:color w:val="000000"/>
        </w:rPr>
        <w:t>Centro de inteligencia arquitectónica basado en LAIN</w:t>
      </w:r>
    </w:p>
    <w:p>
      <w:r>
        <w:rPr>
          <w:sz w:val="19"/>
        </w:rPr>
        <w:t>13 de octubre de 2026  ·  Versión 0.2  ·  Propuesta de implementación</w:t>
      </w:r>
    </w:p>
    <w:p>
      <w:pPr>
        <w:pStyle w:val="Heading1"/>
      </w:pPr>
      <w:r>
        <w:rPr>
          <w:color w:val="000000"/>
        </w:rPr>
        <w:t>1 Decisión de producto</w:t>
      </w:r>
    </w:p>
    <w:p>
      <w:r>
        <w:t>Parallax permite explorar una organización de software, diseñar cambios y revisar sus consecuencias entre repositorios. El producto combina la evidencia estructural de LAIN con un investigador Nemotron, una interfaz para arquitectos y herramientas MCP para agentes.</w:t>
      </w:r>
    </w:p>
    <w:p>
      <w:r>
        <w:t>La primera versión debe completar un recorrido verificable: localizar una capacidad existente, investigar una opción de arquitectura y evaluar un PR que cambia un contrato consumido por otro sistema. Cada conclusión debe llevar al código y a las versiones que la sostienen.</w:t>
      </w:r>
    </w:p>
    <w:p>
      <w:pPr>
        <w:pStyle w:val="Heading2"/>
      </w:pPr>
      <w:r>
        <w:rPr>
          <w:color w:val="000000"/>
        </w:rPr>
        <w:t>Usuarios y resultado</w:t>
      </w:r>
    </w:p>
    <w:p>
      <w:r>
        <w:t>El usuario principal es un arquitecto, tech lead o ingeniero responsable de cambios que cruzan servicios. Un agente de código consume la misma información mediante MCP. El resultado es un informe de impacto y un plan de investigación o transición que se puede revisar y ejecutar.</w:t>
      </w:r>
    </w:p>
    <w:tbl>
      <w:tblPr>
        <w:tblW w:type="auto" w:w="0"/>
        <w:jc w:val="center"/>
        <w:tblLayout w:type="fixed"/>
        <w:tblLook w:firstColumn="1" w:firstRow="1" w:lastColumn="0" w:lastRow="0" w:noHBand="0" w:noVBand="1" w:val="04A0"/>
      </w:tblPr>
      <w:tblGrid>
        <w:gridCol w:w="4392"/>
        <w:gridCol w:w="5688"/>
      </w:tblGrid>
      <w:tr>
        <w:trPr>
          <w:tblHeader/>
        </w:trPr>
        <w:tc>
          <w:tcPr>
            <w:tcW w:type="dxa" w:w="439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Base observada</w:t>
            </w:r>
          </w:p>
        </w:tc>
        <w:tc>
          <w:tcPr>
            <w:tcW w:type="dxa" w:w="568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Aporte del derivado</w:t>
            </w:r>
          </w:p>
        </w:tc>
      </w:tr>
      <w:tr>
        <w:trPr>
          <w:cantSplit/>
        </w:trPr>
        <w:tc>
          <w:tcPr>
            <w:tcW w:type="dxa" w:w="439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LAIN expone búsqueda, grafo y análisis entre repositorios.</w:t>
            </w:r>
          </w:p>
        </w:tc>
        <w:tc>
          <w:tcPr>
            <w:tcW w:type="dxa" w:w="56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Parallax organiza preguntas, contexto, evidencias y decisiones en un recorrido de producto.</w:t>
            </w:r>
          </w:p>
        </w:tc>
      </w:tr>
      <w:tr>
        <w:trPr>
          <w:cantSplit/>
        </w:trPr>
        <w:tc>
          <w:tcPr>
            <w:tcW w:type="dxa" w:w="439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Hay herramientas de contratos, snapshots y cobertura.</w:t>
            </w:r>
          </w:p>
        </w:tc>
        <w:tc>
          <w:tcPr>
            <w:tcW w:type="dxa" w:w="56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agrega el flujo de PR, explicación con Nemotron y publicación controlada del informe.</w:t>
            </w:r>
          </w:p>
        </w:tc>
      </w:tr>
      <w:tr>
        <w:trPr>
          <w:cantSplit/>
        </w:trPr>
        <w:tc>
          <w:tcPr>
            <w:tcW w:type="dxa" w:w="439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Existe una interfaz Command Center en LAIN.</w:t>
            </w:r>
          </w:p>
        </w:tc>
        <w:tc>
          <w:tcPr>
            <w:tcW w:type="dxa" w:w="56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construye una experiencia centrada en arquitectura y cambios, con navegación por servicios y contratos.</w:t>
            </w:r>
          </w:p>
        </w:tc>
      </w:tr>
    </w:tbl>
    <w:p>
      <w:pPr>
        <w:spacing w:after="20" w:before="0" w:line="240" w:lineRule="auto"/>
      </w:pPr>
      <w:r>
        <w:rPr>
          <w:sz w:val="2"/>
        </w:rPr>
      </w:r>
    </w:p>
    <w:p>
      <w:r>
        <w:t>Base técnica de esta propuesta: LAIN en el commit 0abcd96 del PR 319, consultado el 13 de octubre de 2026. El PR estaba abierto. El diseño exige fijar una versión antes de implementar y verificar las capacidades requeridas mediante pruebas de integración. [P1–P4]</w:t>
      </w:r>
    </w:p>
    <w:p>
      <w:r>
        <w:t>Parallax y Synapser son aplicaciones independientes. Parallax produce contexto y recomendaciones arquitectónicas; Synapser administra la ejecución de tareas. Su integración será opcional y posterior al primer recorrido completo.</w:t>
      </w:r>
    </w:p>
    <w:p>
      <w:r>
        <w:br w:type="page"/>
      </w:r>
    </w:p>
    <w:p>
      <w:pPr>
        <w:pStyle w:val="Heading1"/>
      </w:pPr>
      <w:r>
        <w:rPr>
          <w:color w:val="000000"/>
        </w:rPr>
        <w:t>2 Alcance y experiencia de uso</w:t>
      </w:r>
    </w:p>
    <w:tbl>
      <w:tblPr>
        <w:tblW w:type="auto" w:w="0"/>
        <w:jc w:val="center"/>
        <w:tblLayout w:type="fixed"/>
        <w:tblLook w:firstColumn="1" w:firstRow="1" w:lastColumn="0" w:lastRow="0" w:noHBand="0" w:noVBand="1" w:val="04A0"/>
      </w:tblPr>
      <w:tblGrid>
        <w:gridCol w:w="1080"/>
        <w:gridCol w:w="9000"/>
      </w:tblGrid>
      <w:tr>
        <w:trPr>
          <w:tblHeader/>
        </w:trPr>
        <w:tc>
          <w:tcPr>
            <w:tcW w:type="dxa" w:w="10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color w:val="FFFFFF"/>
                <w:sz w:val="20"/>
              </w:rPr>
              <w:t>Prioridad</w:t>
            </w:r>
          </w:p>
        </w:tc>
        <w:tc>
          <w:tcPr>
            <w:tcW w:type="dxa" w:w="9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Incluido</w:t>
            </w:r>
          </w:p>
        </w:tc>
      </w:tr>
      <w:tr>
        <w:trPr>
          <w:cantSplit/>
        </w:trPr>
        <w:tc>
          <w:tcPr>
            <w:tcW w:type="dxa" w:w="1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Una organización de demostración con los cuatro repositorios del fixture de contratos, servicios declarados y commits fijados.</w:t>
            </w:r>
          </w:p>
        </w:tc>
      </w:tr>
      <w:tr>
        <w:trPr>
          <w:cantSplit/>
        </w:trPr>
        <w:tc>
          <w:tcPr>
            <w:tcW w:type="dxa" w:w="1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Mapa de servicios y consumidores, navegación a contratos y evidencia de código.</w:t>
            </w:r>
          </w:p>
        </w:tc>
      </w:tr>
      <w:tr>
        <w:trPr>
          <w:cantSplit/>
        </w:trPr>
        <w:tc>
          <w:tcPr>
            <w:tcW w:type="dxa" w:w="1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Investigación de una pregunta arquitectónica con Nemotron y herramientas de LAIN.</w:t>
            </w:r>
          </w:p>
        </w:tc>
      </w:tr>
      <w:tr>
        <w:trPr>
          <w:cantSplit/>
        </w:trPr>
        <w:tc>
          <w:tcPr>
            <w:tcW w:type="dxa" w:w="1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Evaluación de un PR mediante snapshots compatibles y un informe de impacto.</w:t>
            </w:r>
          </w:p>
        </w:tc>
      </w:tr>
      <w:tr>
        <w:trPr>
          <w:cantSplit/>
        </w:trPr>
        <w:tc>
          <w:tcPr>
            <w:tcW w:type="dxa" w:w="1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Herramientas MCP de alto nivel y vista previa de comentario para GitHub.</w:t>
            </w:r>
          </w:p>
        </w:tc>
      </w:tr>
      <w:tr>
        <w:trPr>
          <w:cantSplit/>
        </w:trPr>
        <w:tc>
          <w:tcPr>
            <w:tcW w:type="dxa" w:w="1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P1</w:t>
            </w:r>
          </w:p>
        </w:tc>
        <w:tc>
          <w:tcPr>
            <w:tcW w:type="dxa" w:w="9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Publicación de comentarios, historial de decisiones y comparación asistida de dos alternativas.</w:t>
            </w:r>
          </w:p>
        </w:tc>
      </w:tr>
    </w:tbl>
    <w:p>
      <w:pPr>
        <w:spacing w:after="20" w:before="0" w:line="240" w:lineRule="auto"/>
      </w:pPr>
      <w:r>
        <w:rPr>
          <w:sz w:val="2"/>
        </w:rPr>
      </w:r>
    </w:p>
    <w:p>
      <w:pPr>
        <w:pStyle w:val="Heading2"/>
      </w:pPr>
      <w:r>
        <w:rPr>
          <w:color w:val="000000"/>
        </w:rPr>
        <w:t>Explorar y diseñar</w:t>
      </w:r>
    </w:p>
    <w:p>
      <w:r>
        <w:t>El usuario abre el mapa, selecciona un servicio y ve sus contratos, consumidores y cobertura. Al preguntar cómo agregar un BFF, el investigador busca capacidades existentes, obtiene sus evidencias y propone una composición. La propuesta muestra las dependencias que reutiliza, lo que tendría que cambiar y las preguntas pendientes. Se conserva como una propuesta identificada, separada del mapa observado.</w:t>
      </w:r>
    </w:p>
    <w:p>
      <w:pPr>
        <w:pStyle w:val="Heading2"/>
      </w:pPr>
      <w:r>
        <w:rPr>
          <w:color w:val="000000"/>
        </w:rPr>
        <w:t>Evaluar un cambio</w:t>
      </w:r>
    </w:p>
    <w:p>
      <w:r>
        <w:t>El usuario entrega una URL de PR. Parallax muestra repositorio, base, head y alcance antes de iniciar. El informe permite abrir cada consumidor afectado, inspeccionar la evidencia y revisar una transición propuesta. La vista previa del comentario conserva el SHA evaluado y los límites de cobertura.</w:t>
      </w:r>
    </w:p>
    <w:p>
      <w:pPr>
        <w:pStyle w:val="Heading2"/>
      </w:pPr>
      <w:r>
        <w:rPr>
          <w:color w:val="000000"/>
        </w:rPr>
        <w:t>Pantallas del MVP</w:t>
      </w:r>
    </w:p>
    <w:p>
      <w:r>
        <w:t>La interfaz tiene un selector de organización, un mapa navegable, un panel de evidencia y una vista de cambio. La navegación conserva el servicio y la versión seleccionados. El estado del análisis y la cobertura permanecen visibles; un resultado vacío no se presenta como autorización para cambiar el sistema.</w:t>
      </w:r>
    </w:p>
    <w:p>
      <w:r>
        <w:t>Quedan fuera del MVP la ejecución de migraciones, el merge automático, una CMDB completa, el descubrimiento universal de infraestructura y las garantías sobre llamadas dinámicas que los sensores no observan. La demo utiliza lenguajes y patrones cuya extracción se haya validado en el fixture.</w:t>
      </w:r>
    </w:p>
    <w:p>
      <w:r>
        <w:br w:type="page"/>
      </w:r>
    </w:p>
    <w:p>
      <w:pPr>
        <w:pStyle w:val="Heading1"/>
      </w:pPr>
      <w:r>
        <w:rPr>
          <w:color w:val="000000"/>
        </w:rPr>
        <w:t>3 Arquitectura propuesta</w:t>
      </w:r>
    </w:p>
    <w:p>
      <w:pPr>
        <w:keepNext/>
      </w:pPr>
      <w:r>
        <w:drawing>
          <wp:inline xmlns:a="http://schemas.openxmlformats.org/drawingml/2006/main" xmlns:pic="http://schemas.openxmlformats.org/drawingml/2006/picture">
            <wp:extent cx="6355080" cy="3365365"/>
            <wp:docPr id="1" name="Picture 1" descr="Interfaz web y clientes MCP acceden a Parallax, que integra LAIN, GitHub, Nemotron y almacenamiento propio."/>
            <wp:cNvGraphicFramePr>
              <a:graphicFrameLocks noChangeAspect="1"/>
            </wp:cNvGraphicFramePr>
            <a:graphic>
              <a:graphicData uri="http://schemas.openxmlformats.org/drawingml/2006/picture">
                <pic:pic>
                  <pic:nvPicPr>
                    <pic:cNvPr id="0" name="parallax_architecture.png"/>
                    <pic:cNvPicPr/>
                  </pic:nvPicPr>
                  <pic:blipFill>
                    <a:blip r:embed="rId10"/>
                    <a:stretch>
                      <a:fillRect/>
                    </a:stretch>
                  </pic:blipFill>
                  <pic:spPr>
                    <a:xfrm>
                      <a:off x="0" y="0"/>
                      <a:ext cx="6355080" cy="3365365"/>
                    </a:xfrm>
                    <a:prstGeom prst="rect"/>
                  </pic:spPr>
                </pic:pic>
              </a:graphicData>
            </a:graphic>
          </wp:inline>
        </w:drawing>
      </w:r>
    </w:p>
    <w:p>
      <w:pPr>
        <w:pStyle w:val="Caption"/>
      </w:pPr>
      <w:r>
        <w:t>Arquitectura del MVP. Parallax conserva los trabajos y delega el análisis estructural a LAIN.</w:t>
      </w:r>
    </w:p>
    <w:p>
      <w:r>
        <w:t>La API controla los trabajos, el alcance y la publicación. El investigador solicita herramientas a través de un despachador con una lista de operaciones permitidas. El modelo no recibe credenciales ni llama directamente a GitHub. El adaptador LAIN traduce sus respuestas sin perder clasificación, cobertura, paginación ni identidad de la vista.</w:t>
      </w:r>
    </w:p>
    <w:p>
      <w:pPr>
        <w:pStyle w:val="Heading2"/>
      </w:pPr>
      <w:r>
        <w:rPr>
          <w:color w:val="000000"/>
        </w:rPr>
        <w:t>Decisiones de implementación</w:t>
      </w:r>
    </w:p>
    <w:p>
      <w:r>
        <w:t>Propuesta de stack: TypeScript para API y cliente web, React para la interfaz, SQLite para trabajos y metadatos, y archivos de evidencia asociados al análisis. LAIN se ejecuta como proceso o servicio HTTP separado, en una versión fijada. Un trabajador de análisis consume la cola persistida; el transporte de progreso puede ser SSE.</w:t>
      </w:r>
    </w:p>
    <w:p>
      <w:r>
        <w:t>El despliegue inicial usa un único host con almacenamiento persistente. Una instancia de Nebius AI Cloud puede alojar la aplicación y LAIN; Nemotron se consume mediante Token Factory durante las consultas reales. La interfaz del modelo permite fijar el identificador disponible en la cuenta sin introducirlo en el código.</w:t>
      </w:r>
    </w:p>
    <w:p>
      <w:r>
        <w:t>El límite entre procesos permite actualizar Parallax sin bifurcar el motor. No se escriben archivos internos de .lain ni se reconstruye un grafo paralelo como fuente de verdad. La base de Parallax almacena informes y referencias; LAIN mantiene sus índices y snapshots.</w:t>
      </w:r>
    </w:p>
    <w:p>
      <w:r>
        <w:br w:type="page"/>
      </w:r>
    </w:p>
    <w:p>
      <w:pPr>
        <w:pStyle w:val="Heading1"/>
      </w:pPr>
      <w:r>
        <w:rPr>
          <w:color w:val="000000"/>
        </w:rPr>
        <w:t>4 Datos y contratos de análisis</w:t>
      </w:r>
    </w:p>
    <w:tbl>
      <w:tblPr>
        <w:tblW w:type="auto" w:w="0"/>
        <w:jc w:val="center"/>
        <w:tblLayout w:type="fixed"/>
        <w:tblLook w:firstColumn="1" w:firstRow="1" w:lastColumn="0" w:lastRow="0" w:noHBand="0" w:noVBand="1" w:val="04A0"/>
      </w:tblPr>
      <w:tblGrid>
        <w:gridCol w:w="2232"/>
        <w:gridCol w:w="7848"/>
      </w:tblGrid>
      <w:tr>
        <w:trPr>
          <w:tblHeader/>
        </w:trPr>
        <w:tc>
          <w:tcPr>
            <w:tcW w:type="dxa" w:w="223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Entidad</w:t>
            </w:r>
          </w:p>
        </w:tc>
        <w:tc>
          <w:tcPr>
            <w:tcW w:type="dxa" w:w="784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Contenido mínimo y regla</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OrgManifest</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Repositorios, servicios y configuración del análisis. Cada repositorio incluye un commit resuelto. Su hash fija el alcance.</w:t>
            </w:r>
          </w:p>
        </w:tc>
      </w:tr>
      <w:tr>
        <w:trPr>
          <w:cantSplit/>
        </w:trPr>
        <w:tc>
          <w:tcPr>
            <w:tcW w:type="dxa" w:w="223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AnalysisRequest</w:t>
            </w:r>
          </w:p>
        </w:tc>
        <w:tc>
          <w:tcPr>
            <w:tcW w:type="dxa" w:w="784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Organización, repositorio del PR, base SHA, head SHA, manifiesto y versión de configuración. La solicitud validada es inmutable.</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EvidenceRef</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Repositorio, SHA, ruta, ubicación o símbolo, vista de LAIN, procedencia e identificador de evidencia. Debe resolverse antes de citarse.</w:t>
            </w:r>
          </w:p>
        </w:tc>
      </w:tr>
      <w:tr>
        <w:trPr>
          <w:cantSplit/>
        </w:trPr>
        <w:tc>
          <w:tcPr>
            <w:tcW w:type="dxa" w:w="223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Finding</w:t>
            </w:r>
          </w:p>
        </w:tc>
        <w:tc>
          <w:tcPr>
            <w:tcW w:type="dxa" w:w="784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Identidad estable, cambio detectado, clasificación del motor, compatibilidad, consumidores y referencias de evidencia.</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Coverage</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Repositorios revisados y omitidos, causas de omisión, referencias sin resolver y truncamientos. Viaja con cada informe.</w:t>
            </w:r>
          </w:p>
        </w:tc>
      </w:tr>
      <w:tr>
        <w:trPr>
          <w:cantSplit/>
        </w:trPr>
        <w:tc>
          <w:tcPr>
            <w:tcW w:type="dxa" w:w="223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ArchitectureProposal</w:t>
            </w:r>
          </w:p>
        </w:tc>
        <w:tc>
          <w:tcPr>
            <w:tcW w:type="dxa" w:w="784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Objetivo, opciones, supuestos, evidencias y acciones sugeridas. Es asesoría hasta que un usuario adopta una decisión.</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Assessment</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Solicitud, estado, findings, cobertura, resumen del modelo y trazas. Persiste antes de anunciar que está disponible.</w:t>
            </w:r>
          </w:p>
        </w:tc>
      </w:tr>
    </w:tbl>
    <w:p>
      <w:pPr>
        <w:spacing w:after="20" w:before="0" w:line="240" w:lineRule="auto"/>
      </w:pPr>
      <w:r>
        <w:rPr>
          <w:sz w:val="2"/>
        </w:rPr>
      </w:r>
    </w:p>
    <w:p>
      <w:pPr>
        <w:pStyle w:val="Heading2"/>
      </w:pPr>
      <w:r>
        <w:rPr>
          <w:color w:val="000000"/>
        </w:rPr>
        <w:t>Identidad e idempotencia</w:t>
      </w:r>
    </w:p>
    <w:p>
      <w:r>
        <w:t>La clave del trabajo se calcula sobre el manifiesto de commits, base, head, config_hash, analyzer_version y versión de la política de Parallax. La misma clave reutiliza el análisis persistido o devuelve su trabajo en curso. Un mismo idempotency_key con otro cuerpo se rechaza. El resultado del modelo se guarda como revisión de explicación; no cambia los findings del motor.</w:t>
      </w:r>
    </w:p>
    <w:p>
      <w:pPr>
        <w:pStyle w:val="Heading2"/>
      </w:pPr>
      <w:r>
        <w:rPr>
          <w:color w:val="000000"/>
        </w:rPr>
        <w:t>Contrato de salida</w:t>
      </w:r>
    </w:p>
    <w:p>
      <w:pPr>
        <w:pStyle w:val="Code"/>
      </w:pPr>
      <w:r>
        <w:t>assessment_id · input_digest · status</w:t>
        <w:br/>
        <w:t>base_sha · head_sha · manifest_digest</w:t>
        <w:br/>
        <w:t>findings[] · evidence[] · coverage</w:t>
        <w:br/>
        <w:t>explanation_status · explanation_revision</w:t>
        <w:br/>
        <w:t>created_at · completed_at · errors[]</w:t>
      </w:r>
    </w:p>
    <w:p>
      <w:r>
        <w:t>El producto conserva las clases de LAIN Verified, NeedsInvestigation y NoKnownImpact, junto con su alcance. Verified se refiere al hallazgo definido por el analizador; no certifica la corrección completa del programa. Una puntuación del modelo nunca reemplaza esta clasificación. [P3–P4]</w:t>
      </w:r>
    </w:p>
    <w:p>
      <w:r>
        <w:br w:type="page"/>
      </w:r>
    </w:p>
    <w:p>
      <w:pPr>
        <w:pStyle w:val="Heading1"/>
      </w:pPr>
      <w:r>
        <w:rPr>
          <w:color w:val="000000"/>
        </w:rPr>
        <w:t>5 Flujo de evaluación y estados</w:t>
      </w:r>
    </w:p>
    <w:p>
      <w:r>
        <w:t>El análisis de un PR compara dos vistas históricas. La base propuesta es el merge base del PR y el head es su commit evaluado. Los demás repositorios usan el mismo manifiesto de commits en ambas vistas. Todo SHA se resuelve al admitir la solicitud; un nombre de rama no funciona como identidad persistente.</w:t>
      </w:r>
    </w:p>
    <w:tbl>
      <w:tblPr>
        <w:tblW w:type="auto" w:w="0"/>
        <w:jc w:val="center"/>
        <w:tblLayout w:type="fixed"/>
        <w:tblLook w:firstColumn="1" w:firstRow="1" w:lastColumn="0" w:lastRow="0" w:noHBand="0" w:noVBand="1" w:val="04A0"/>
      </w:tblPr>
      <w:tblGrid>
        <w:gridCol w:w="2160"/>
        <w:gridCol w:w="7920"/>
      </w:tblGrid>
      <w:tr>
        <w:trPr>
          <w:tblHeader/>
        </w:trPr>
        <w:tc>
          <w:tcPr>
            <w:tcW w:type="dxa" w:w="216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Estado</w:t>
            </w:r>
          </w:p>
        </w:tc>
        <w:tc>
          <w:tcPr>
            <w:tcW w:type="dxa" w:w="792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Condición y transición observable</w:t>
            </w:r>
          </w:p>
        </w:tc>
      </w:tr>
      <w:tr>
        <w:trPr>
          <w:cantSplit/>
        </w:trPr>
        <w:tc>
          <w:tcPr>
            <w:tcW w:type="dxa" w:w="21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QUEUED</w:t>
            </w:r>
          </w:p>
        </w:tc>
        <w:tc>
          <w:tcPr>
            <w:tcW w:type="dxa" w:w="79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solicitud válida y su clave quedan persistidas. Se devuelve assessment_id.</w:t>
            </w:r>
          </w:p>
        </w:tc>
      </w:tr>
      <w:tr>
        <w:trPr>
          <w:cantSplit/>
        </w:trPr>
        <w:tc>
          <w:tcPr>
            <w:tcW w:type="dxa" w:w="21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SNAPSHOTTING</w:t>
            </w:r>
          </w:p>
        </w:tc>
        <w:tc>
          <w:tcPr>
            <w:tcW w:type="dxa" w:w="79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preparan ambas vistas y se espera su estado listo. Una vista fallida conduce a FAILED o a una omisión explícita permitida por el alcance.</w:t>
            </w:r>
          </w:p>
        </w:tc>
      </w:tr>
      <w:tr>
        <w:trPr>
          <w:cantSplit/>
        </w:trPr>
        <w:tc>
          <w:tcPr>
            <w:tcW w:type="dxa" w:w="21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ANALYZING</w:t>
            </w:r>
          </w:p>
        </w:tc>
        <w:tc>
          <w:tcPr>
            <w:tcW w:type="dxa" w:w="79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ejecutan diff_contracts, trace_impact y consultas de evidencia. Se registran cobertura, cursores y límites.</w:t>
            </w:r>
          </w:p>
        </w:tc>
      </w:tr>
      <w:tr>
        <w:trPr>
          <w:cantSplit/>
        </w:trPr>
        <w:tc>
          <w:tcPr>
            <w:tcW w:type="dxa" w:w="21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EXPLAINING</w:t>
            </w:r>
          </w:p>
        </w:tc>
        <w:tc>
          <w:tcPr>
            <w:tcW w:type="dxa" w:w="79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Nemotron investiga los hallazgos dentro del presupuesto. Cada referencia utilizada debe pertenecer a la vista evaluada.</w:t>
            </w:r>
          </w:p>
        </w:tc>
      </w:tr>
      <w:tr>
        <w:trPr>
          <w:cantSplit/>
        </w:trPr>
        <w:tc>
          <w:tcPr>
            <w:tcW w:type="dxa" w:w="21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READY</w:t>
            </w:r>
          </w:p>
        </w:tc>
        <w:tc>
          <w:tcPr>
            <w:tcW w:type="dxa" w:w="79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completaron las operaciones requeridas y se persistió el resultado. coverage.complete puede seguir en false; explicación y cobertura conservan estados separados.</w:t>
            </w:r>
          </w:p>
        </w:tc>
      </w:tr>
      <w:tr>
        <w:trPr>
          <w:cantSplit/>
        </w:trPr>
        <w:tc>
          <w:tcPr>
            <w:tcW w:type="dxa" w:w="21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PARTIAL</w:t>
            </w:r>
          </w:p>
        </w:tc>
        <w:tc>
          <w:tcPr>
            <w:tcW w:type="dxa" w:w="79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se completó toda la consulta solicitada, pero hay un resultado utilizable. El informe enumera lo omitido y no habilita una conclusión global de ausencia de impacto.</w:t>
            </w:r>
          </w:p>
        </w:tc>
      </w:tr>
      <w:tr>
        <w:trPr>
          <w:cantSplit/>
        </w:trPr>
        <w:tc>
          <w:tcPr>
            <w:tcW w:type="dxa" w:w="21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FAILED o CANCELLED</w:t>
            </w:r>
          </w:p>
        </w:tc>
        <w:tc>
          <w:tcPr>
            <w:tcW w:type="dxa" w:w="79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conserva la causa y lo producido hasta el corte. No se publica un comentario como análisis final.</w:t>
            </w:r>
          </w:p>
        </w:tc>
      </w:tr>
    </w:tbl>
    <w:p>
      <w:pPr>
        <w:spacing w:after="20" w:before="0" w:line="240" w:lineRule="auto"/>
      </w:pPr>
      <w:r>
        <w:rPr>
          <w:sz w:val="2"/>
        </w:rPr>
      </w:r>
    </w:p>
    <w:p>
      <w:pPr>
        <w:pStyle w:val="Heading2"/>
      </w:pPr>
      <w:r>
        <w:rPr>
          <w:color w:val="000000"/>
        </w:rPr>
        <w:t>Compatibilidad entre vistas</w:t>
      </w:r>
    </w:p>
    <w:p>
      <w:r>
        <w:t>diff_contracts requiere snapshots listos con analyzer_version y config_hash coincidentes y no admite live como base ni head. Parallax valida esas condiciones antes de consultar. Los snapshots de contratos no incluyen todos los enlaces de llamadas entre repositorios disponibles en live. Los resultados de esas dos superficies no se fusionan como si fueran una sola vista histórica. [P3–P4]</w:t>
      </w:r>
    </w:p>
    <w:p>
      <w:pPr>
        <w:pStyle w:val="Heading2"/>
      </w:pPr>
      <w:r>
        <w:rPr>
          <w:color w:val="000000"/>
        </w:rPr>
        <w:t>Cambios durante el análisis</w:t>
      </w:r>
    </w:p>
    <w:p>
      <w:r>
        <w:t>Si aparece otro commit, el informe anterior sigue siendo válido para sus SHAs pero queda superseded respecto del PR actual. Se crea otra solicitud; no se modifica silenciosamente la anterior. La publicación relee el head y muestra siempre el SHA analizado. Un push posterior hace visible la desactualización; no se promete una transacción atómica entre el análisis y GitHub.</w:t>
      </w:r>
    </w:p>
    <w:p>
      <w:r>
        <w:br w:type="page"/>
      </w:r>
    </w:p>
    <w:p>
      <w:pPr>
        <w:pStyle w:val="Heading1"/>
      </w:pPr>
      <w:r>
        <w:rPr>
          <w:color w:val="000000"/>
        </w:rPr>
        <w:t>6 Autoridad e invariantes</w:t>
      </w:r>
    </w:p>
    <w:tbl>
      <w:tblPr>
        <w:tblW w:type="auto" w:w="0"/>
        <w:jc w:val="center"/>
        <w:tblLayout w:type="fixed"/>
        <w:tblLook w:firstColumn="1" w:firstRow="1" w:lastColumn="0" w:lastRow="0" w:noHBand="0" w:noVBand="1" w:val="04A0"/>
      </w:tblPr>
      <w:tblGrid>
        <w:gridCol w:w="3168"/>
        <w:gridCol w:w="6912"/>
      </w:tblGrid>
      <w:tr>
        <w:trPr>
          <w:tblHeader/>
        </w:trPr>
        <w:tc>
          <w:tcPr>
            <w:tcW w:type="dxa" w:w="316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Decisión</w:t>
            </w:r>
          </w:p>
        </w:tc>
        <w:tc>
          <w:tcPr>
            <w:tcW w:type="dxa" w:w="691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Autoridad y límite</w:t>
            </w:r>
          </w:p>
        </w:tc>
      </w:tr>
      <w:tr>
        <w:trPr>
          <w:cantSplit/>
        </w:trPr>
        <w:tc>
          <w:tcPr>
            <w:tcW w:type="dxa" w:w="31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código fue revisado</w:t>
            </w:r>
          </w:p>
        </w:tc>
        <w:tc>
          <w:tcPr>
            <w:tcW w:type="dxa" w:w="69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manifiesto y los SHAs resueltos, persistidos por Parallax.</w:t>
            </w:r>
          </w:p>
        </w:tc>
      </w:tr>
      <w:tr>
        <w:trPr>
          <w:cantSplit/>
        </w:trPr>
        <w:tc>
          <w:tcPr>
            <w:tcW w:type="dxa" w:w="31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relación se observó</w:t>
            </w:r>
          </w:p>
        </w:tc>
        <w:tc>
          <w:tcPr>
            <w:tcW w:type="dxa" w:w="69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LAIN y su procedencia. Una coincidencia o inferencia se presenta con el tipo de evidencia que entrega el motor.</w:t>
            </w:r>
          </w:p>
        </w:tc>
      </w:tr>
      <w:tr>
        <w:trPr>
          <w:cantSplit/>
        </w:trPr>
        <w:tc>
          <w:tcPr>
            <w:tcW w:type="dxa" w:w="31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clasificación tiene un hallazgo</w:t>
            </w:r>
          </w:p>
        </w:tc>
        <w:tc>
          <w:tcPr>
            <w:tcW w:type="dxa" w:w="69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respuesta del analizador para esa vista y configuración.</w:t>
            </w:r>
          </w:p>
        </w:tc>
      </w:tr>
      <w:tr>
        <w:trPr>
          <w:cantSplit/>
        </w:trPr>
        <w:tc>
          <w:tcPr>
            <w:tcW w:type="dxa" w:w="31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alternativa conviene explorar</w:t>
            </w:r>
          </w:p>
        </w:tc>
        <w:tc>
          <w:tcPr>
            <w:tcW w:type="dxa" w:w="69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Nemotron propone; el usuario decide si adopta la propuesta.</w:t>
            </w:r>
          </w:p>
        </w:tc>
      </w:tr>
      <w:tr>
        <w:trPr>
          <w:cantSplit/>
        </w:trPr>
        <w:tc>
          <w:tcPr>
            <w:tcW w:type="dxa" w:w="31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se comenta en GitHub</w:t>
            </w:r>
          </w:p>
        </w:tc>
        <w:tc>
          <w:tcPr>
            <w:tcW w:type="dxa" w:w="69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Una operación explícita de publicación autorizada para el repositorio.</w:t>
            </w:r>
          </w:p>
        </w:tc>
      </w:tr>
      <w:tr>
        <w:trPr>
          <w:cantSplit/>
        </w:trPr>
        <w:tc>
          <w:tcPr>
            <w:tcW w:type="dxa" w:w="31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se cambia o se integra</w:t>
            </w:r>
          </w:p>
        </w:tc>
        <w:tc>
          <w:tcPr>
            <w:tcW w:type="dxa" w:w="69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Fuera del alcance de Parallax en el MVP. Un informe puede alimentar una herramienta de ejecución.</w:t>
            </w:r>
          </w:p>
        </w:tc>
      </w:tr>
    </w:tbl>
    <w:p>
      <w:pPr>
        <w:spacing w:after="20" w:before="0" w:line="240" w:lineRule="auto"/>
      </w:pPr>
      <w:r>
        <w:rPr>
          <w:sz w:val="2"/>
        </w:rPr>
      </w:r>
    </w:p>
    <w:p>
      <w:pPr>
        <w:pStyle w:val="Heading2"/>
      </w:pPr>
      <w:r>
        <w:rPr>
          <w:color w:val="000000"/>
        </w:rPr>
        <w:t>Propiedades que debe cumplir el producto</w:t>
      </w:r>
    </w:p>
    <w:p>
      <w:pPr>
        <w:pStyle w:val="ListBullet"/>
      </w:pPr>
      <w:r>
        <w:t>P INV 1. Todo hallazgo publicado referencia SHAs concretos y evidencia resoluble. El validador de salida rechaza referencias inventadas o incompatibles con la vista.</w:t>
      </w:r>
    </w:p>
    <w:p>
      <w:pPr>
        <w:pStyle w:val="ListBullet"/>
      </w:pPr>
      <w:r>
        <w:t>P INV 2. Una explicación no puede promover NeedsInvestigation a Verified ni convertir un error de análisis en NoKnownImpact. El serializador mantiene separados los campos del motor y del modelo.</w:t>
      </w:r>
    </w:p>
    <w:p>
      <w:pPr>
        <w:pStyle w:val="ListBullet"/>
      </w:pPr>
      <w:r>
        <w:t>P INV 3. Una omisión, un truncamiento o un consumidor sin resolver aparecen en la cobertura. La interfaz no los representa como cero consumidores afectados.</w:t>
      </w:r>
    </w:p>
    <w:p>
      <w:pPr>
        <w:pStyle w:val="ListBullet"/>
      </w:pPr>
      <w:r>
        <w:t>P INV 4. Repetir la misma solicitud no crea dos trabajos activos ni duplica comentarios. Se usan claves únicas de solicitud y publicación, con conciliación de resultados inciertos.</w:t>
      </w:r>
    </w:p>
    <w:p>
      <w:pPr>
        <w:pStyle w:val="ListBullet"/>
      </w:pPr>
      <w:r>
        <w:t>P INV 5. El estado READY se anuncia después de guardar el resultado. Un reinicio puede recuperar el informe sin repetir la explicación como si fuera evidencia nueva.</w:t>
      </w:r>
    </w:p>
    <w:p>
      <w:pPr>
        <w:pStyle w:val="ListBullet"/>
      </w:pPr>
      <w:r>
        <w:t>P INV 6. Una propuesta hipotética conserva sus supuestos y no modifica el mapa observado. El origen de cada relación permanece disponible para inspección.</w:t>
      </w:r>
    </w:p>
    <w:p>
      <w:r>
        <w:t>La terminación se garantiza operativamente mediante límites de trabajo y estados de error, no mediante una promesa de respuesta correcta para cualquier repositorio. Valores iniciales propuestos: ocho llamadas de investigación y 120 segundos de modelo por consulta, configurables y medidos en la demo.</w:t>
      </w:r>
    </w:p>
    <w:p>
      <w:r>
        <w:br w:type="page"/>
      </w:r>
    </w:p>
    <w:p>
      <w:pPr>
        <w:pStyle w:val="Heading1"/>
      </w:pPr>
      <w:r>
        <w:rPr>
          <w:color w:val="000000"/>
        </w:rPr>
        <w:t>7 Integración y manejo de fallos</w:t>
      </w:r>
    </w:p>
    <w:p>
      <w:r>
        <w:t>El adaptador verifica al iniciar que LAIN sirve las herramientas requeridas. El perfil de contratos debe estar cargado. La primera integración cubre list_services, get_service, prepare_snapshot, get_snapshot, diff_contracts, trace_impact, get_coverage, resolve_evidence y read_source. Las respuestas con paginación o truncamiento mantienen esas señales. [P3]</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Caso</w:t>
            </w:r>
          </w:p>
        </w:tc>
        <w:tc>
          <w:tcPr>
            <w:tcW w:type="dxa" w:w="7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Comportamiento requerido</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LAIN no disponible</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trabajo permanece en espera acotada o falla con causa. Se permite consultar informes históricos con su fecha.</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Snapshot o configuración incompatibles</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detiene la comparación. El usuario recibe las versiones y el motivo; no se sustituye por live.</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Nemotron no disponible o devuelve formato inválido</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conserva el análisis estructural. Se declara explanation_status y se ofrece un reintento acotado.</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GitHub falla al publicar</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informe sigue disponible. Se concilia el marcador antes de repetir una escritura con resultado incierto.</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Cobertura parcial</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muestra el alcance revisado y el faltante en el informe, MCP y comentario.</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Repositorio o texto hostil</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Su contenido se procesa como datos. No puede cambiar permisos, herramientas autorizadas ni destino de publicación.</w:t>
            </w:r>
          </w:p>
        </w:tc>
      </w:tr>
    </w:tbl>
    <w:p>
      <w:pPr>
        <w:spacing w:after="20" w:before="0" w:line="240" w:lineRule="auto"/>
      </w:pPr>
      <w:r>
        <w:rPr>
          <w:sz w:val="2"/>
        </w:rPr>
      </w:r>
    </w:p>
    <w:p>
      <w:pPr>
        <w:pStyle w:val="Heading2"/>
      </w:pPr>
      <w:r>
        <w:rPr>
          <w:color w:val="000000"/>
        </w:rPr>
        <w:t>Superficie propuesta para clientes</w:t>
      </w:r>
    </w:p>
    <w:p>
      <w:r>
        <w:t>La API ofrece crear consultas, iniciar evaluaciones, leer sus resultados y publicar una revisión aprobada. Las herramientas nuevas parallax_explore, parallax_assess_pr, parallax_get_assessment y parallax_get_evidence consumen esos mismos servicios. Son contratos del derivado que deben implementarse; no se anuncian como herramientas actuales de LAIN.</w:t>
      </w:r>
    </w:p>
    <w:p>
      <w:pPr>
        <w:pStyle w:val="Heading2"/>
      </w:pPr>
      <w:r>
        <w:rPr>
          <w:color w:val="000000"/>
        </w:rPr>
        <w:t>Operación</w:t>
      </w:r>
    </w:p>
    <w:p>
      <w:r>
        <w:t>Los secretos permanecen en el servidor. El acceso a código privado se limita por organización y repositorio. Los fragmentos enviados al modelo se registran por referencia y hash; se conservan sólo los necesarios para explicar el resultado. Un código fuente obtenido de un repositorio nunca se ejecuta en el servidor de análisis.</w:t>
      </w:r>
    </w:p>
    <w:p>
      <w:r>
        <w:t>La demo pública utiliza repositorios de ejemplo y credenciales de lectura. La publicación real de comentarios se habilita únicamente en repositorios autorizados. Las trazas incluyen latencia, herramientas, tokens, errores y SHAs, y excluyen credenciales.</w:t>
      </w:r>
    </w:p>
    <w:p>
      <w:r>
        <w:br w:type="page"/>
      </w:r>
    </w:p>
    <w:p>
      <w:pPr>
        <w:pStyle w:val="Heading1"/>
      </w:pPr>
      <w:r>
        <w:rPr>
          <w:color w:val="000000"/>
        </w:rPr>
        <w:t>8 Criterios de aceptación</w:t>
      </w:r>
    </w:p>
    <w:p>
      <w:r>
        <w:t>Estos criterios son metas de implementación. Cada caso debe producir una solicitud, un resultado persistido y evidencia reproducible. El fixture define de antemano las relaciones y cambios esperados; una explicación convincente del modelo no sustituye esa comprobación.</w:t>
      </w:r>
    </w:p>
    <w:tbl>
      <w:tblPr>
        <w:tblW w:type="auto" w:w="0"/>
        <w:jc w:val="center"/>
        <w:tblLayout w:type="fixed"/>
        <w:tblLook w:firstColumn="1" w:firstRow="1" w:lastColumn="0" w:lastRow="0" w:noHBand="0" w:noVBand="1" w:val="04A0"/>
      </w:tblPr>
      <w:tblGrid>
        <w:gridCol w:w="720"/>
        <w:gridCol w:w="3888"/>
        <w:gridCol w:w="5472"/>
      </w:tblGrid>
      <w:tr>
        <w:trPr>
          <w:tblHeader/>
        </w:trPr>
        <w:tc>
          <w:tcPr>
            <w:tcW w:type="dxa" w:w="72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color w:val="FFFFFF"/>
                <w:sz w:val="20"/>
              </w:rPr>
              <w:t>ID</w:t>
            </w:r>
          </w:p>
        </w:tc>
        <w:tc>
          <w:tcPr>
            <w:tcW w:type="dxa" w:w="388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Escenario</w:t>
            </w:r>
          </w:p>
        </w:tc>
        <w:tc>
          <w:tcPr>
            <w:tcW w:type="dxa" w:w="547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Resultado exigido</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P01</w:t>
            </w:r>
          </w:p>
        </w:tc>
        <w:tc>
          <w:tcPr>
            <w:tcW w:type="dxa" w:w="38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Eliminar un campo de respuesta leído por un consumidor del fixture.</w:t>
            </w:r>
          </w:p>
        </w:tc>
        <w:tc>
          <w:tcPr>
            <w:tcW w:type="dxa" w:w="547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identifica el consumidor y la ubicación conocida, con la clasificación y evidencia que corresponden.</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P02</w:t>
            </w:r>
          </w:p>
        </w:tc>
        <w:tc>
          <w:tcPr>
            <w:tcW w:type="dxa" w:w="38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Agregar un campo opcional compatible.</w:t>
            </w:r>
          </w:p>
        </w:tc>
        <w:tc>
          <w:tcPr>
            <w:tcW w:type="dxa" w:w="547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se presenta como ruptura verificada; se conserva el detalle del cambio.</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P03</w:t>
            </w:r>
          </w:p>
        </w:tc>
        <w:tc>
          <w:tcPr>
            <w:tcW w:type="dxa" w:w="38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Ocultar un repositorio o dejar un consumidor sin resolver.</w:t>
            </w:r>
          </w:p>
        </w:tc>
        <w:tc>
          <w:tcPr>
            <w:tcW w:type="dxa" w:w="547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omisión o incertidumbre aparece en cobertura; no hay conclusión global de seguridad.</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P04</w:t>
            </w:r>
          </w:p>
        </w:tc>
        <w:tc>
          <w:tcPr>
            <w:tcW w:type="dxa" w:w="38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Comparar config_hash o analyzer_version diferentes.</w:t>
            </w:r>
          </w:p>
        </w:tc>
        <w:tc>
          <w:tcPr>
            <w:tcW w:type="dxa" w:w="547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solicitud falla con diagnóstico; no se mezclan vistas.</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P05</w:t>
            </w:r>
          </w:p>
        </w:tc>
        <w:tc>
          <w:tcPr>
            <w:tcW w:type="dxa" w:w="38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Cambiar el head mientras se analiza.</w:t>
            </w:r>
          </w:p>
        </w:tc>
        <w:tc>
          <w:tcPr>
            <w:tcW w:type="dxa" w:w="547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informe conserva el SHA original y queda desactualizado para el PR nuevo.</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P06</w:t>
            </w:r>
          </w:p>
        </w:tc>
        <w:tc>
          <w:tcPr>
            <w:tcW w:type="dxa" w:w="38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Repetir una solicitud y perder una respuesta de publicación.</w:t>
            </w:r>
          </w:p>
        </w:tc>
        <w:tc>
          <w:tcPr>
            <w:tcW w:type="dxa" w:w="547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Existe un trabajo lógico y se concilia un comentario antes de reintentar.</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P07</w:t>
            </w:r>
          </w:p>
        </w:tc>
        <w:tc>
          <w:tcPr>
            <w:tcW w:type="dxa" w:w="38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modelo inventa una ruta o pide ampliar permisos.</w:t>
            </w:r>
          </w:p>
        </w:tc>
        <w:tc>
          <w:tcPr>
            <w:tcW w:type="dxa" w:w="547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rechaza la referencia o herramienta; el informe mantiene la evidencia válida.</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P08</w:t>
            </w:r>
          </w:p>
        </w:tc>
        <w:tc>
          <w:tcPr>
            <w:tcW w:type="dxa" w:w="38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Desactivar Token Factory.</w:t>
            </w:r>
          </w:p>
        </w:tc>
        <w:tc>
          <w:tcPr>
            <w:tcW w:type="dxa" w:w="547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análisis estructural sigue accesible y el fallo de explicación es visible.</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P09</w:t>
            </w:r>
          </w:p>
        </w:tc>
        <w:tc>
          <w:tcPr>
            <w:tcW w:type="dxa" w:w="38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Consultar el mismo informe desde web y MCP.</w:t>
            </w:r>
          </w:p>
        </w:tc>
        <w:tc>
          <w:tcPr>
            <w:tcW w:type="dxa" w:w="547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Coinciden identidad, hallazgos, cobertura y evidencia.</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P10</w:t>
            </w:r>
          </w:p>
        </w:tc>
        <w:tc>
          <w:tcPr>
            <w:tcW w:type="dxa" w:w="38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Proponer un BFF que reutiliza servicios del fixture.</w:t>
            </w:r>
          </w:p>
        </w:tc>
        <w:tc>
          <w:tcPr>
            <w:tcW w:type="dxa" w:w="547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propuesta identifica las fuentes reales, expone supuestos y no altera el mapa observado.</w:t>
            </w:r>
          </w:p>
        </w:tc>
      </w:tr>
    </w:tbl>
    <w:p>
      <w:pPr>
        <w:spacing w:after="20" w:before="0" w:line="240" w:lineRule="auto"/>
      </w:pPr>
      <w:r>
        <w:rPr>
          <w:sz w:val="2"/>
        </w:rPr>
      </w:r>
    </w:p>
    <w:p>
      <w:pPr>
        <w:pStyle w:val="Heading2"/>
      </w:pPr>
      <w:r>
        <w:rPr>
          <w:color w:val="000000"/>
        </w:rPr>
        <w:t>Cómo medir utilidad</w:t>
      </w:r>
    </w:p>
    <w:p>
      <w:r>
        <w:t>Registrar aciertos y omisiones frente al fixture, referencias resolubles, tiempo hasta la primera evidencia útil, latencia total y tokens por análisis. Comparar el mismo conjunto de preguntas con un asistente sin el contexto de LAIN. Publicar número de casos y resultados por caso; el documento no atribuye mejoras porcentuales antes de medirlas.</w:t>
      </w:r>
    </w:p>
    <w:p>
      <w:r>
        <w:br w:type="page"/>
      </w:r>
    </w:p>
    <w:p>
      <w:pPr>
        <w:pStyle w:val="Heading1"/>
      </w:pPr>
      <w:r>
        <w:rPr>
          <w:color w:val="000000"/>
        </w:rPr>
        <w:t>9 Demo y plan de entrega</w:t>
      </w:r>
    </w:p>
    <w:p>
      <w:pPr>
        <w:pStyle w:val="Heading2"/>
      </w:pPr>
      <w:r>
        <w:rPr>
          <w:color w:val="000000"/>
        </w:rPr>
        <w:t>Historia de demostración</w:t>
      </w:r>
    </w:p>
    <w:p>
      <w:r>
        <w:t>La organización de ejemplo usa el fixture existente: orders, billing, reports y platform. El recorrido se concentra en el contrato de orders y la lectura de customer_id en billing. Las relaciones no resueltas de reports y los servicios del monorepo permanecen visibles con su cobertura.</w:t>
      </w:r>
    </w:p>
    <w:tbl>
      <w:tblPr>
        <w:tblW w:type="auto" w:w="0"/>
        <w:jc w:val="center"/>
        <w:tblLayout w:type="fixed"/>
        <w:tblLook w:firstColumn="1" w:firstRow="1" w:lastColumn="0" w:lastRow="0" w:noHBand="0" w:noVBand="1" w:val="04A0"/>
      </w:tblPr>
      <w:tblGrid>
        <w:gridCol w:w="1656"/>
        <w:gridCol w:w="8424"/>
      </w:tblGrid>
      <w:tr>
        <w:trPr>
          <w:tblHeader/>
        </w:trPr>
        <w:tc>
          <w:tcPr>
            <w:tcW w:type="dxa" w:w="16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Tiempo</w:t>
            </w:r>
          </w:p>
        </w:tc>
        <w:tc>
          <w:tcPr>
            <w:tcW w:type="dxa" w:w="84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Qué se muestra</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0 a 30 s</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Mapa de servicios y navegación al contrato de orders.</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30 a 65 s</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Pregunta sobre un nuevo BFF. Nemotron consulta LAIN y entrega una propuesta con referencias.</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65 a 125 s</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PR que elimina customer_id como en s1-remove-customer-id. Snapshots y consumidor billing Verified; otros endpoints mantienen incertidumbre.</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125 a 160 s</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Evidencia de código, cobertura y vista previa del comentario con mitigación propuesta.</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160 a 175 s</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mismo informe por MCP y una traza de la llamada real a Token Factory sin secretos.</w:t>
            </w:r>
          </w:p>
        </w:tc>
      </w:tr>
    </w:tbl>
    <w:p>
      <w:pPr>
        <w:spacing w:after="20" w:before="0" w:line="240" w:lineRule="auto"/>
      </w:pPr>
      <w:r>
        <w:rPr>
          <w:sz w:val="2"/>
        </w:rPr>
      </w:r>
    </w:p>
    <w:p>
      <w:pPr>
        <w:pStyle w:val="Heading2"/>
      </w:pPr>
      <w:r>
        <w:rPr>
          <w:color w:val="000000"/>
        </w:rPr>
        <w:t>Secuencia propuesta de trabajo</w:t>
      </w:r>
    </w:p>
    <w:tbl>
      <w:tblPr>
        <w:tblW w:type="auto" w:w="0"/>
        <w:jc w:val="center"/>
        <w:tblLayout w:type="fixed"/>
        <w:tblLook w:firstColumn="1" w:firstRow="1" w:lastColumn="0" w:lastRow="0" w:noHBand="0" w:noVBand="1" w:val="04A0"/>
      </w:tblPr>
      <w:tblGrid>
        <w:gridCol w:w="1728"/>
        <w:gridCol w:w="8352"/>
      </w:tblGrid>
      <w:tr>
        <w:trPr>
          <w:tblHeader/>
        </w:trPr>
        <w:tc>
          <w:tcPr>
            <w:tcW w:type="dxa" w:w="172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Ventana</w:t>
            </w:r>
          </w:p>
        </w:tc>
        <w:tc>
          <w:tcPr>
            <w:tcW w:type="dxa" w:w="835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Entrega y condición de salida</w:t>
            </w:r>
          </w:p>
        </w:tc>
      </w:tr>
      <w:tr>
        <w:trPr>
          <w:cantSplit/>
        </w:trPr>
        <w:tc>
          <w:tcPr>
            <w:tcW w:type="dxa" w:w="17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13 a 16 oct</w:t>
            </w:r>
          </w:p>
        </w:tc>
        <w:tc>
          <w:tcPr>
            <w:tcW w:type="dxa" w:w="83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Fijar LAIN y el fixture. Las consultas y snapshots necesarios funcionan desde un cliente mínimo.</w:t>
            </w:r>
          </w:p>
        </w:tc>
      </w:tr>
      <w:tr>
        <w:trPr>
          <w:cantSplit/>
        </w:trPr>
        <w:tc>
          <w:tcPr>
            <w:tcW w:type="dxa" w:w="17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17 a 21 oct</w:t>
            </w:r>
          </w:p>
        </w:tc>
        <w:tc>
          <w:tcPr>
            <w:tcW w:type="dxa" w:w="83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Completar análisis persistido, mapa y evidencia. Un PR produce un informe reproducible sin depender del modelo.</w:t>
            </w:r>
          </w:p>
        </w:tc>
      </w:tr>
      <w:tr>
        <w:trPr>
          <w:cantSplit/>
        </w:trPr>
        <w:tc>
          <w:tcPr>
            <w:tcW w:type="dxa" w:w="17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22 a 25 oct</w:t>
            </w:r>
          </w:p>
        </w:tc>
        <w:tc>
          <w:tcPr>
            <w:tcW w:type="dxa" w:w="83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Integrar Nemotron y MCP. La pregunta arquitectónica y la explicación conservan procedencia y alcance.</w:t>
            </w:r>
          </w:p>
        </w:tc>
      </w:tr>
      <w:tr>
        <w:trPr>
          <w:cantSplit/>
        </w:trPr>
        <w:tc>
          <w:tcPr>
            <w:tcW w:type="dxa" w:w="17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26 a 28 oct</w:t>
            </w:r>
          </w:p>
        </w:tc>
        <w:tc>
          <w:tcPr>
            <w:tcW w:type="dxa" w:w="83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Cerrar fallos, publicación opcional y evaluación. Ejecutar P01 a P10 y registrar los resultados.</w:t>
            </w:r>
          </w:p>
        </w:tc>
      </w:tr>
      <w:tr>
        <w:trPr>
          <w:cantSplit/>
        </w:trPr>
        <w:tc>
          <w:tcPr>
            <w:tcW w:type="dxa" w:w="17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29 a 30 oct</w:t>
            </w:r>
          </w:p>
        </w:tc>
        <w:tc>
          <w:tcPr>
            <w:tcW w:type="dxa" w:w="83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Congelar versión, probar instalación, grabar y presentar antes del cierre.</w:t>
            </w:r>
          </w:p>
        </w:tc>
      </w:tr>
    </w:tbl>
    <w:p>
      <w:pPr>
        <w:spacing w:after="20" w:before="0" w:line="240" w:lineRule="auto"/>
      </w:pPr>
      <w:r>
        <w:rPr>
          <w:sz w:val="2"/>
        </w:rPr>
      </w:r>
    </w:p>
    <w:p>
      <w:r>
        <w:t>Cada fase tiene un resultado independiente. Si falta tiempo, se pospone la publicación automática y se entrega la vista previa; se conservan el análisis entre repositorios, la investigación real con Nemotron y el acceso MCP. El repositorio debe documentar las mejoras hechas durante el período y cómo ejecutar la demo. [P5]</w:t>
      </w:r>
    </w:p>
    <w:p>
      <w:r>
        <w:t>El cierre anunciado es el 30 de octubre de 2026 a las 14:00 de Santiago. La evaluación anunciada ocurre del 1 al 15 de diciembre; planificar la disponibilidad de la demo hasta el final de ese período. [P5]</w:t>
      </w:r>
    </w:p>
    <w:p>
      <w:r>
        <w:br w:type="page"/>
      </w:r>
    </w:p>
    <w:p>
      <w:pPr>
        <w:pStyle w:val="Heading1"/>
      </w:pPr>
      <w:r>
        <w:rPr>
          <w:color w:val="000000"/>
        </w:rPr>
        <w:t>10 Matriz de reutilización y brechas</w:t>
      </w:r>
    </w:p>
    <w:p>
      <w:r>
        <w:t>El motor ya resuelve una parte importante del producto. Parallax debe integrar sus contratos públicos y concentrar el desarrollo en la experiencia de investigación, el ciclo de PR y la persistencia del informe. La tabla distingue disponibilidad en código de validación pendiente en el despliegue. [P2–P4, P7–P10]</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Capacidad existente</w:t>
            </w:r>
          </w:p>
        </w:tc>
        <w:tc>
          <w:tcPr>
            <w:tcW w:type="dxa" w:w="7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Uso en Parallax y trabajo restante</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Federación y repos.yaml</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Reutilizar repos, servicios, paths, env, http_clients y bindings. Construir onboarding acotado y validación de la configuración; no descubrir una organización entera automáticamente.</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list_services y get_service</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Construir el mapa con servicios como nodos y consumers[].uses como vínculos consumidor → proveedor. Conservar binding, match, fields, reads_complete y used_by_truncated.</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13 herramientas de contratos</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Consumir el paquete contracts. No implementar otro extractor de rutas, esquemas o lecturas de campos en el derivado.</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Snapshots y diff_contracts</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Reutilizar IDs y trabajos del motor. Parallax agrega identidad de solicitud, manifiesto, cola, política de reintento y superseded respecto del PR.</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resolve_evidence y read_source</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Abrir código de la vista correcta. Parallax agrega validación de citas, enlaces de código y fragmentos acotados para el modelo.</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Command Center y herramientas live</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Usar como referencia funcional y diagnóstico. El grafo del dashboard no prueba que estén renderizados todos los enlaces entre repos.</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Clasificación y cobertura</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Preservar la salida del analizador. Nemotron agrega explicación y propuestas; el backend rechaza promociones de certeza.</w:t>
            </w:r>
          </w:p>
        </w:tc>
      </w:tr>
    </w:tbl>
    <w:p>
      <w:pPr>
        <w:spacing w:after="20" w:before="0" w:line="240" w:lineRule="auto"/>
      </w:pPr>
      <w:r>
        <w:rPr>
          <w:sz w:val="2"/>
        </w:rPr>
      </w:r>
    </w:p>
    <w:p>
      <w:pPr>
        <w:pStyle w:val="Heading2"/>
      </w:pPr>
      <w:r>
        <w:rPr>
          <w:color w:val="000000"/>
        </w:rPr>
        <w:t>Qué realmente aporta el derivado</w:t>
      </w:r>
    </w:p>
    <w:p>
      <w:r>
        <w:t>Son desarrollo nuevo el investigador Nemotron, el recorrido de arquitectura, la evaluación identificada de PR, el almacenamiento de informes y explicaciones, la vista previa de comentario y las herramientas MCP de producto. React es una decisión del derivado; la SPA actual de LAIN es vanilla JavaScript y no se supone una biblioteca de componentes reutilizable.</w:t>
      </w:r>
    </w:p>
    <w:p>
      <w:pPr>
        <w:pStyle w:val="Heading2"/>
      </w:pPr>
      <w:r>
        <w:rPr>
          <w:color w:val="000000"/>
        </w:rPr>
        <w:t>Límites que se muestran al usuario</w:t>
      </w:r>
    </w:p>
    <w:p>
      <w:r>
        <w:t>La topología representa relaciones extraídas o confirmadas en repos configurados. Un BFF propuesto aparece como hipótesis, con requisitos de autenticación, SLA, latencia y propiedad de datos pendientes de validación humana. El mapa no inventa infraestructura ni atributos operativos que el motor no observa.</w:t>
      </w:r>
    </w:p>
    <w:p>
      <w:r>
        <w:br w:type="page"/>
      </w:r>
    </w:p>
    <w:p>
      <w:pPr>
        <w:pStyle w:val="Heading1"/>
      </w:pPr>
      <w:r>
        <w:rPr>
          <w:color w:val="000000"/>
        </w:rPr>
        <w:t>11 Contrato concreto del adaptador LAIN</w:t>
      </w:r>
    </w:p>
    <w:p>
      <w:r>
        <w:t>Transporte inicial: MCP JSON-RPC sobre POST /mcp en un servicio LAIN privado. Arranque conocido: LAIN_TOOL_PROFILE=contracts lain server --config repos.yaml --transport http --port 9999. Antes de aceptar consultas, tools/list debe exponer los nombres y schemas esperados. El proxy conserva los IDs de cada request y aplica timeout y límite de tamaño. [P7, P9]</w:t>
      </w:r>
    </w:p>
    <w:p>
      <w:pPr>
        <w:pStyle w:val="Code"/>
      </w:pPr>
      <w:r>
        <w:t>POST /mcp</w:t>
        <w:br/>
        <w:t>{"jsonrpc":"2.0","id":41,"method":"tools/call",</w:t>
        <w:br/>
        <w:t xml:space="preserve"> "params":{"name":"get_service",</w:t>
        <w:br/>
        <w:t xml:space="preserve">           "arguments":{"snapshot":"snap_&lt;id&gt;",</w:t>
        <w:br/>
        <w:t xml:space="preserve">                        "service":"orders"}}}</w:t>
      </w:r>
    </w:p>
    <w:tbl>
      <w:tblPr>
        <w:tblW w:type="auto" w:w="0"/>
        <w:jc w:val="center"/>
        <w:tblLayout w:type="fixed"/>
        <w:tblLook w:firstColumn="1" w:firstRow="1" w:lastColumn="0" w:lastRow="0" w:noHBand="0" w:noVBand="1" w:val="04A0"/>
      </w:tblPr>
      <w:tblGrid>
        <w:gridCol w:w="2592"/>
        <w:gridCol w:w="7488"/>
      </w:tblGrid>
      <w:tr>
        <w:trPr>
          <w:tblHeader/>
        </w:trPr>
        <w:tc>
          <w:tcPr>
            <w:tcW w:type="dxa" w:w="259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Respuesta de LAIN</w:t>
            </w:r>
          </w:p>
        </w:tc>
        <w:tc>
          <w:tcPr>
            <w:tcW w:type="dxa" w:w="748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Regla del adaptador</w:t>
            </w:r>
          </w:p>
        </w:tc>
      </w:tr>
      <w:tr>
        <w:trPr>
          <w:cantSplit/>
        </w:trPr>
        <w:tc>
          <w:tcPr>
            <w:tcW w:type="dxa" w:w="259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structuredContent</w:t>
            </w:r>
          </w:p>
        </w:tc>
        <w:tc>
          <w:tcPr>
            <w:tcW w:type="dxa" w:w="74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Fuente del DTO. El texto humano está limitado a 2.000 caracteres y no se utiliza como representación completa del resultado.</w:t>
            </w:r>
          </w:p>
        </w:tc>
      </w:tr>
      <w:tr>
        <w:trPr>
          <w:cantSplit/>
        </w:trPr>
        <w:tc>
          <w:tcPr>
            <w:tcW w:type="dxa" w:w="259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api_version y analyzer_version</w:t>
            </w:r>
          </w:p>
        </w:tc>
        <w:tc>
          <w:tcPr>
            <w:tcW w:type="dxa" w:w="74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Exigir api_version=1 en esta integración y registrar analyzer_version. Un cambio incompatible impide procesar resultados con DTOs anteriores.</w:t>
            </w:r>
          </w:p>
        </w:tc>
      </w:tr>
      <w:tr>
        <w:trPr>
          <w:cantSplit/>
        </w:trPr>
        <w:tc>
          <w:tcPr>
            <w:tcW w:type="dxa" w:w="259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snapshot, reproducible y view</w:t>
            </w:r>
          </w:p>
        </w:tc>
        <w:tc>
          <w:tcPr>
            <w:tcW w:type="dxa" w:w="74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Guardar la vista junto con git_commits. Una vista live puede incluir dirty; no se etiqueta como snapshot histórico reproducible.</w:t>
            </w:r>
          </w:p>
        </w:tc>
      </w:tr>
      <w:tr>
        <w:trPr>
          <w:cantSplit/>
        </w:trPr>
        <w:tc>
          <w:tcPr>
            <w:tcW w:type="dxa" w:w="259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data y error</w:t>
            </w:r>
          </w:p>
        </w:tc>
        <w:tc>
          <w:tcPr>
            <w:tcW w:type="dxa" w:w="74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Validar schema y errores antes de leer campos del negocio. Un HTTP 200 no equivale a análisis exitoso.</w:t>
            </w:r>
          </w:p>
        </w:tc>
      </w:tr>
      <w:tr>
        <w:trPr>
          <w:cantSplit/>
        </w:trPr>
        <w:tc>
          <w:tcPr>
            <w:tcW w:type="dxa" w:w="259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cursor y limit</w:t>
            </w:r>
          </w:p>
        </w:tc>
        <w:tc>
          <w:tcPr>
            <w:tcW w:type="dxa" w:w="748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Sólo continuar herramientas que ofrecen cursor, manteniendo argumentos y vista. Un cursor no se reutiliza con otra consulta.</w:t>
            </w:r>
          </w:p>
        </w:tc>
      </w:tr>
      <w:tr>
        <w:trPr>
          <w:cantSplit/>
        </w:trPr>
        <w:tc>
          <w:tcPr>
            <w:tcW w:type="dxa" w:w="259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cap y truncated</w:t>
            </w:r>
          </w:p>
        </w:tc>
        <w:tc>
          <w:tcPr>
            <w:tcW w:type="dxa" w:w="748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diff_contracts y trace_impact tienen límites, no paginación universal. Conservar toda señal de truncamiento; ampliar cap hasta el máximo servido o declarar el límite.</w:t>
            </w:r>
          </w:p>
        </w:tc>
      </w:tr>
    </w:tbl>
    <w:p>
      <w:pPr>
        <w:spacing w:after="20" w:before="0" w:line="240" w:lineRule="auto"/>
      </w:pPr>
      <w:r>
        <w:rPr>
          <w:sz w:val="2"/>
        </w:rPr>
      </w:r>
    </w:p>
    <w:p>
      <w:pPr>
        <w:pStyle w:val="Heading2"/>
      </w:pPr>
      <w:r>
        <w:rPr>
          <w:color w:val="000000"/>
        </w:rPr>
        <w:t>Proyección del mapa y evidencia</w:t>
      </w:r>
    </w:p>
    <w:p>
      <w:r>
        <w:t>list_services entrega el inventario y scope; get_service entrega consumidores y sus usos. El mapa agrupa usos por par de servicios, pero mantiene cada uso inspeccionable. La inversión de esas aristas permite explorar proveedores de un consumidor sin asumir un campo upstream inexistente. Una arista heuristic conserva detector y confidence; una binding confirmed conserva su source.</w:t>
      </w:r>
    </w:p>
    <w:p>
      <w:r>
        <w:t>La UI y el MCP de Parallax consumen el mismo DTO persistido. Los clientes nunca interpretan por separado el resumen de Nemotron para reconstruir findings. Los DTOs y schemas se versionan en el repositorio del derivado, con pruebas de contrato contra la versión fijada del motor.</w:t>
      </w:r>
    </w:p>
    <w:p>
      <w:r>
        <w:br w:type="page"/>
      </w:r>
    </w:p>
    <w:p>
      <w:pPr>
        <w:pStyle w:val="Heading1"/>
      </w:pPr>
      <w:r>
        <w:rPr>
          <w:color w:val="000000"/>
        </w:rPr>
        <w:t>12 Fixture existente y protocolo de PR</w:t>
      </w:r>
    </w:p>
    <w:p>
      <w:r>
        <w:t>La demo parte de scripts/contracts-fixture.sh: cuatro repos locales, sin red, con historia y tags deterministas. orders usa Rust/axum y OpenAPI; billing usa Python/FastAPI/httpx; reports usa TypeScript/Express; platform contiene shipping e inventory. La configuración ya declara cinco servicios. No es necesario escribir sensores nuevos para esta primera historia. [P8, P10]</w:t>
      </w:r>
    </w:p>
    <w:tbl>
      <w:tblPr>
        <w:tblW w:type="auto" w:w="0"/>
        <w:jc w:val="center"/>
        <w:tblLayout w:type="fixed"/>
        <w:tblLook w:firstColumn="1" w:firstRow="1" w:lastColumn="0" w:lastRow="0" w:noHBand="0" w:noVBand="1" w:val="04A0"/>
      </w:tblPr>
      <w:tblGrid>
        <w:gridCol w:w="3168"/>
        <w:gridCol w:w="6912"/>
      </w:tblGrid>
      <w:tr>
        <w:trPr>
          <w:tblHeader/>
        </w:trPr>
        <w:tc>
          <w:tcPr>
            <w:tcW w:type="dxa" w:w="316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Escenario reutilizado</w:t>
            </w:r>
          </w:p>
        </w:tc>
        <w:tc>
          <w:tcPr>
            <w:tcW w:type="dxa" w:w="691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Resultado esperado del motor</w:t>
            </w:r>
          </w:p>
        </w:tc>
      </w:tr>
      <w:tr>
        <w:trPr>
          <w:cantSplit/>
        </w:trPr>
        <w:tc>
          <w:tcPr>
            <w:tcW w:type="dxa" w:w="31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orders base → s1-remove-customer-id</w:t>
            </w:r>
          </w:p>
        </w:tc>
        <w:tc>
          <w:tcPr>
            <w:tcW w:type="dxa" w:w="69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FieldRemoved de customer_id. Para GET /api/orders/{} se espera BreakingIfRead y consumidor billing Verified. Otros endpoints conservan sus NeedsInvestigation cuando hay candidatos sin resolver.</w:t>
            </w:r>
          </w:p>
        </w:tc>
      </w:tr>
      <w:tr>
        <w:trPr>
          <w:cantSplit/>
        </w:trPr>
        <w:tc>
          <w:tcPr>
            <w:tcW w:type="dxa" w:w="31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orders base → s2-add-currency</w:t>
            </w:r>
          </w:p>
        </w:tc>
        <w:tc>
          <w:tcPr>
            <w:tcW w:type="dxa" w:w="69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Campo opcional compatible: changes puede quedar vacío y compatible_changes=1. Mostrar ese contador; no inventar un finding de ruptura.</w:t>
            </w:r>
          </w:p>
        </w:tc>
      </w:tr>
      <w:tr>
        <w:trPr>
          <w:cantSplit/>
        </w:trPr>
        <w:tc>
          <w:tcPr>
            <w:tcW w:type="dxa" w:w="31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billing s3-dynamic-url</w:t>
            </w:r>
          </w:p>
        </w:tc>
        <w:tc>
          <w:tcPr>
            <w:tcW w:type="dxa" w:w="69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ConsumerEndpointUnmatched y NeedsInvestigation. Demuestra un límite real de resolución de URL.</w:t>
            </w:r>
          </w:p>
        </w:tc>
      </w:tr>
      <w:tr>
        <w:trPr>
          <w:cantSplit/>
        </w:trPr>
        <w:tc>
          <w:tcPr>
            <w:tcW w:type="dxa" w:w="31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Excluir reports</w:t>
            </w:r>
          </w:p>
        </w:tc>
        <w:tc>
          <w:tcPr>
            <w:tcW w:type="dxa" w:w="69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scope hace visible excluded. No convertir el resultado sobre repos restantes en cobertura total.</w:t>
            </w:r>
          </w:p>
        </w:tc>
      </w:tr>
    </w:tbl>
    <w:p>
      <w:pPr>
        <w:spacing w:after="20" w:before="0" w:line="240" w:lineRule="auto"/>
      </w:pPr>
      <w:r>
        <w:rPr>
          <w:sz w:val="2"/>
        </w:rPr>
      </w:r>
    </w:p>
    <w:p>
      <w:pPr>
        <w:pStyle w:val="Heading2"/>
      </w:pPr>
      <w:r>
        <w:rPr>
          <w:color w:val="000000"/>
        </w:rPr>
        <w:t>Secuencia obligatoria</w:t>
      </w:r>
    </w:p>
    <w:p>
      <w:pPr>
        <w:pStyle w:val="ListNumber"/>
      </w:pPr>
      <w:r>
        <w:t>Resolver merge-base y head del PR en Git; verificar que ambos objetos estén disponibles para el mirror de LAIN. Un SHA de GitHub no demuestra que el mirror pueda leerlo, especialmente para PRs desde forks.</w:t>
      </w:r>
    </w:p>
    <w:p>
      <w:pPr>
        <w:pStyle w:val="ListNumber"/>
      </w:pPr>
      <w:r>
        <w:t>Preparar base pasando el mapa completo repo → SHA para los cuatro repos. No depender de HEAD implícitos, max_base_age_s ni refs mutables en un informe que debe repetirse.</w:t>
      </w:r>
    </w:p>
    <w:p>
      <w:pPr>
        <w:pStyle w:val="ListNumber"/>
      </w:pPr>
      <w:r>
        <w:t>Preparar head con from=&lt;base_id&gt; y repos={orders:&lt;head_sha&gt;}. La derivación conserva configuración de joins y commits no sobrescritos. Comprobar el manifiesto realmente devuelto.</w:t>
      </w:r>
    </w:p>
    <w:p>
      <w:pPr>
        <w:pStyle w:val="ListNumber"/>
      </w:pPr>
      <w:r>
        <w:t>Esperar ready con get_snapshot y validar config_hash y analyzer_version. Ejecutar diff_contracts y persistir salida, cobertura y límites antes de pedir la explicación.</w:t>
      </w:r>
    </w:p>
    <w:p>
      <w:pPr>
        <w:pStyle w:val="ListNumber"/>
      </w:pPr>
      <w:r>
        <w:t>Para un campo eliminado, investigar sobre base: allí todavía existe. Los cambios del consumidor se investigan sobre head. Cada lectura y cita indica su vista; no asignar el SHA global de head a todas las referencias.</w:t>
      </w:r>
    </w:p>
    <w:p>
      <w:r>
        <w:t>Para la demo pública hay que publicar el fixture en repos propios y abrir un PR cuyo diff coincida con el escenario elegido. Comparar tags valida contratos, pero por sí solo no valida la integración de una URL real de PR. El caso de fork y la ingestión de sus refs son P1 si no hay tiempo para cerrarlos.</w:t>
      </w:r>
    </w:p>
    <w:p>
      <w:r>
        <w:br w:type="page"/>
      </w:r>
    </w:p>
    <w:p>
      <w:pPr>
        <w:pStyle w:val="Heading1"/>
      </w:pPr>
      <w:r>
        <w:rPr>
          <w:color w:val="000000"/>
        </w:rPr>
        <w:t>13 Componentes y datos de producto</w:t>
      </w:r>
    </w:p>
    <w:tbl>
      <w:tblPr>
        <w:tblW w:type="auto" w:w="0"/>
        <w:jc w:val="center"/>
        <w:tblLayout w:type="fixed"/>
        <w:tblLook w:firstColumn="1" w:firstRow="1" w:lastColumn="0" w:lastRow="0" w:noHBand="0" w:noVBand="1" w:val="04A0"/>
      </w:tblPr>
      <w:tblGrid>
        <w:gridCol w:w="2304"/>
        <w:gridCol w:w="7776"/>
      </w:tblGrid>
      <w:tr>
        <w:trPr>
          <w:tblHeader/>
        </w:trPr>
        <w:tc>
          <w:tcPr>
            <w:tcW w:type="dxa" w:w="230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Componente nuevo</w:t>
            </w:r>
          </w:p>
        </w:tc>
        <w:tc>
          <w:tcPr>
            <w:tcW w:type="dxa" w:w="777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Responsabilidad y salida</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LainAdapter</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Handshake, schemas, envelope, snapshots, evidencia y errores. Devuelve datos tipados con vista y procedencia.</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OrgProjection</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Construye mapa de servicios a partir de resultados de LAIN. Su caché lleva snapshot_id o identidad live, fecha y cobertura.</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AssessmentWorker</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Ejecuta el protocolo de PR, guarda transiciones y recupera trabajos tras reinicio. Los pasos terminados conservan sus artefactos.</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Investigator</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Despacha llamadas autorizadas, restringe presupuesto y valida citas. Entrega una explicación y ArchitectureProposal sin modificar el análisis.</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GitHubAdapter</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Lee PR y commits; agrega publicación P1 mediante outbox. Mantiene separados SHA evaluado y SHA observado al publicar.</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Read API y MCP</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Sirven el resultado persistido con los mismos filtros, permisos e identidad. La interfaz no consulta directamente al modelo ni a GitHub.</w:t>
            </w:r>
          </w:p>
        </w:tc>
      </w:tr>
    </w:tbl>
    <w:p>
      <w:pPr>
        <w:spacing w:after="20" w:before="0" w:line="240" w:lineRule="auto"/>
      </w:pPr>
      <w:r>
        <w:rPr>
          <w:sz w:val="2"/>
        </w:rPr>
      </w:r>
    </w:p>
    <w:p>
      <w:pPr>
        <w:pStyle w:val="Heading2"/>
      </w:pPr>
      <w:r>
        <w:rPr>
          <w:color w:val="000000"/>
        </w:rPr>
        <w:t>Persistencia mínima</w:t>
      </w:r>
    </w:p>
    <w:p>
      <w:pPr>
        <w:pStyle w:val="Code"/>
      </w:pPr>
      <w:r>
        <w:t>assessment(id, input_digest UNIQUE, status, base_id, head_id,</w:t>
        <w:br/>
        <w:t xml:space="preserve">           manifest_json, engine_json, coverage_json)</w:t>
        <w:br/>
        <w:t>explanation(id, assessment_id, revision, model, status, payload)</w:t>
        <w:br/>
        <w:t>evidence(id, assessment_id, view_id, repo, sha, path, range, hash)</w:t>
        <w:br/>
        <w:t>job_step(assessment_id, step, attempt, state, artifact_hash)</w:t>
        <w:br/>
        <w:t>event(assessment_id, seq, type, payload)</w:t>
        <w:br/>
        <w:t>publication(assessment_id, target, state, marker, remote_id)</w:t>
      </w:r>
    </w:p>
    <w:p>
      <w:r>
        <w:t>Crear solicitud, evento y paso inicial en una transacción. El input_digest incluye repos/SHAs/configuración, versiones del motor y de política; no incluye resultados aleatorios del modelo. El artefacto raw del motor se conserva para auditar transformaciones. Regenerar explicación crea otra revisión con prompt_version y modelo identificados.</w:t>
      </w:r>
    </w:p>
    <w:p>
      <w:pPr>
        <w:pStyle w:val="Heading2"/>
      </w:pPr>
      <w:r>
        <w:rPr>
          <w:color w:val="000000"/>
        </w:rPr>
        <w:t>Publicación con resultado incierto</w:t>
      </w:r>
    </w:p>
    <w:p>
      <w:r>
        <w:t>P1 utiliza un marcador estable por assessment y destino, una restricción única y una cola serializada por comentario. Si GitHub no confirma la escritura, pasar a UNCERTAIN y buscar el marcador antes de reintentar. Una lectura fallida no demuestra que el comentario no exista: se conserva UNCERTAIN. El MVP puede entregar sólo la vista previa y seguir completo para su alcance.</w:t>
      </w:r>
    </w:p>
    <w:p>
      <w:r>
        <w:br w:type="page"/>
      </w:r>
    </w:p>
    <w:p>
      <w:pPr>
        <w:pStyle w:val="Heading1"/>
      </w:pPr>
      <w:r>
        <w:rPr>
          <w:color w:val="000000"/>
        </w:rPr>
        <w:t>14 Integración real de Nemotron</w:t>
      </w:r>
    </w:p>
    <w:p>
      <w:r>
        <w:t>Candidato inicial: Nemotron 3 Nano 30B A3B en Token Factory. El cookbook oficial muestra el identificador nvidia/nvidia-nemotron-3-nano-30b-a3b; se configura mediante NEBIUS_MODEL y se confirma con la cuenta y endpoint de la demo. No es necesario alojar pesos ni usar una GPU propia si se consume Token Factory durante el uso real. [P11–P12]</w:t>
      </w:r>
    </w:p>
    <w:p>
      <w:pPr>
        <w:pStyle w:val="Heading2"/>
      </w:pPr>
      <w:r>
        <w:rPr>
          <w:color w:val="000000"/>
        </w:rPr>
        <w:t>Bucle de investigación</w:t>
      </w:r>
    </w:p>
    <w:p>
      <w:pPr>
        <w:pStyle w:val="ListBullet"/>
      </w:pPr>
      <w:r>
        <w:t>El backend presenta un conjunto pequeño de funciones de lectura: catálogo, detalle de servicio, contrato, impacto y evidencia. Sus argumentos incluyen la vista fijada por el análisis.</w:t>
      </w:r>
    </w:p>
    <w:p>
      <w:pPr>
        <w:pStyle w:val="ListBullet"/>
      </w:pPr>
      <w:r>
        <w:t>Nemotron devuelve tool_calls; el backend valida nombre, schema, permiso y presupuesto antes de llamar a LAIN. La API del modelo no ejecuta MCP por sí misma.</w:t>
      </w:r>
    </w:p>
    <w:p>
      <w:pPr>
        <w:pStyle w:val="ListBullet"/>
      </w:pPr>
      <w:r>
        <w:t>La respuesta entregada al modelo conserva clasificación, cobertura y refs válidas. Si se reduce por tamaño, se declara el recorte y se ofrecen llamadas de detalle; no se ocultan los unknowns.</w:t>
      </w:r>
    </w:p>
    <w:p>
      <w:pPr>
        <w:pStyle w:val="ListBullet"/>
      </w:pPr>
      <w:r>
        <w:t>La respuesta final debe referenciar IDs de evidencia entregados por el backend. El validador resuelve esas referencias antes de guardar la explicación como disponible.</w:t>
      </w:r>
    </w:p>
    <w:tbl>
      <w:tblPr>
        <w:tblW w:type="auto" w:w="0"/>
        <w:jc w:val="center"/>
        <w:tblLayout w:type="fixed"/>
        <w:tblLook w:firstColumn="1" w:firstRow="1" w:lastColumn="0" w:lastRow="0" w:noHBand="0" w:noVBand="1" w:val="04A0"/>
      </w:tblPr>
      <w:tblGrid>
        <w:gridCol w:w="3024"/>
        <w:gridCol w:w="7056"/>
      </w:tblGrid>
      <w:tr>
        <w:trPr>
          <w:tblHeader/>
        </w:trPr>
        <w:tc>
          <w:tcPr>
            <w:tcW w:type="dxa" w:w="30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Prueba de compatibilidad</w:t>
            </w:r>
          </w:p>
        </w:tc>
        <w:tc>
          <w:tcPr>
            <w:tcW w:type="dxa" w:w="70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Condición de salida</w:t>
            </w:r>
          </w:p>
        </w:tc>
      </w:tr>
      <w:tr>
        <w:trPr>
          <w:cantSplit/>
        </w:trPr>
        <w:tc>
          <w:tcPr>
            <w:tcW w:type="dxa" w:w="30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Una función sencilla</w:t>
            </w:r>
          </w:p>
        </w:tc>
        <w:tc>
          <w:tcPr>
            <w:tcW w:type="dxa" w:w="70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respuesta produce una llamada válida y el modelo interpreta el resultado agregado a messages como role=tool.</w:t>
            </w:r>
          </w:p>
        </w:tc>
      </w:tr>
      <w:tr>
        <w:trPr>
          <w:cantSplit/>
        </w:trPr>
        <w:tc>
          <w:tcPr>
            <w:tcW w:type="dxa" w:w="30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Schema inválido o tool desconocida</w:t>
            </w:r>
          </w:p>
        </w:tc>
        <w:tc>
          <w:tcPr>
            <w:tcW w:type="dxa" w:w="70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backend rechaza la llamada, devuelve error tipado y no amplía permisos para satisfacer al modelo.</w:t>
            </w:r>
          </w:p>
        </w:tc>
      </w:tr>
      <w:tr>
        <w:trPr>
          <w:cantSplit/>
        </w:trPr>
        <w:tc>
          <w:tcPr>
            <w:tcW w:type="dxa" w:w="30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Explicación del escenario s1</w:t>
            </w:r>
          </w:p>
        </w:tc>
        <w:tc>
          <w:tcPr>
            <w:tcW w:type="dxa" w:w="70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Conserva billing Verified, las incertidumbres de otros endpoints y al menos una cita resoluble para cada conclusión publicada.</w:t>
            </w:r>
          </w:p>
        </w:tc>
      </w:tr>
      <w:tr>
        <w:trPr>
          <w:cantSplit/>
        </w:trPr>
        <w:tc>
          <w:tcPr>
            <w:tcW w:type="dxa" w:w="30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Una propuesta de BFF</w:t>
            </w:r>
          </w:p>
        </w:tc>
        <w:tc>
          <w:tcPr>
            <w:tcW w:type="dxa" w:w="70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Identifica contratos existentes, separa decisión e hipótesis y enumera preguntas operativas pendientes.</w:t>
            </w:r>
          </w:p>
        </w:tc>
      </w:tr>
      <w:tr>
        <w:trPr>
          <w:cantSplit/>
        </w:trPr>
        <w:tc>
          <w:tcPr>
            <w:tcW w:type="dxa" w:w="30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Timeout o 429</w:t>
            </w:r>
          </w:p>
        </w:tc>
        <w:tc>
          <w:tcPr>
            <w:tcW w:type="dxa" w:w="70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Termina o reintenta dentro del presupuesto. El informe estructural permanece disponible con explanation_status separado.</w:t>
            </w:r>
          </w:p>
        </w:tc>
      </w:tr>
    </w:tbl>
    <w:p>
      <w:pPr>
        <w:spacing w:after="20" w:before="0" w:line="240" w:lineRule="auto"/>
      </w:pPr>
      <w:r>
        <w:rPr>
          <w:sz w:val="2"/>
        </w:rPr>
      </w:r>
    </w:p>
    <w:p>
      <w:r>
        <w:t>Registrar modelo efectivo, endpoint configurado sin credenciales, prompt_version, tool_call_id, herramientas, latencia y usage cuando la API lo entregue. No asumir equivalencia entre conteos locales y tokens facturados. Mantener un modelo fijo durante la evaluación y cambiarlo sólo como otra condición experimental.</w:t>
      </w:r>
    </w:p>
    <w:p>
      <w:r>
        <w:br w:type="page"/>
      </w:r>
    </w:p>
    <w:p>
      <w:pPr>
        <w:pStyle w:val="Heading1"/>
      </w:pPr>
      <w:r>
        <w:rPr>
          <w:color w:val="000000"/>
        </w:rPr>
        <w:t>15 Gates de construcción y validación</w:t>
      </w:r>
    </w:p>
    <w:p>
      <w:r>
        <w:t>El orden de trabajo reduce las dependencias: primero comprobar motor y fixture; después construir la experiencia. Cada gate produce un artefacto revisable y bloquea la siguiente promesa si falla.</w:t>
      </w:r>
    </w:p>
    <w:tbl>
      <w:tblPr>
        <w:tblW w:type="auto" w:w="0"/>
        <w:jc w:val="center"/>
        <w:tblLayout w:type="fixed"/>
        <w:tblLook w:firstColumn="1" w:firstRow="1" w:lastColumn="0" w:lastRow="0" w:noHBand="0" w:noVBand="1" w:val="04A0"/>
      </w:tblPr>
      <w:tblGrid>
        <w:gridCol w:w="1224"/>
        <w:gridCol w:w="8856"/>
      </w:tblGrid>
      <w:tr>
        <w:trPr>
          <w:tblHeader/>
        </w:trPr>
        <w:tc>
          <w:tcPr>
            <w:tcW w:type="dxa" w:w="12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Gate</w:t>
            </w:r>
          </w:p>
        </w:tc>
        <w:tc>
          <w:tcPr>
            <w:tcW w:type="dxa" w:w="88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Trabajo y evidencia de salida</w:t>
            </w:r>
          </w:p>
        </w:tc>
      </w:tr>
      <w:tr>
        <w:trPr>
          <w:cantSplit/>
        </w:trPr>
        <w:tc>
          <w:tcPr>
            <w:tcW w:type="dxa" w:w="12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G0 motor</w:t>
            </w:r>
          </w:p>
        </w:tc>
        <w:tc>
          <w:tcPr>
            <w:tcW w:type="dxa" w:w="88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Build de LAIN al commit fijado; tools/list, perfil contracts y config cargada. Guardar versiones y smoke responses del binario real.</w:t>
            </w:r>
          </w:p>
        </w:tc>
      </w:tr>
      <w:tr>
        <w:trPr>
          <w:cantSplit/>
        </w:trPr>
        <w:tc>
          <w:tcPr>
            <w:tcW w:type="dxa" w:w="12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G1 contratos</w:t>
            </w:r>
          </w:p>
        </w:tc>
        <w:tc>
          <w:tcPr>
            <w:tcW w:type="dxa" w:w="88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Fixture generado; snapshots base/head ready; s1, s2 y URL dinámica coinciden con ground_truth.yaml. Las evidencias abren en la vista correcta.</w:t>
            </w:r>
          </w:p>
        </w:tc>
      </w:tr>
      <w:tr>
        <w:trPr>
          <w:cantSplit/>
        </w:trPr>
        <w:tc>
          <w:tcPr>
            <w:tcW w:type="dxa" w:w="12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G2 producto</w:t>
            </w:r>
          </w:p>
        </w:tc>
        <w:tc>
          <w:tcPr>
            <w:tcW w:type="dxa" w:w="88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Mapa derivado de get_service, análisis persistido y misma respuesta web/MCP. Reinicio no pierde el informe ni crea un segundo trabajo.</w:t>
            </w:r>
          </w:p>
        </w:tc>
      </w:tr>
      <w:tr>
        <w:trPr>
          <w:cantSplit/>
        </w:trPr>
        <w:tc>
          <w:tcPr>
            <w:tcW w:type="dxa" w:w="12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G3 modelo</w:t>
            </w:r>
          </w:p>
        </w:tc>
        <w:tc>
          <w:tcPr>
            <w:tcW w:type="dxa" w:w="88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Tool calling real y explicación validada. P07/P08 y presupuesto pasan. Una pregunta de BFF usa fuentes del fixture.</w:t>
            </w:r>
          </w:p>
        </w:tc>
      </w:tr>
      <w:tr>
        <w:trPr>
          <w:cantSplit/>
        </w:trPr>
        <w:tc>
          <w:tcPr>
            <w:tcW w:type="dxa" w:w="12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G4 PR y demo</w:t>
            </w:r>
          </w:p>
        </w:tc>
        <w:tc>
          <w:tcPr>
            <w:tcW w:type="dxa" w:w="88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URL de PR propia, control de SHAs, vista previa y recorrido de 175 s. Instalar en un host limpio y repetir las pruebas. Publicación P1 sólo si el outbox está validado.</w:t>
            </w:r>
          </w:p>
        </w:tc>
      </w:tr>
    </w:tbl>
    <w:p>
      <w:pPr>
        <w:spacing w:after="20" w:before="0" w:line="240" w:lineRule="auto"/>
      </w:pPr>
      <w:r>
        <w:rPr>
          <w:sz w:val="2"/>
        </w:rPr>
      </w:r>
    </w:p>
    <w:p>
      <w:pPr>
        <w:pStyle w:val="Heading2"/>
      </w:pPr>
      <w:r>
        <w:rPr>
          <w:color w:val="000000"/>
        </w:rPr>
        <w:t>Pruebas que hay que reutilizar</w:t>
      </w:r>
    </w:p>
    <w:p>
      <w:r>
        <w:t>tests/federation_contracts_e2e.rs comprueba escenarios del motor; tests/contracts_soundness.rs y tests/contract_mcp_parity.rs cubren riesgos distintos de extracción y transporte. El derivado añade sus pruebas de DTO, permisos, cambios de head, citas inválidas y recuperación. No reemplaza esas pruebas con screenshots de un grafo. [P8–P10]</w:t>
      </w:r>
    </w:p>
    <w:p>
      <w:pPr>
        <w:pStyle w:val="Heading2"/>
      </w:pPr>
      <w:r>
        <w:rPr>
          <w:color w:val="000000"/>
        </w:rPr>
        <w:t>Validación obtenida para este diseño</w:t>
      </w:r>
    </w:p>
    <w:p>
      <w:r>
        <w:t>Se ejecutó el generador del fixture y se verificaron sus tags, commits y repos.yaml. orders/base resuelve a b5bf29ad1d5d6b84ef9655ee7a035a4a5c8523cf; s1-remove-customer-id a afece2321df86647a31d073a2e3cadb50e13d42e. Esa comprobación valida la preparación del escenario, no la ejecución de LAIN: G0 y G1 requieren el binario y siguen siendo gates de implementación.</w:t>
      </w:r>
    </w:p>
    <w:p>
      <w:pPr>
        <w:pStyle w:val="Heading2"/>
      </w:pPr>
      <w:r>
        <w:rPr>
          <w:color w:val="000000"/>
        </w:rPr>
        <w:t>Correcciones incorporadas a la propuesta</w:t>
      </w:r>
    </w:p>
    <w:p>
      <w:r>
        <w:t>El ejemplo usa customer_id y el fixture existente. El mapa se define desde consumers[].uses; no desde un grafo visual supuestamente completo. El adaptador consume structuredContent, diferencia cursores de caps y resuelve citas por vista. La comparación de PRs exige disponibilidad de commits en mirrors y configuración idéntica. Estas son condiciones de implementación verificables.</w:t>
      </w:r>
    </w:p>
    <w:p>
      <w:r>
        <w:br w:type="page"/>
      </w:r>
    </w:p>
    <w:p>
      <w:pPr>
        <w:pStyle w:val="Heading1"/>
      </w:pPr>
      <w:r>
        <w:rPr>
          <w:color w:val="000000"/>
        </w:rPr>
        <w:t>16 Decisiones y referencias</w:t>
      </w:r>
    </w:p>
    <w:p>
      <w:pPr>
        <w:pStyle w:val="Heading2"/>
      </w:pPr>
      <w:r>
        <w:rPr>
          <w:color w:val="000000"/>
        </w:rPr>
        <w:t>Decisiones que orientan la implementación</w:t>
      </w:r>
    </w:p>
    <w:p>
      <w:pPr>
        <w:pStyle w:val="ListBullet"/>
      </w:pPr>
      <w:r>
        <w:t>Integración por MCP y adaptadores. Se evita acoplar Parallax a archivos internos del motor; el coste es mantener un contrato de compatibilidad con LAIN.</w:t>
      </w:r>
    </w:p>
    <w:p>
      <w:pPr>
        <w:pStyle w:val="ListBullet"/>
      </w:pPr>
      <w:r>
        <w:t>Un host y una organización de demostración. Se priorizan el recorrido y la persistencia; la operación multiempresa queda para una fase posterior.</w:t>
      </w:r>
    </w:p>
    <w:p>
      <w:pPr>
        <w:pStyle w:val="ListBullet"/>
      </w:pPr>
      <w:r>
        <w:t>Evidencia y explicación tienen identidades distintas. Se puede regenerar una explicación sin alterar lo que el analizador observó.</w:t>
      </w:r>
    </w:p>
    <w:p>
      <w:pPr>
        <w:pStyle w:val="ListBullet"/>
      </w:pPr>
      <w:r>
        <w:t>El análisis de contratos usa snapshots compatibles. Las consultas live complementarias se presentan con su propia vista y no rellenan huecos históricos de forma silenciosa.</w:t>
      </w:r>
    </w:p>
    <w:p>
      <w:pPr>
        <w:pStyle w:val="Heading2"/>
      </w:pPr>
      <w:r>
        <w:rPr>
          <w:color w:val="000000"/>
        </w:rPr>
        <w:t>Decisiones pendientes con una opción inicial</w:t>
      </w:r>
    </w:p>
    <w:p>
      <w:r>
        <w:t>Modelo inicial: Nemotron 3 Nano 30B A3B; confirmar identificador y tool calling en la cuenta antes de fijarlo para la evaluación. Stack del servicio: TypeScript es la propuesta inicial; cambiarlo sólo si un adaptador existente reduce trabajo. Comentarios: empezar con vista previa y habilitar publicación cuando la conciliación y el control de SHA estén probados.</w:t>
      </w:r>
    </w:p>
    <w:p>
      <w:r>
        <w:t>La comparación de arquitecturas, la memoria de decisiones y la integración con Synapser son extensiones. Un intercambio futuro puede entregar un paquete con objetivo, evidencia, commits y criterios de aceptación; Synapser debe validarlo antes de convertirlo en una misión.</w:t>
      </w:r>
    </w:p>
    <w:p>
      <w:pPr>
        <w:pStyle w:val="Heading2"/>
      </w:pPr>
      <w:r>
        <w:rPr>
          <w:color w:val="000000"/>
        </w:rPr>
        <w:t>Fuentes técnicas</w:t>
      </w:r>
    </w:p>
    <w:p>
      <w:pPr>
        <w:spacing w:after="140"/>
      </w:pPr>
      <w:hyperlink r:id="rId11">
        <w:r>
          <w:rPr>
            <w:color w:val="163C59"/>
            <w:rFonts w:ascii="Arial" w:hAnsi="Arial"/>
          </w:rPr>
          <w:t>P1  PR 319 de LAIN</w:t>
        </w:r>
      </w:hyperlink>
      <w:r>
        <w:t xml:space="preserve">  Separación de coordinación e inteligencia de código. Estado consultado el 13 de octubre de 2026.</w:t>
      </w:r>
    </w:p>
    <w:p>
      <w:pPr>
        <w:spacing w:after="140"/>
      </w:pPr>
      <w:hyperlink r:id="rId12">
        <w:r>
          <w:rPr>
            <w:color w:val="163C59"/>
            <w:rFonts w:ascii="Arial" w:hAnsi="Arial"/>
          </w:rPr>
          <w:t>P2  Command Center de LAIN</w:t>
        </w:r>
      </w:hyperlink>
      <w:r>
        <w:t xml:space="preserve">  Superficie web existente y recorrido del operador.</w:t>
      </w:r>
    </w:p>
    <w:p>
      <w:pPr>
        <w:spacing w:after="140"/>
      </w:pPr>
      <w:hyperlink r:id="rId13">
        <w:r>
          <w:rPr>
            <w:color w:val="163C59"/>
            <w:rFonts w:ascii="Arial" w:hAnsi="Arial"/>
          </w:rPr>
          <w:t>P3  Federación de LAIN</w:t>
        </w:r>
      </w:hyperlink>
      <w:r>
        <w:t xml:space="preserve">  Servicios, contratos, snapshots, cobertura y restricciones de las vistas.</w:t>
      </w:r>
    </w:p>
    <w:p>
      <w:pPr>
        <w:spacing w:after="140"/>
      </w:pPr>
      <w:hyperlink r:id="rId14">
        <w:r>
          <w:rPr>
            <w:color w:val="163C59"/>
            <w:rFonts w:ascii="Arial" w:hAnsi="Arial"/>
          </w:rPr>
          <w:t>P4  Implementación de las herramientas de análisis</w:t>
        </w:r>
      </w:hyperlink>
      <w:r>
        <w:t xml:space="preserve">  Validaciones de diff_contracts, trace_impact y get_coverage.</w:t>
      </w:r>
    </w:p>
    <w:p>
      <w:pPr>
        <w:spacing w:after="140"/>
      </w:pPr>
      <w:hyperlink r:id="rId15">
        <w:r>
          <w:rPr>
            <w:color w:val="163C59"/>
            <w:rFonts w:ascii="Arial" w:hAnsi="Arial"/>
          </w:rPr>
          <w:t>P5  Bases de Nebius x NVIDIA Global AI Hackathon</w:t>
        </w:r>
      </w:hyperlink>
      <w:r>
        <w:t xml:space="preserve">  Requisitos, proyectos existentes, varias postulaciones y fechas.</w:t>
      </w:r>
    </w:p>
    <w:p>
      <w:pPr>
        <w:spacing w:after="140"/>
      </w:pPr>
      <w:hyperlink r:id="rId16">
        <w:r>
          <w:rPr>
            <w:color w:val="163C59"/>
            <w:rFonts w:ascii="Arial" w:hAnsi="Arial"/>
          </w:rPr>
          <w:t>P6  Criterios de evaluación de la hackathon</w:t>
        </w:r>
      </w:hyperlink>
      <w:r>
        <w:t xml:space="preserve">  Implementación, diseño de producto, impacto y calidad de la idea.</w:t>
      </w:r>
    </w:p>
    <w:p>
      <w:r>
        <w:t>Las referencias de código fijan el commit completo 0abcd968fd78cc807b829e6877455eef616232c7. Las capacidades del derivado descritas como propuestas y los criterios P01 a P10 deben implementarse y comprobarse antes de declarar la versión lista.</w:t>
      </w:r>
    </w:p>
    <w:p>
      <w:r>
        <w:br w:type="page"/>
      </w:r>
    </w:p>
    <w:p>
      <w:pPr>
        <w:pStyle w:val="Heading1"/>
      </w:pPr>
      <w:r>
        <w:rPr>
          <w:color w:val="000000"/>
        </w:rPr>
        <w:t>17 Fuentes de integración</w:t>
      </w:r>
    </w:p>
    <w:p>
      <w:pPr>
        <w:spacing w:after="140"/>
      </w:pPr>
      <w:hyperlink r:id="rId17">
        <w:r>
          <w:rPr>
            <w:color w:val="163C59"/>
            <w:rFonts w:ascii="Arial" w:hAnsi="Arial"/>
          </w:rPr>
          <w:t>P7  Schemas y envelope de las herramientas</w:t>
        </w:r>
      </w:hyperlink>
      <w:r>
        <w:t xml:space="preserve">  Campos del transporte, DTOs, paging y límites.</w:t>
      </w:r>
    </w:p>
    <w:p>
      <w:pPr>
        <w:spacing w:after="140"/>
      </w:pPr>
      <w:hyperlink r:id="rId18">
        <w:r>
          <w:rPr>
            <w:color w:val="163C59"/>
            <w:rFonts w:ascii="Arial" w:hAnsi="Arial"/>
          </w:rPr>
          <w:t>P8  Fixture determinista de contratos</w:t>
        </w:r>
      </w:hyperlink>
      <w:r>
        <w:t xml:space="preserve">  Generador de los cuatro repos y escenarios.</w:t>
      </w:r>
    </w:p>
    <w:p>
      <w:pPr>
        <w:spacing w:after="140"/>
      </w:pPr>
      <w:hyperlink r:id="rId19">
        <w:r>
          <w:rPr>
            <w:color w:val="163C59"/>
            <w:rFonts w:ascii="Arial" w:hAnsi="Arial"/>
          </w:rPr>
          <w:t>P9  Configuración y activación del paquete</w:t>
        </w:r>
      </w:hyperlink>
      <w:r>
        <w:t xml:space="preserve">  Perfil contracts y flujo de snapshots.</w:t>
      </w:r>
    </w:p>
    <w:p>
      <w:pPr>
        <w:spacing w:after="140"/>
      </w:pPr>
      <w:hyperlink r:id="rId20">
        <w:r>
          <w:rPr>
            <w:color w:val="163C59"/>
            <w:rFonts w:ascii="Arial" w:hAnsi="Arial"/>
          </w:rPr>
          <w:t>P10  Ground truth y pruebas del fixture</w:t>
        </w:r>
      </w:hyperlink>
      <w:r>
        <w:t xml:space="preserve">  Resultados esperados para s1, s2, URL dinámica y exclusiones.</w:t>
      </w:r>
    </w:p>
    <w:p>
      <w:pPr>
        <w:spacing w:after="140"/>
      </w:pPr>
      <w:hyperlink r:id="rId21">
        <w:r>
          <w:rPr>
            <w:color w:val="163C59"/>
            <w:rFonts w:ascii="Arial" w:hAnsi="Arial"/>
          </w:rPr>
          <w:t>P11  Function calling de Token Factory</w:t>
        </w:r>
      </w:hyperlink>
      <w:r>
        <w:t xml:space="preserve">  El backend ejecuta las funciones propuestas por el modelo.</w:t>
      </w:r>
    </w:p>
    <w:p>
      <w:pPr>
        <w:spacing w:after="140"/>
      </w:pPr>
      <w:hyperlink r:id="rId22">
        <w:r>
          <w:rPr>
            <w:color w:val="163C59"/>
            <w:rFonts w:ascii="Arial" w:hAnsi="Arial"/>
          </w:rPr>
          <w:t>P12  Cookbook oficial Nemotron 3 Nano</w:t>
        </w:r>
      </w:hyperlink>
      <w:r>
        <w:t xml:space="preserve">  Candidato de modelo y ejemplo de endpoint; validar en la cuenta.</w:t>
      </w:r>
    </w:p>
    <w:p>
      <w:r>
        <w:t>Las referencias P7–P10 apuntan al commit 0abcd968fd78cc807b829e6877455eef616232c7 del PR 319. Si se adopta otro commit o release, ejecutar de nuevo los gates de compatibilidad antes de conservar estas conclusiones. Los archivos del fixture generados localmente son datos de prueba; los SHAs reproducibles identifican su contenido.</w:t>
      </w:r>
    </w:p>
    <w:sectPr w:rsidR="00FC693F" w:rsidRPr="0006063C" w:rsidSect="00034616">
      <w:footerReference w:type="default" r:id="rId9"/>
      <w:pgSz w:w="12240" w:h="15840"/>
      <w:pgMar w:top="965" w:right="1080" w:bottom="965"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050"/>
        <w:sz w:val="16"/>
      </w:rPr>
      <w:t xml:space="preserve">Parallax  ·  Diseño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8" w:lineRule="auto" w:after="120"/>
    </w:pPr>
    <w:rPr>
      <w:rFonts w:ascii="Arial" w:hAnsi="Arial" w:eastAsia="Arial" w:cs="Arial"/>
      <w:b w:val="0"/>
      <w:color w:val="000000"/>
      <w:sz w:val="22"/>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cs="Arial"/>
      <w:b/>
      <w:bCs/>
      <w:color w:val="000000"/>
      <w:sz w:val="34"/>
      <w:szCs w:val="28"/>
      <w:lang w:val="es-CL"/>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cs="Arial"/>
      <w:b/>
      <w:bCs/>
      <w:color w:val="000000"/>
      <w:sz w:val="25"/>
      <w:szCs w:val="26"/>
      <w:lang w:val="es-CL"/>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cs="Arial"/>
      <w:b/>
      <w:bCs/>
      <w:color w:val="000000"/>
      <w:sz w:val="22"/>
      <w:lang w:val="es-C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cs="Arial"/>
      <w:b/>
      <w:color w:val="000000"/>
      <w:spacing w:val="5"/>
      <w:kern w:val="28"/>
      <w:sz w:val="58"/>
      <w:szCs w:val="52"/>
      <w:lang w:val="es-C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cs="Arial"/>
      <w:b w:val="0"/>
      <w:i/>
      <w:iCs/>
      <w:color w:val="000000"/>
      <w:spacing w:val="15"/>
      <w:sz w:val="28"/>
      <w:szCs w:val="24"/>
      <w:lang w:val="es-C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contextualSpacing/>
    </w:pPr>
    <w:rPr>
      <w:rFonts w:ascii="Arial" w:hAnsi="Arial" w:eastAsia="Arial" w:cs="Arial"/>
      <w:b w:val="0"/>
      <w:color w:val="000000"/>
      <w:sz w:val="22"/>
      <w:lang w:val="es-C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0" w:lineRule="auto"/>
      <w:contextualSpacing/>
    </w:pPr>
    <w:rPr>
      <w:rFonts w:ascii="Arial" w:hAnsi="Arial" w:eastAsia="Arial" w:cs="Arial"/>
      <w:b w:val="0"/>
      <w:color w:val="000000"/>
      <w:sz w:val="22"/>
      <w:lang w:val="es-C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404040"/>
      <w:sz w:val="19"/>
      <w:szCs w:val="18"/>
      <w:lang w:val="es-C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2" w:lineRule="auto" w:after="80"/>
    </w:pPr>
    <w:rPr>
      <w:rFonts w:ascii="Liberation Mono" w:hAnsi="Liberation Mono" w:eastAsia="Liberation Mono" w:cs="Liberation Mono"/>
      <w:b w:val="0"/>
      <w:color w:val="000000"/>
      <w:sz w:val="19"/>
      <w:lang w:val="es-C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spuentesp/lain/pull/319" TargetMode="External"/><Relationship Id="rId12" Type="http://schemas.openxmlformats.org/officeDocument/2006/relationships/hyperlink" Target="https://github.com/spuentesp/lain/blob/0abcd968fd78cc807b829e6877455eef616232c7/docs/command-center.md" TargetMode="External"/><Relationship Id="rId13" Type="http://schemas.openxmlformats.org/officeDocument/2006/relationships/hyperlink" Target="https://github.com/spuentesp/lain/blob/0abcd968fd78cc807b829e6877455eef616232c7/docs/FEDERATION.md" TargetMode="External"/><Relationship Id="rId14" Type="http://schemas.openxmlformats.org/officeDocument/2006/relationships/hyperlink" Target="https://github.com/spuentesp/lain/blob/0abcd968fd78cc807b829e6877455eef616232c7/src/server/mcp/contract_tools/analysis.rs" TargetMode="External"/><Relationship Id="rId15" Type="http://schemas.openxmlformats.org/officeDocument/2006/relationships/hyperlink" Target="https://nebiusglobalaihackathon.devpost.com/rules/" TargetMode="External"/><Relationship Id="rId16" Type="http://schemas.openxmlformats.org/officeDocument/2006/relationships/hyperlink" Target="https://nebiusglobalaihackathon.devpost.com/" TargetMode="External"/><Relationship Id="rId17" Type="http://schemas.openxmlformats.org/officeDocument/2006/relationships/hyperlink" Target="https://github.com/spuentesp/lain/blob/0abcd968fd78cc807b829e6877455eef616232c7/src/server/mcp/contract_tools/" TargetMode="External"/><Relationship Id="rId18" Type="http://schemas.openxmlformats.org/officeDocument/2006/relationships/hyperlink" Target="https://github.com/spuentesp/lain/blob/0abcd968fd78cc807b829e6877455eef616232c7/scripts/contracts-fixture.sh" TargetMode="External"/><Relationship Id="rId19" Type="http://schemas.openxmlformats.org/officeDocument/2006/relationships/hyperlink" Target="https://github.com/spuentesp/lain/blob/0abcd968fd78cc807b829e6877455eef616232c7/docs/quickstart-tools.md" TargetMode="External"/><Relationship Id="rId20" Type="http://schemas.openxmlformats.org/officeDocument/2006/relationships/hyperlink" Target="https://github.com/spuentesp/lain/blob/0abcd968fd78cc807b829e6877455eef616232c7/tests/fixtures/contracts/ground_truth.yaml" TargetMode="External"/><Relationship Id="rId21" Type="http://schemas.openxmlformats.org/officeDocument/2006/relationships/hyperlink" Target="https://docs.tokenfactory.nebius.com/ai-models-inference/function-calling" TargetMode="External"/><Relationship Id="rId22" Type="http://schemas.openxmlformats.org/officeDocument/2006/relationships/hyperlink" Target="https://github.com/nebius/token-factory-cookbook/blob/main/models/nemotron/nemotron3-nano-30b.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Parallax</dc:title>
  <dc:subject>Centro de inteligencia arquitectónica basado en LAIN</dc:subject>
  <dc:creator>Sebastian</dc:creator>
  <cp:keywords>Parallax, diseño, arquitectura, hackathon, NVIDIA, Nebius</cp:keywords>
  <dc:description>generated by python-docx</dc:description>
  <cp:lastModifiedBy/>
  <cp:revision>1</cp:revision>
  <dcterms:created xsi:type="dcterms:W3CDTF">2026-10-13T16:45:00Z</dcterms:created>
  <dcterms:modified xsi:type="dcterms:W3CDTF">2026-10-13T16:45:00Z</dcterms:modified>
  <cp:category/>
</cp:coreProperties>
</file>