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14 de octubre de 2026  ·  Versión 0.5  ·  Diseño con implementación verificada</w:t>
      </w:r>
    </w:p>
    <w:p>
      <w:pPr>
        <w:pStyle w:val="Heading2"/>
      </w:pPr>
      <w:r>
        <w:rPr>
          <w:color w:val="000000"/>
        </w:rPr>
        <w:t xml:space="preserve">Qué cambió en la versión 0.4</w:t>
      </w:r>
    </w:p>
    <w:p>
      <w:pPr>
        <w:pStyle w:val="ListBullet"/>
      </w:pPr>
      <w:r>
        <w:t xml:space="preserve">Synapser pasa a ser un centro de mando para multiagentes: servidor MCP, workflows con condiciones de aceptación, compuertas duras de efectos, asesor con Nemotron y Tavily, niveles y pools de agentes, y chat en la consola web (secciones 30 a 36).</w:t>
      </w:r>
    </w:p>
    <w:p>
      <w:pPr>
        <w:pStyle w:val="ListBullet"/>
      </w:pPr>
      <w:r>
        <w:t xml:space="preserve">Todo lo anterior está implementado y probado; las secciones 20 a 29 siguen vigentes.</w:t>
      </w:r>
    </w:p>
    <w:p>
      <w:pPr>
        <w:pStyle w:val="Heading2"/>
      </w:pPr>
      <w:r>
        <w:rPr>
          <w:color w:val="000000"/>
        </w:rPr>
        <w:t xml:space="preserve">Qué cambió en la versión 0.3</w:t>
      </w:r>
    </w:p>
    <w:p>
      <w:pPr>
        <w:pStyle w:val="ListBullet"/>
      </w:pPr>
      <w:r>
        <w:t xml:space="preserve">Se añade el estado de implementación y la trazabilidad a los planes (sección 20) y las decisiones que precisan o reemplazan a la v0.2 (sección 21).</w:t>
      </w:r>
    </w:p>
    <w:p>
      <w:pPr>
        <w:pStyle w:val="ListBullet"/>
      </w:pPr>
      <w:r>
        <w:t xml:space="preserve">Nuevas capas: agentes CLI con puerto común, registro auditable con cadena de hashes, evaluación de coordinación con invariantes ejecutables, orquestación con catálogo y aprobaciones, enganche a Zoanthrope con estado vivo e interfaz (secciones 22 a 27).</w:t>
      </w:r>
    </w:p>
    <w:p>
      <w:pPr>
        <w:pStyle w:val="ListBullet"/>
      </w:pPr>
      <w:r>
        <w:t xml:space="preserve">El modelo por defecto pasa a Nemotron 3 Super; Nano queda como respaldo. El cronograma de la fase 2 y las reglas de recorte están en la sección 28; los riesgos declarados, en la 29.</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(reemplazado en v0.3, ver sección 21):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original (por defecto en v0.3: Nemotron 3 Super; ver sección 21):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p>
      <w:pPr>
        <w:pStyle w:val="Heading1"/>
      </w:pPr>
      <w:r>
        <w:rPr>
          <w:color w:val="000000"/>
        </w:rPr>
        <w:t xml:space="preserve">20 Estado de implementación y trazabilidad</w:t>
      </w:r>
    </w:p>
    <w:p>
      <w:r>
        <w:t xml:space="preserve">Esta sección registra qué parte del diseño está implementada y cubierta por pruebas automáticas en el repositorio, y qué sigue siendo propuesta. Las cifras de evaluación no forman parte de este documento: las condiciones y los criterios de falsación sí (sección 24).</w:t>
      </w:r>
    </w:p>
    <w:tbl>
      <w:tblPr>
        <w:tblW w:type="auto" w:w="0"/>
        <w:jc w:val="center"/>
        <w:tblLayout w:type="fixed"/>
        <w:tblLook w:firstColumn="1" w:firstRow="1" w:lastColumn="0" w:lastRow="0" w:noHBand="0" w:noVBand="1" w:val="04A0"/>
      </w:tblPr>
      <w:tblGrid>
        <w:gridCol w:w="5400"/>
        <w:gridCol w:w="3280"/>
        <w:gridCol w:w="1400"/>
      </w:tblGrid>
      <w:tr>
        <w:trPr>
          <w:tblHeader/>
        </w:trPr>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Estado</w:t>
            </w:r>
          </w:p>
        </w:tc>
        <w:tc>
          <w:tcPr>
            <w:tcW w:type="dxa" w:w="1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Adaptador MCP de Zoanthrope, pin de versión y hash, cuarentena de proceso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probado con el binario real y con un doble</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 G0/G1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Journal SQLite, máquina de estados de la acción, ejecutor único escritor, recuperación solo hacia adelante, failpoints con SIGKILL real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S01–S07, S13, S17 cubiertos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01–04</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de modelo (Token Factory), enrutamiento por rol, presupuesto, respaldo y límites de velocidad</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modelo por defecto Nemotron 3 Super</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de agente con herramientas planas, DAG de tareas, supervisor, validación local en copia aislada</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AgentRunner con adaptadores nativo y CLI one-shot, broker de parches, registro agent_runs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perfiles claude, codex, kimi</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Registro con cadena de hashes, consultas deterministas, exportador LangSmith opcional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Control sin coordinación tras un puerto común, verificadores de invariantes I1–I5, carga con contención</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09</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enrutador determinista, costo conocido/estimado/desconocido, compuertas de aprobación, despacho por el puerto, subtareas pedidas por agentes (W1–W5)</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y cubierto por pruebas, incluidas las aprobaciones desde la interfaz y los reintentos entre perfiles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10</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de observación de Zoanthrope, intenciones declaradas y proyección de estado vivo reproducible por seq</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spike S-Z hecho contra el binario fijado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web (React, Tailwind y shadcn/ui) con API JSON/SSE; demo determinista y demo con modelos reales</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verificada en un navegador real</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12</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Investigación web: puerto con Tavily, guarda de consultas, presupuesto, citas con procedencia, misión T0</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verificado contra el servicio real</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07</w:t>
            </w:r>
          </w:p>
        </w:tc>
      </w:tr>
    </w:tbl>
    <w:p/>
    <w:p>
      <w:pPr>
        <w:pStyle w:val="Heading1"/>
      </w:pPr>
      <w:r>
        <w:rPr>
          <w:color w:val="000000"/>
        </w:rPr>
        <w:t xml:space="preserve">21 Decisiones que precisan o reemplazan a la v0.2</w:t>
      </w:r>
    </w:p>
    <w:p>
      <w:r>
        <w:t xml:space="preserve">Cada fila surgió al implementar contra el binario y los modelos reales. Ninguna contradice las propiedades S INV 1–6; varias las hacen comprobables.</w:t>
      </w:r>
    </w:p>
    <w:tbl>
      <w:tblPr>
        <w:tblW w:type="auto" w:w="0"/>
        <w:jc w:val="center"/>
        <w:tblLayout w:type="fixed"/>
        <w:tblLook w:firstColumn="1" w:firstRow="1" w:lastColumn="0" w:lastRow="0" w:noHBand="0" w:noVBand="1" w:val="04A0"/>
      </w:tblPr>
      <w:tblGrid>
        <w:gridCol w:w="4900"/>
        <w:gridCol w:w="5180"/>
      </w:tblGrid>
      <w:tr>
        <w:trPr>
          <w:tblHeader/>
        </w:trPr>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Decisión</w:t>
            </w:r>
          </w:p>
        </w:tc>
        <w:tc>
          <w:tcPr>
            <w:tcW w:type="dxa" w:w="5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Motivo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CLAIMING: la intención se escribe antes de llamar a Zoanthrope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él, un crash entre la concesión y el journal deja un claim que nadie puede atribuir.</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Las lecturas usan una identidad propia (run:task#r)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read más release del mismo agente borra su propio claim de edición.</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parche se resuelve a bytes en PREPARE contra la vista que leyó el agente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after esperado se conoce antes de adquirir nada; recuperar no re-ejecuta parches ni llama al modelo.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roll-forward; nunca revertir ni resetear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Coherente con §15; ante bytes imprevistos se preservan y se detiene.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Guarda final del aplicador: no escribir sobre bytes que no sean el antes ni el después previstos</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claim no valida contenido; el aplicador comprueba por sí mismo.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incarnation no entra en request_digest</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entrara, un reintento tras reinicio sería otro cuerpo bajo la misma clave.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del coordinador fuera del workspace; bloqueo exclusivo de SQLite por workspace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snapshots y diffs; el kernel libera el lock tras kill -9.</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Zoanthrope trata rutas externas como claves absolutas; el broker toma los claims sobre rutas canónicas</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Copias aisladas de un agente no colisionan entre sí ni con el árbol vivo; la integración sí.</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Herramientas planas (write_file, replace_in_file, delete_file, apply_changes, finish) con guarda de aplicación parcial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modelos fallaban con arreglos anidados; un lote a medias nunca debe aplicarse.</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código de salida de un CLI no es evidencia de éxito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herramienta devolvió 0 ante un error de saldo; el éxito es un evento propio de la herramienta.</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uso de tokens y costo lleva procedencia (reported, log, unknown); lo desconocido es null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Sumar ceros inventa un costo; el análisis separa lo conocido de lo no medido.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Modelo por defecto Nemotron 3 Super 120B A12B en todos los roles; Lightning y Nano como respaldo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Reemplaza al candidato Nano de §11 y §17; la elección está en configuración, no en el código.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Re-anclaje automático solo para lotes de reemplazos exactos tras STALE_VIEW</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reemplazo codifica una intención local; write_file y borrados nunca se re-anclan.</w:t>
            </w:r>
          </w:p>
        </w:tc>
      </w:tr>
    </w:tbl>
    <w:p/>
    <w:p>
      <w:pPr>
        <w:pStyle w:val="Heading1"/>
      </w:pPr>
      <w:r>
        <w:rPr>
          <w:color w:val="000000"/>
        </w:rPr>
        <w:t xml:space="preserve">22 Agentes CLI y puerto común</w:t>
      </w:r>
    </w:p>
    <w:p>
      <w:r>
        <w:t xml:space="preserve">Synapser coordina agentes de distinto origen detrás de una sola interfaz. El puerto AgentRunner recibe una petición (perfil, tarea, alcance, vista base) y devuelve siempre el mismo formato: resultado, motivo, uso con procedencia, uso de herramientas, archivos cambiados con digests y los blobs de prompt, salida y texto final.</w:t>
      </w:r>
    </w:p>
    <w:tbl>
      <w:tblPr>
        <w:tblW w:type="auto" w:w="0"/>
        <w:jc w:val="center"/>
        <w:tblLayout w:type="fixed"/>
        <w:tblLook w:firstColumn="1" w:firstRow="1" w:lastColumn="0" w:lastRow="0" w:noHBand="0" w:noVBand="1" w:val="04A0"/>
      </w:tblPr>
      <w:tblGrid>
        <w:gridCol w:w="2100"/>
        <w:gridCol w:w="4600"/>
        <w:gridCol w:w="3380"/>
      </w:tblGrid>
      <w:tr>
        <w:trPr>
          <w:tblHeader/>
        </w:trPr>
        <w:tc>
          <w:tcPr>
            <w:tcW w:type="dxa" w:w="2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Adaptador</w:t>
            </w:r>
          </w:p>
        </w:tc>
        <w:tc>
          <w:tcPr>
            <w:tcW w:type="dxa" w:w="4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produce trabajo</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Integración</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native</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Nemotron en proceso, sin acceso a FS ni shell</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direct: cada escritura ya pasó por el ejecutor</w:t>
            </w:r>
          </w:p>
        </w:tc>
      </w:tr>
      <w:tr>
        <w:trPr>
          <w:cantSplit/>
        </w:trPr>
        <w:tc>
          <w:tcPr>
            <w:tcW w:type="dxa" w:w="2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cli-oneshot</w:t>
            </w:r>
          </w:p>
        </w:tc>
        <w:tc>
          <w:tcPr>
            <w:tcW w:type="dxa" w:w="4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 de terceros (claude, codex, kimi) en una copia aislada</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el conjunto de cambios pasa por el broker de parches</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orca (futuro)</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Workers de un orquestador externo</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mismo contrato</w:t>
            </w:r>
          </w:p>
        </w:tc>
      </w:tr>
    </w:tbl>
    <w:p/>
    <w:p>
      <w:pPr>
        <w:pStyle w:val="Heading2"/>
      </w:pPr>
      <w:r>
        <w:rPr>
          <w:color w:val="000000"/>
        </w:rPr>
        <w:t xml:space="preserve">Broker de parches</w:t>
      </w:r>
    </w:p>
    <w:p>
      <w:r>
        <w:t xml:space="preserve">La vista del agente es la base que se le entregó, no el árbol vivo. El ejecutor arbitra: alcance (un archivo fuera rechaza el conjunto completo), claims, digest (STALE_VIEW si el árbol vivo cambió), aplicación atómica y journal. Un asesor nunca integra: su salida es un veredicto, no un cambio.</w:t>
      </w:r>
    </w:p>
    <w:p>
      <w:pPr>
        <w:pStyle w:val="Heading2"/>
      </w:pPr>
      <w:r>
        <w:rPr>
          <w:color w:val="000000"/>
        </w:rPr>
        <w:t xml:space="preserve">Aislamiento y credenciales</w:t>
      </w:r>
    </w:p>
    <w:p>
      <w:pPr>
        <w:pStyle w:val="ListBullet"/>
      </w:pPr>
      <w:r>
        <w:t xml:space="preserve">El entorno del CLI es una lista permitida; las credenciales de Nebius, Tavily y LangSmith y cualquier variable KEY/TOKEN/SECRET quedan fuera salvo petición expresa del perfil.</w:t>
      </w:r>
    </w:p>
    <w:p>
      <w:pPr>
        <w:pStyle w:val="ListBullet"/>
      </w:pPr>
      <w:r>
        <w:t xml:space="preserve">Los CLI pueden ejecutar shell: la copia aísla el repositorio, no el HOME del usuario. Es un límite declarado, no resuelto.</w:t>
      </w:r>
    </w:p>
    <w:p>
      <w:pPr>
        <w:pStyle w:val="ListBullet"/>
      </w:pPr>
      <w:r>
        <w:t xml:space="preserve">Una batería de conformidad ejecuta las mismas aserciones contra cada adaptador; un adaptador nuevo está terminado cuando la pasa.</w:t>
      </w:r>
    </w:p>
    <w:p>
      <w:pPr>
        <w:pStyle w:val="Heading1"/>
      </w:pPr>
      <w:r>
        <w:rPr>
          <w:color w:val="000000"/>
        </w:rPr>
        <w:t xml:space="preserve">23 Registro auditable y consultas deterministas</w:t>
      </w:r>
    </w:p>
    <w:p>
      <w:r>
        <w:t xml:space="preserve">Synapser es también una herramienta de análisis de cómo trabajan los agentes: qué hizo cada uno, cuándo, por qué y a qué costo. El registro es la fuente de verdad; cualquier servicio externo es una vista.</w:t>
      </w:r>
    </w:p>
    <w:p>
      <w:pPr>
        <w:pStyle w:val="Heading2"/>
      </w:pPr>
      <w:r>
        <w:rPr>
          <w:color w:val="000000"/>
        </w:rPr>
        <w:t xml:space="preserve">Cadena de hashes</w:t>
      </w:r>
    </w:p>
    <w:p>
      <w:r>
        <w:t xml:space="preserve">El hash de cada evento cubre el hash anterior y el texto exacto del evento. La verificación detecta edición, borrado, huecos y —contra un head anclado fuera del ejecutor— truncamiento de la cola. Una exportación es verificable sin conexión. Los disparadores de SQLite impiden UPDATE y DELETE; la cadena detecta a quien edita el archivo sin pasar por el motor.</w:t>
      </w:r>
    </w:p>
    <w:p>
      <w:pPr>
        <w:pStyle w:val="Heading2"/>
      </w:pPr>
      <w:r>
        <w:rPr>
          <w:color w:val="000000"/>
        </w:rPr>
        <w:t xml:space="preserve">Consultas</w:t>
      </w:r>
    </w:p>
    <w:tbl>
      <w:tblPr>
        <w:tblW w:type="auto" w:w="0"/>
        <w:jc w:val="center"/>
        <w:tblLayout w:type="fixed"/>
        <w:tblLook w:firstColumn="1" w:firstRow="1" w:lastColumn="0" w:lastRow="0" w:noHBand="0" w:noVBand="1" w:val="04A0"/>
      </w:tblPr>
      <w:tblGrid>
        <w:gridCol w:w="2000"/>
        <w:gridCol w:w="4800"/>
        <w:gridCol w:w="3280"/>
      </w:tblGrid>
      <w:tr>
        <w:trPr>
          <w:tblHeader/>
        </w:trPr>
        <w:tc>
          <w:tcPr>
            <w:tcW w:type="dxa" w:w="2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Consulta</w:t>
            </w:r>
          </w:p>
        </w:tc>
        <w:tc>
          <w:tcPr>
            <w:tcW w:type="dxa" w:w="48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Responde</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Regla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verify / export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registro es íntegro? exportación verificable</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primer seq inválido y motivo</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timeline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y en qué orden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ordenado por seq</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who-changed</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cambió una ruta, con qué adaptador y digests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 de aplicación</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why</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cadena declarada misión → tarea → corrida → acción → archivos → validación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que el agente afirmó va aparte y etiquetado asserted</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gasto por agente, perfil o rol</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desconocido se cuenta y no se suma como 0</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waste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corridas fallidas o con vista rancia y su motivo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razón registrada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coordination</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esperas, vistas rancias, re-anclajes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atribuidos a la tarea cuyo trabajo se rechazó</w:t>
            </w:r>
          </w:p>
        </w:tc>
      </w:tr>
    </w:tbl>
    <w:p/>
    <w:p>
      <w:r>
        <w:t xml:space="preserve">La atribución de una acción a una corrida es causal (el registro de integración nombra la acción) o por la ventana propia de la corrida nativa; nunca por tiempo relativo a otras corridas.</w:t>
      </w:r>
    </w:p>
    <w:p>
      <w:pPr>
        <w:pStyle w:val="Heading2"/>
      </w:pPr>
      <w:r>
        <w:rPr>
          <w:color w:val="000000"/>
        </w:rPr>
        <w:t xml:space="preserve">Exportador LangSmith (opcional)</w:t>
      </w:r>
    </w:p>
    <w:p>
      <w:r>
        <w:t xml:space="preserve">Proyecta el registro como trazas con el contrato coding-agent-v1: identidad ls_*, hilo, ejecuciones llm con usage_metadata, herramientas con ls_tool_name y subagentes con identificador y tipo. La raíz lleva el head de la cadena para contrastar. Por defecto no sale contenido (prompts, texto final, bytes de archivos); los identificadores son deterministas, de modo que reexportar es idempotente. La retención del servicio es limitada (14 días base, 180 extendida), por eso no es la fuente de verdad.</w:t>
      </w:r>
    </w:p>
    <w:p>
      <w:pPr>
        <w:pStyle w:val="Heading1"/>
      </w:pPr>
      <w:r>
        <w:rPr>
          <w:color w:val="000000"/>
        </w:rPr>
        <w:t xml:space="preserve">24 Evaluación de la coordinación</w:t>
      </w:r>
    </w:p>
    <w:p>
      <w:r>
        <w:t xml:space="preserve">Esta sección reemplaza a la comparación propuesta en §10 en cuanto al método. El resultado de cada corrida se conserva fuera del repositorio.</w:t>
      </w:r>
    </w:p>
    <w:p>
      <w:pPr>
        <w:pStyle w:val="Heading2"/>
      </w:pPr>
      <w:r>
        <w:rPr>
          <w:color w:val="000000"/>
        </w:rPr>
        <w:t xml:space="preserve">Condiciones</w:t>
      </w:r>
    </w:p>
    <w:p>
      <w:r>
        <w:t xml:space="preserve">Solo difiere el puerto de escritura (WriteGateway). El control es otra implementación del mismo puerto, no un modo del ejecutor: mismo bucle de agente, mismas herramientas, mismos prompts, mismo modelo y mismo oráculo.</w:t>
      </w:r>
    </w:p>
    <w:tbl>
      <w:tblPr>
        <w:tblW w:type="auto" w:w="0"/>
        <w:jc w:val="center"/>
        <w:tblLayout w:type="fixed"/>
        <w:tblLook w:firstColumn="1" w:firstRow="1" w:lastColumn="0" w:lastRow="0" w:noHBand="0" w:noVBand="1" w:val="04A0"/>
      </w:tblPr>
      <w:tblGrid>
        <w:gridCol w:w="2200"/>
        <w:gridCol w:w="3400"/>
        <w:gridCol w:w="44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Brazo</w:t>
            </w:r>
          </w:p>
        </w:tc>
        <w:tc>
          <w:tcPr>
            <w:tcW w:type="dxa" w:w="3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Gateway</w:t>
            </w:r>
          </w:p>
        </w:tc>
        <w:tc>
          <w:tcPr>
            <w:tcW w:type="dxa" w:w="4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Conserva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coordinación</w:t>
            </w:r>
          </w:p>
        </w:tc>
        <w:tc>
          <w:tcPr>
            <w:tcW w:type="dxa" w:w="3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árbol compartido, último en escribir gana</w:t>
            </w:r>
          </w:p>
        </w:tc>
        <w:tc>
          <w:tcPr>
            <w:tcW w:type="dxa" w:w="4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contención de rutas, alcance de tarea, que el parche aplique a lo leído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Synapser</w:t>
            </w:r>
          </w:p>
        </w:tc>
        <w:tc>
          <w:tcPr>
            <w:tcW w:type="dxa" w:w="3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Executor</w:t>
            </w:r>
          </w:p>
        </w:tc>
        <w:tc>
          <w:tcPr>
            <w:tcW w:type="dxa" w:w="4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anterior más claims, digests, STALE_VIEW, journal y recuperación</w:t>
            </w:r>
          </w:p>
        </w:tc>
      </w:tr>
    </w:tbl>
    <w:p/>
    <w:p>
      <w:pPr>
        <w:pStyle w:val="Heading2"/>
      </w:pPr>
      <w:r>
        <w:rPr>
          <w:color w:val="000000"/>
        </w:rPr>
        <w:t xml:space="preserve">Invariantes ejecutables</w:t>
      </w:r>
    </w:p>
    <w:tbl>
      <w:tblPr>
        <w:tblW w:type="auto" w:w="0"/>
        <w:jc w:val="center"/>
        <w:tblLayout w:type="fixed"/>
        <w:tblLook w:firstColumn="1" w:firstRow="1" w:lastColumn="0" w:lastRow="0" w:noHBand="0" w:noVBand="1" w:val="04A0"/>
      </w:tblPr>
      <w:tblGrid>
        <w:gridCol w:w="700"/>
        <w:gridCol w:w="6280"/>
        <w:gridCol w:w="31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Violación</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I1</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linaje por ruta: cada escritura se basó en lo que dejó la anterior</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LOST_UPDATE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I2</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acción llegó a EXECUTING sin CLAIMED</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WRITE_WITHOUT_GRANT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I3</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 se sobrescribieron bytes distintos del antes y el después previstos</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UNPREDICTED_BYTES_OVERWRITTEN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I4</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es DONE solo por evidencia de aceptación válida y aprobada</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DONE_WITHOUT_ACCEPTANCE</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I5</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cadena de hashes verifica</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CHAIN_BROKEN</w:t>
            </w:r>
          </w:p>
        </w:tc>
      </w:tr>
    </w:tbl>
    <w:p/>
    <w:p>
      <w:r>
        <w:t xml:space="preserve">La traza de escrituras la produce un observador independiente de quien escribe. Se distingue la escritura insegura (I1) del daño efectivo: las líneas de otro agente que una escritura borró realmente.</w:t>
      </w:r>
    </w:p>
    <w:p>
      <w:pPr>
        <w:pStyle w:val="Heading2"/>
      </w:pPr>
      <w:r>
        <w:rPr>
          <w:color w:val="000000"/>
        </w:rPr>
        <w:t xml:space="preserve">Cargas de trabajo y falsación</w:t>
      </w:r>
    </w:p>
    <w:p>
      <w:pPr>
        <w:pStyle w:val="ListBullet"/>
      </w:pPr>
      <w:r>
        <w:t xml:space="preserve">Facturación: tres tareas, un archivo compartido. Útil para el recorrido de demo.</w:t>
      </w:r>
    </w:p>
    <w:p>
      <w:pPr>
        <w:pStyle w:val="ListBullet"/>
      </w:pPr>
      <w:r>
        <w:t xml:space="preserve">Registro: ocho tareas que implementan funciones distintas de un mismo archivo; cada edición es parcial, de modo que reescribir el archivo entero es costoso y la pérdida no queda enmascarada por un contrato compartido.</w:t>
      </w:r>
    </w:p>
    <w:p>
      <w:pPr>
        <w:pStyle w:val="ListBullet"/>
      </w:pPr>
      <w:r>
        <w:t xml:space="preserve">Se falsa si el control no pierde actualizaciones en la carga con contención, si Synapser registra alguna violación I1–I5, o si el sobrecosto de Synapser supera el doble en tokens sin ganancia de corrección.</w:t>
      </w:r>
    </w:p>
    <w:p>
      <w:pPr>
        <w:pStyle w:val="ListBullet"/>
      </w:pPr>
      <w:r>
        <w:t xml:space="preserve">Un hallazgo previo condiciona la lectura: la tasa de misiones completadas depende también de la capacidad del modelo para editar con texto exacto; por eso se mide aparte de las violaciones.</w:t>
      </w:r>
    </w:p>
    <w:p>
      <w:pPr>
        <w:pStyle w:val="Heading1"/>
      </w:pPr>
      <w:r>
        <w:rPr>
          <w:color w:val="000000"/>
        </w:rPr>
        <w:t xml:space="preserve">25 Orquestación: catálogo, enrutador y workflow</w:t>
      </w:r>
    </w:p>
    <w:p>
      <w:r>
        <w:t xml:space="preserve">Nemotron descompone la misión y propone perfiles; el código decide. Toda propuesta del modelo pasa por un validador determinista antes de tener efecto, y ninguna invariante depende de que el modelo acierte.</w:t>
      </w:r>
    </w:p>
    <w:p>
      <w:pPr>
        <w:pStyle w:val="Heading2"/>
      </w:pPr>
      <w:r>
        <w:rPr>
          <w:color w:val="000000"/>
        </w:rPr>
        <w:t xml:space="preserve">Catálogo y costo</w:t>
      </w:r>
    </w:p>
    <w:p>
      <w:r>
        <w:t xml:space="preserve">Cada perfil del catálogo declara qué tipos de paso puede hacer (write, advise, research, review), su integración y su costo. El costo puede ser conocido (tarifa o uso reportado), estimado (aprendido del propio registro, con rango y número de observaciones) o desconocido. Nunca se confunden: los totales muestran por separado lo conocido, lo estimado y las corridas sin costo. Un perfil de costo desconocido no bloquea: genera una alerta, el enrutador lo penaliza, y tras sus primeras corridas con uso reportado pasa a estimado. Una estimación sistemáticamente mala se degrada a desconocido.</w:t>
      </w:r>
    </w:p>
    <w:p>
      <w:pPr>
        <w:pStyle w:val="Heading2"/>
      </w:pPr>
      <w:r>
        <w:rPr>
          <w:color w:val="000000"/>
        </w:rPr>
        <w:t xml:space="preserve">Enrutamiento y validación del plan</w:t>
      </w:r>
    </w:p>
    <w:p>
      <w:pPr>
        <w:pStyle w:val="ListBullet"/>
      </w:pPr>
      <w:r>
        <w:t xml:space="preserve">El enrutador determinista manda: filtra por tipo, habilitación e integración y ordena por costo conocido o estimado; mismas entradas, misma asignación. El modelo solo sugiere.</w:t>
      </w:r>
    </w:p>
    <w:p>
      <w:pPr>
        <w:pStyle w:val="ListBullet"/>
      </w:pPr>
      <w:r>
        <w:t xml:space="preserve">El validador rechaza perfil inexistente o deshabilitado, tipo incompatible (un asesor jamás recibe una escritura), asesores con alcance de escritura, tareas de escritura sin criterio verificable y planes que superan el tope de costo.</w:t>
      </w:r>
    </w:p>
    <w:p>
      <w:pPr>
        <w:pStyle w:val="Heading2"/>
      </w:pPr>
      <w:r>
        <w:rPr>
          <w:color w:val="000000"/>
        </w:rPr>
        <w:t xml:space="preserve">Pasos y aprobaciones</w:t>
      </w:r>
    </w:p>
    <w:p>
      <w:r>
        <w:t xml:space="preserve">Los pasos son write, advise, research, review, validate y approval. Una compuerta de aprobación se liga al digest del plan que aprobó: si el plan cambia, la aprobación deja de valer. Aprobar es un evento del registro con actor y momento. Las políticas automáticas son reglas deterministas declaradas en el workflow.</w:t>
      </w:r>
    </w:p>
    <w:p>
      <w:pPr>
        <w:pStyle w:val="Heading2"/>
      </w:pPr>
      <w:r>
        <w:rPr>
          <w:color w:val="000000"/>
        </w:rPr>
        <w:t xml:space="preserve">Subtareas pedidas por agentes</w:t>
      </w:r>
    </w:p>
    <w:p>
      <w:r>
        <w:t xml:space="preserve">Un agente nunca crea agentes. Pide una subtarea con su motivo; la petición llega al supervisor como revisión de plan solo aditiva y se valida con las mismas reglas más alcance contenido en el del solicitante, profundidad máxima configurable por workflow (por defecto 2), sin ciclos y dentro del tope de costo.</w:t>
      </w:r>
    </w:p>
    <w:tbl>
      <w:tblPr>
        <w:tblW w:type="auto" w:w="0"/>
        <w:jc w:val="center"/>
        <w:tblLayout w:type="fixed"/>
        <w:tblLook w:firstColumn="1" w:firstRow="1" w:lastColumn="0" w:lastRow="0" w:noHBand="0" w:noVBand="1" w:val="04A0"/>
      </w:tblPr>
      <w:tblGrid>
        <w:gridCol w:w="700"/>
        <w:gridCol w:w="6980"/>
        <w:gridCol w:w="24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9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2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W1</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despacho usó un perfil existente, habilitado y compatible, en el plan y al despachar</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checkDispatch</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W2</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paso advise, review o research no cambió el árbol</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checkAdvisorsReadOnly</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W3</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ningún paso con compuerta corrió sin aprobación vigente ligada al digest</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checkGates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W4</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gasto conocido no superó el tope; estimado y desconocido constan como tales y el desconocido alertó</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checkBudget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W5</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tarea con requested_by pertenece a una revisión aditiva válida</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checkDelegation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W6</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enrutador es una función</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W7</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estimación nunca se suma como costo real y es función pura del registro</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bl>
    <w:p/>
    <w:p>
      <w:pPr>
        <w:pStyle w:val="Heading1"/>
      </w:pPr>
      <w:r>
        <w:rPr>
          <w:color w:val="000000"/>
        </w:rPr>
        <w:t xml:space="preserve">26 Enganche a Zoanthrope y estado vivo</w:t>
      </w:r>
    </w:p>
    <w:p>
      <w:r>
        <w:t xml:space="preserve">Hoy el broker toma los claims en nombre del agente. El enganche amplía lo que Zoanthrope sabe de cada agente y lo que Synapser puede mostrar en vivo, sin trasladarle autoridad.</w:t>
      </w:r>
    </w:p>
    <w:tbl>
      <w:tblPr>
        <w:tblW w:type="auto" w:w="0"/>
        <w:jc w:val="center"/>
        <w:tblLayout w:type="fixed"/>
        <w:tblLook w:firstColumn="1" w:firstRow="1" w:lastColumn="0" w:lastRow="0" w:noHBand="0" w:noVBand="1" w:val="04A0"/>
      </w:tblPr>
      <w:tblGrid>
        <w:gridCol w:w="900"/>
        <w:gridCol w:w="5600"/>
        <w:gridCol w:w="3580"/>
      </w:tblGrid>
      <w:tr>
        <w:trPr>
          <w:tblHeader/>
        </w:trPr>
        <w:tc>
          <w:tcPr>
            <w:tcW w:type="dxa" w:w="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Nivel</w:t>
            </w:r>
          </w:p>
        </w:tc>
        <w:tc>
          <w:tcPr>
            <w:tcW w:type="dxa" w:w="5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3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Garantiza</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L0</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claims de escritura sobre rutas canónicas</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broker (implementado)</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identidad por corrida e intención declarada antes de escribir</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runner, en nombre del agente</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volcado periódico del anillo de auditoría y del tablón al registro</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sujeto al spike S-Z</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L3</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hooks nativos del CLI</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Claude Code los tiene</w:t>
            </w:r>
          </w:p>
        </w:tc>
      </w:tr>
    </w:tbl>
    <w:p/>
    <w:p>
      <w:r>
        <w:t xml:space="preserve">Zoanthrope arbitra; el registro de Synapser es la verdad de lo que se hizo. L1–L3 son observabilidad adicional: ninguna invariante de integridad los toma como premisa. El anillo de Zoanthrope tiene un tope de 1 000 eventos: el colector emite un evento de hueco declarado en lugar de ocultar una pérdida, y si el spike muestra que no puede detectarla de forma fiable, la presentación lo declara como muestra con huecos.</w:t>
      </w:r>
    </w:p>
    <w:p>
      <w:pPr>
        <w:pStyle w:val="Heading2"/>
      </w:pPr>
      <w:r>
        <w:rPr>
          <w:color w:val="000000"/>
        </w:rPr>
        <w:t xml:space="preserve">Estado vivo</w:t>
      </w:r>
    </w:p>
    <w:p>
      <w:r>
        <w:t xml:space="preserve">La proyección state(journal, atSeq) es una función pura del registro: por agente, estado, acción actual, archivos retenidos, espera y desde cuándo, y consumo con procedencia. Mismo registro, mismos bytes; permite reproducir el enjambre en un instante pasado. Se publica por una instantánea JSON y por un flujo SSE.</w:t>
      </w:r>
    </w:p>
    <w:tbl>
      <w:tblPr>
        <w:tblW w:type="auto" w:w="0"/>
        <w:jc w:val="center"/>
        <w:tblLayout w:type="fixed"/>
        <w:tblLook w:firstColumn="1" w:firstRow="1" w:lastColumn="0" w:lastRow="0" w:noHBand="0" w:noVBand="1" w:val="04A0"/>
      </w:tblPr>
      <w:tblGrid>
        <w:gridCol w:w="700"/>
        <w:gridCol w:w="6000"/>
        <w:gridCol w:w="33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conclusión de integridad usa observaciones de Zoanthrope como premisa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revisión estática de importaciones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volcado no pierde eventos sin dejar un hueco declarado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con anillo pequeño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Z3</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intención de una corrida precede a su primera escritura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checkIntentBeforeWrite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Z4</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claim vivo corresponde a una acción no conciliada o se reporta huérfano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checkNoSilentOrphans</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state es determinista y reproducible por seq</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cómputo</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totales por agente de state coinciden con la consulta cost</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cruzada</w:t>
            </w:r>
          </w:p>
        </w:tc>
      </w:tr>
    </w:tbl>
    <w:p/>
    <w:p>
      <w:pPr>
        <w:pStyle w:val="Heading1"/>
      </w:pPr>
      <w:r>
        <w:rPr>
          <w:color w:val="000000"/>
        </w:rPr>
        <w:t xml:space="preserve">27 Interfaz y guion de demostración</w:t>
      </w:r>
    </w:p>
    <w:p>
      <w:r>
        <w:t xml:space="preserve">La interfaz es una aplicación React (Tailwind y shadcn/ui) compilada a un artefacto estático que sirve un servidor HTTP sin dependencias, con una API JSON delgada y SSE para el flujo vivo. Regla de diseño: cada cifra mostrada es una consulta sobre el registro y cita los eventos que la sustentan; la interfaz no tiene estado propio.</w:t>
      </w:r>
    </w:p>
    <w:tbl>
      <w:tblPr>
        <w:tblW w:type="auto" w:w="0"/>
        <w:jc w:val="center"/>
        <w:tblLayout w:type="fixed"/>
        <w:tblLook w:firstColumn="1" w:firstRow="1" w:lastColumn="0" w:lastRow="0" w:noHBand="0" w:noVBand="1" w:val="04A0"/>
      </w:tblPr>
      <w:tblGrid>
        <w:gridCol w:w="2600"/>
        <w:gridCol w:w="7480"/>
      </w:tblGrid>
      <w:tr>
        <w:trPr>
          <w:tblHeader/>
        </w:trPr>
        <w:tc>
          <w:tcPr>
            <w:tcW w:type="dxa" w:w="2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Vista</w:t>
            </w:r>
          </w:p>
        </w:tc>
        <w:tc>
          <w:tcPr>
            <w:tcW w:type="dxa" w:w="7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Pregunta que responde</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Enjambre</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hace cada agente ahora: árbol de tareas, estado y esperas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Línea de tiempo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cuándo y en qué orden, con reproducción por seq</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un archivo: cadena declarada más lo que el agente afirmó, etiquetado</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Costo y desperdicio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gastó qué; lo desconocido marcado, no sumado como 0</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Coordinación</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dónde hubo esperas, vistas rancias y re-anclajes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Aprobaciones</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bandeja de compuertas pendientes (única vista con escritura)</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Integridad</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cadena verificada, head y exportación verificable sin conexión</w:t>
            </w:r>
          </w:p>
        </w:tc>
      </w:tr>
    </w:tbl>
    <w:p/>
    <w:tbl>
      <w:tblPr>
        <w:tblW w:type="auto" w:w="0"/>
        <w:jc w:val="center"/>
        <w:tblLayout w:type="fixed"/>
        <w:tblLook w:firstColumn="1" w:firstRow="1" w:lastColumn="0" w:lastRow="0" w:noHBand="0" w:noVBand="1" w:val="04A0"/>
      </w:tblPr>
      <w:tblGrid>
        <w:gridCol w:w="700"/>
        <w:gridCol w:w="5200"/>
        <w:gridCol w:w="41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5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4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interfaz no puede causar una escritura en el workspace</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servidor no importa el ejecutor; POST solo añade aprobaciones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U2</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cifra visible trae los seq de origen</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contrato de la API</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U3</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API es determinista</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petición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U4</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se aprueban compuertas vigentes</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rechazo con digest viejo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U5</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prompts ni contenido de archivos por defecto</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fuga</w:t>
            </w:r>
          </w:p>
        </w:tc>
      </w:tr>
    </w:tbl>
    <w:p/>
    <w:p>
      <w:pPr>
        <w:pStyle w:val="Heading2"/>
      </w:pPr>
      <w:r>
        <w:rPr>
          <w:color w:val="000000"/>
        </w:rPr>
        <w:t xml:space="preserve">Guion de 3 a 5 minutos</w:t>
      </w:r>
    </w:p>
    <w:p>
      <w:pPr>
        <w:pStyle w:val="ListBullet"/>
      </w:pPr>
      <w:r>
        <w:t xml:space="preserve">Misión dada a Nemotron; se arma el enjambre y se ve qué perfil recibió cada tarea.</w:t>
      </w:r>
    </w:p>
    <w:p>
      <w:pPr>
        <w:pStyle w:val="ListBullet"/>
      </w:pPr>
      <w:r>
        <w:t xml:space="preserve">Contención en vivo sobre un archivo: una espera y un re-anclaje, sin pérdida.</w:t>
      </w:r>
    </w:p>
    <w:p>
      <w:pPr>
        <w:pStyle w:val="ListBullet"/>
      </w:pPr>
      <w:r>
        <w:t xml:space="preserve">Compuerta de aprobación humana desde la bandeja.</w:t>
      </w:r>
    </w:p>
    <w:p>
      <w:pPr>
        <w:pStyle w:val="ListBullet"/>
      </w:pPr>
      <w:r>
        <w:t xml:space="preserve">Pregunta de auditoría: por qué cambió esta línea, con la cadena y sus citas.</w:t>
      </w:r>
    </w:p>
    <w:p>
      <w:pPr>
        <w:pStyle w:val="ListBullet"/>
      </w:pPr>
      <w:r>
        <w:t xml:space="preserve">Panel de costo con lo desconocido marcado y las estimaciones señaladas como tales.</w:t>
      </w:r>
    </w:p>
    <w:p>
      <w:pPr>
        <w:pStyle w:val="ListBullet"/>
      </w:pPr>
      <w:r>
        <w:t xml:space="preserve">Insignia de integridad; se altera un byte de la exportación y la verificación falla.</w:t>
      </w:r>
    </w:p>
    <w:p>
      <w:pPr>
        <w:pStyle w:val="Heading1"/>
      </w:pPr>
      <w:r>
        <w:rPr>
          <w:color w:val="000000"/>
        </w:rPr>
        <w:t xml:space="preserve">28 Cronograma de la fase 2 y reglas de recorte</w:t>
      </w:r>
    </w:p>
    <w:tbl>
      <w:tblPr>
        <w:tblW w:type="auto" w:w="0"/>
        <w:jc w:val="center"/>
        <w:tblLayout w:type="fixed"/>
        <w:tblLook w:firstColumn="1" w:firstRow="1" w:lastColumn="0" w:lastRow="0" w:noHBand="0" w:noVBand="1" w:val="04A0"/>
      </w:tblPr>
      <w:tblGrid>
        <w:gridCol w:w="1500"/>
        <w:gridCol w:w="4900"/>
        <w:gridCol w:w="3680"/>
      </w:tblGrid>
      <w:tr>
        <w:trPr>
          <w:tblHeader/>
        </w:trPr>
        <w:tc>
          <w:tcPr>
            <w:tcW w:type="dxa" w:w="15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Tramo</w:t>
            </w:r>
          </w:p>
        </w:tc>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Entrega</w:t>
            </w:r>
          </w:p>
        </w:tc>
        <w:tc>
          <w:tcPr>
            <w:tcW w:type="dxa" w:w="36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Salida verificable</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14–17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validador, enrutador, compuertas y W1–W4; investigación web con Tavily</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pruebas sin modelo del plan 10; una misión con perfil elegido y una aprobación</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18–21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Spike S-Z, colector, estado vivo y SSE; subtareas pedidas (W5)</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Z1–Z4, L1–L2; reproducción por seq</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22–26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API y vistas: integridad, por qué, costo y aprobaciones primero; luego enjambre, línea de tiempo y coordinación</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U1–U5; capturas por vista</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27–29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Evaluación sobre carga realista; licencia, repositorio público, inglés, vídeo y formulario</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lista de entrega completa</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30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Reserva; solo correcciones. Cierre a las 10:00 PT (14:00 Santiago)</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t>
            </w:r>
          </w:p>
        </w:tc>
      </w:tr>
    </w:tbl>
    <w:p/>
    <w:p>
      <w:r>
        <w:t xml:space="preserve">Recorte, en este orden: reproducción por seq, vista de coordinación, delegación (W5), hooks nativos (L3). No se recortan integridad, aprobaciones, por qué y costo.</w:t>
      </w:r>
    </w:p>
    <w:p>
      <w:pPr>
        <w:pStyle w:val="Heading2"/>
      </w:pPr>
      <w:r>
        <w:rPr>
          <w:color w:val="000000"/>
        </w:rPr>
        <w:t xml:space="preserve">Decisiones aprobadas el 13 de octubre</w:t>
      </w:r>
    </w:p>
    <w:p>
      <w:pPr>
        <w:pStyle w:val="ListBullet"/>
      </w:pPr>
      <w:r>
        <w:t xml:space="preserve">El enrutador determinista manda; el modelo solo sugiere perfil.</w:t>
      </w:r>
    </w:p>
    <w:p>
      <w:pPr>
        <w:pStyle w:val="ListBullet"/>
      </w:pPr>
      <w:r>
        <w:t xml:space="preserve">La profundidad de delegación es configurable por workflow.</w:t>
      </w:r>
    </w:p>
    <w:p>
      <w:pPr>
        <w:pStyle w:val="ListBullet"/>
      </w:pPr>
      <w:r>
        <w:t xml:space="preserve">Un costo desconocido alerta y no bloquea; se aprende y se estima con procedencia propia.</w:t>
      </w:r>
    </w:p>
    <w:p>
      <w:pPr>
        <w:pStyle w:val="ListBullet"/>
      </w:pPr>
      <w:r>
        <w:t xml:space="preserve">La interfaz es una aplicación web con API JSON y SSE.</w:t>
      </w:r>
    </w:p>
    <w:p>
      <w:pPr>
        <w:pStyle w:val="ListBullet"/>
      </w:pPr>
      <w:r>
        <w:t xml:space="preserve">Los resultados medidos no se documentan en el repositorio; este documento conserva método, contratos y criterios.</w:t>
      </w:r>
    </w:p>
    <w:p>
      <w:pPr>
        <w:pStyle w:val="Heading1"/>
      </w:pPr>
      <w:r>
        <w:rPr>
          <w:color w:val="000000"/>
        </w:rPr>
        <w:t xml:space="preserve">29 Riesgos y límites declarados</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Riesgo o 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TTL de lease de Zoanthrope (60 s) no se ha verificado como inocuo para el registro sin TTL</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Verificarlo con una prueba (ZOANTHROPE_LEASE_TTL_SECS=1) antes de apoyarse en ello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Durabilidad ante corte de energía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alcance (§15); el aplicador hace fsync de temporales y directorio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node:sqlite es una API experimental de Node</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Journal estrecha; migrable a otro motor sin cambiar el formato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Algunos CLI no reportan uso (kimi) o ejecutan shell sin aislar el HOME</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Procedencia unknown visible; aislamiento declarado como límite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anillo de auditoría de Zoanthrope está acotado a 1 000 eventos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con huecos declarados; el registro propio es la verdad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LangSmith es un servicio de terceros con retención limitada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Exportación opcional, sin contenido por defecto, nunca fuente de verdad</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capacidad del modelo para editar con texto exacto condiciona la tasa de misiones completadas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Retroalimentación de la herramienta, re-anclaje y métrica separada de las violaciones</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Estimaciones de costo con pocos datos</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Mínimo de observaciones; por debajo es desconocido y alerta</w:t>
            </w:r>
          </w:p>
        </w:tc>
      </w:tr>
    </w:tbl>
    <w:p/>
    <w:p>
      <w:pPr>
        <w:pStyle w:val="Heading1"/>
      </w:pPr>
      <w:r>
        <w:rPr>
          <w:color w:val="000000"/>
        </w:rPr>
        <w:t xml:space="preserve">30 Centro de mando: visión y alcance (plan 13)</w:t>
      </w:r>
    </w:p>
    <w:p>
      <w:r>
        <w:t xml:space="preserve">Synapser pasa de motor de coordinación a un pequeño centro de mando para enjambres de agentes. Esta sección y las siguientes describen lo agregado en la versión 0.4; todo está implementado y cubierto por pruebas automáticas, salvo lo señalado como límite en la sección 36.</w:t>
      </w:r>
    </w:p>
    <w:tbl>
      <w:tblPr>
        <w:tblW w:type="auto" w:w="0"/>
        <w:jc w:val="center"/>
        <w:tblLayout w:type="fixed"/>
        <w:tblLook w:firstColumn="1" w:firstRow="1" w:lastColumn="0" w:lastRow="0" w:noHBand="0" w:noVBand="1" w:val="04A0"/>
      </w:tblPr>
      <w:tblGrid>
        <w:gridCol w:w="2200"/>
        <w:gridCol w:w="6580"/>
        <w:gridCol w:w="130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6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13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Servidor MCP</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se conectan por MCP; el rol (iniciador, operador, trabajador) lo fija quien lanza el proceso, nunca el cliente; cada llamada queda en el ledger con quién la hizo</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Workflow y condiciones</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con descripción, metas y no-metas; termina cuando todas las condiciones de aceptación obligatorias se cumplen con evidencia; cada condición es una tarea atómica verificable</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Compuertas duras de efectos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git commit/push, gh pr y http.request solo ocurren tras una decisión humana ligada al digest exacto; el agente no tiene la capacidad, no solo la prohibición</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P2</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Asesor</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propone intervenciones tipadas (nota, retención, escalada, replan, rollback, pushback); el control las valida y aplica; Tavily aporta el pushback con fuentes realmente recuperadas</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P3</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Niveles y pools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Agentes por nivel (barato, estándar, avanzado); escalera por fallo; pools con concurrencia máxima; agentes configurables por endpoint o CLI; doctor</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P4</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Chat y consola web</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como interfaz de chat para pedir workflows; vistas de chat, workflows y agentes; el chat no puede iniciar, cancelar ni aprobar</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P5</w:t>
            </w:r>
          </w:p>
        </w:tc>
      </w:tr>
    </w:tbl>
    <w:p/>
    <w:p>
      <w:pPr>
        <w:pStyle w:val="Heading1"/>
      </w:pPr>
      <w:r>
        <w:rPr>
          <w:color w:val="000000"/>
        </w:rPr>
        <w:t xml:space="preserve">31 Workflow, condiciones y compuertas</w:t>
      </w:r>
    </w:p>
    <w:p>
      <w:r>
        <w:t xml:space="preserve">Un workflow se define con título, descripción, metas, no-metas y condiciones. Cada condición lleva un verificador determinista: command (identificador de una lista permitida), citations (las URL de un archivo fueron realmente recuperadas), diff (rutas que deben o no deben cambiar), file, approval (aprobación humana), review (opinión de un agente, informativa salvo aceptación explícita) o effect (un efecto aprobado y realizado).</w:t>
      </w:r>
    </w:p>
    <w:p>
      <w:pPr>
        <w:pStyle w:val="ListBullet"/>
      </w:pPr>
      <w:r>
        <w:t xml:space="preserve">Ciclo de vida registrado como eventos del ledger: borrador, espera de inicio, planificación, ejecución, verificación, y terminal (hecho, fallido, cancelado).</w:t>
      </w:r>
    </w:p>
    <w:p>
      <w:pPr>
        <w:pStyle w:val="ListBullet"/>
      </w:pPr>
      <w:r>
        <w:t xml:space="preserve">Editar un workflow crea una revisión; la ejecución en curso se replanifica, no se muta.</w:t>
      </w:r>
    </w:p>
    <w:p>
      <w:pPr>
        <w:pStyle w:val="ListBullet"/>
      </w:pPr>
      <w:r>
        <w:t xml:space="preserve">El inicio puede exigir una compuerta; el desafío (código) se entrega solo por el canal humano, nunca por el ledger ni por MCP.</w:t>
      </w:r>
    </w:p>
    <w:p>
      <w:pPr>
        <w:pStyle w:val="ListBullet"/>
      </w:pPr>
      <w:r>
        <w:t xml:space="preserve">Una condición obligatoria de tipo review requiere una segunda aceptación; un modelo no se califica a sí mismo.</w:t>
      </w:r>
    </w:p>
    <w:p>
      <w:pPr>
        <w:pStyle w:val="ListBullet"/>
      </w:pPr>
      <w:r>
        <w:t xml:space="preserve">No-metas con guarda (diff o file) se comprueban en cada ronda: violarlas impide terminar aunque todo lo demás se cumpla.</w:t>
      </w:r>
    </w:p>
    <w:p>
      <w:pPr>
        <w:pStyle w:val="Heading1"/>
      </w:pPr>
      <w:r>
        <w:rPr>
          <w:color w:val="000000"/>
        </w:rPr>
        <w:t xml:space="preserve">32 Compuertas de efectos</w:t>
      </w:r>
    </w:p>
    <w:p>
      <w:r>
        <w:t xml:space="preserve">Los efectos con consecuencias fuera del espacio de trabajo pasan por un corredor único. La política es de negación por defecto y gana la regla más estricta.</w:t>
      </w:r>
    </w:p>
    <w:tbl>
      <w:tblPr>
        <w:tblW w:type="auto" w:w="0"/>
        <w:jc w:val="center"/>
        <w:tblLayout w:type="fixed"/>
        <w:tblLook w:firstColumn="1" w:firstRow="1" w:lastColumn="0" w:lastRow="0" w:noHBand="0" w:noVBand="1" w:val="04A0"/>
      </w:tblPr>
      <w:tblGrid>
        <w:gridCol w:w="3000"/>
        <w:gridCol w:w="7080"/>
      </w:tblGrid>
      <w:tr>
        <w:trPr>
          <w:tblHeader/>
        </w:trPr>
        <w:tc>
          <w:tcPr>
            <w:tcW w:type="dxa" w:w="3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Propiedad</w:t>
            </w:r>
          </w:p>
        </w:tc>
        <w:tc>
          <w:tcPr>
            <w:tcW w:type="dxa" w:w="7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se garantiza</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agente no puede empujar por su cuenta</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CLI corre con un HOME efímero, sin credenciales del entorno, con git apuntando a la nada y sin .git en la copia; se verificó con agentes reales</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aprobación vale para ese efecto exacto</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decisión se liga al digest de la solicitud; un cambio posterior la deja obsoleta (STALE)</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vez</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EXECUTING, DONE/FAILED; un efecto realizado no se repite; las aprobaciones caducan (TTL)</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Postcondición</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Tras ejecutar se comprueba el resultado (p. ej. que el commit exista) antes de marcarlo hecho</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Canales</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UI y CLI directos; MCP exige el código fuera de banda</w:t>
            </w:r>
          </w:p>
        </w:tc>
      </w:tr>
    </w:tbl>
    <w:p/>
    <w:p>
      <w:pPr>
        <w:pStyle w:val="Heading1"/>
      </w:pPr>
      <w:r>
        <w:rPr>
          <w:color w:val="000000"/>
        </w:rPr>
        <w:t xml:space="preserve">33 El asesor</w:t>
      </w:r>
    </w:p>
    <w:p>
      <w:r>
        <w:t xml:space="preserve">Nemotron actúa como capa correctiva sin poder de escritura propio. Responde en JSON estricto; cada intervención nombra su disparador y su evidencia y se valida contra el estado vivo (tarea conocida, no terminal, dentro del alcance).</w:t>
      </w:r>
    </w:p>
    <w:tbl>
      <w:tblPr>
        <w:tblW w:type="auto" w:w="0"/>
        <w:jc w:val="center"/>
        <w:tblLayout w:type="fixed"/>
        <w:tblLook w:firstColumn="1" w:firstRow="1" w:lastColumn="0" w:lastRow="0" w:noHBand="0" w:noVBand="1" w:val="04A0"/>
      </w:tblPr>
      <w:tblGrid>
        <w:gridCol w:w="2200"/>
        <w:gridCol w:w="78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Intervención</w:t>
            </w:r>
          </w:p>
        </w:tc>
        <w:tc>
          <w:tcPr>
            <w:tcW w:type="dxa" w:w="7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Efecto</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inject_note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nota llega al siguiente intento de cualquier adaptador y entre turnos del bucle nativo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hold</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Detiene la admisión y el bucle de una tarea hasta liberarla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escalate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Evita el perfil que falló y sube el piso de nivel</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replan</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Parte la tarea con el mismo validador de delegación, sustituye la original y reengancha a sus dependientes</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rollback</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Abre una compuerta humana; aprobado, revierte con acciones compensatorias solo sobre lo que sigue siendo exactamente lo que la tarea dejó</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pushback</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Supuestos de la tarea → búsquedas con la guarda de salida → hallazgos que solo citan fuentes recuperadas → tarea retenida a la espera de una decisión humana</w:t>
            </w:r>
          </w:p>
        </w:tc>
      </w:tr>
    </w:tbl>
    <w:p/>
    <w:p>
      <w:r>
        <w:t xml:space="preserve">Presupuestos de consultas e intervenciones por tarea se cuentan desde el ledger; preguntar no cambia nada: proponer y aplicar son pasos separados y registrados.</w:t>
      </w:r>
    </w:p>
    <w:p>
      <w:pPr>
        <w:pStyle w:val="Heading1"/>
      </w:pPr>
      <w:r>
        <w:rPr>
          <w:color w:val="000000"/>
        </w:rPr>
        <w:t xml:space="preserve">34 Niveles, escalera, pools y agentes configurables</w:t>
      </w:r>
    </w:p>
    <w:p>
      <w:pPr>
        <w:pStyle w:val="ListBullet"/>
      </w:pPr>
      <w:r>
        <w:t xml:space="preserve">Cada perfil declara un nivel: cheap (tareas puntuales), standard (construcción), advanced (investigación, revisión, decisiones difíciles). El planificador marca el nivel de cada tarea.</w:t>
      </w:r>
    </w:p>
    <w:p>
      <w:pPr>
        <w:pStyle w:val="ListBullet"/>
      </w:pPr>
      <w:r>
        <w:t xml:space="preserve">El enrutador usa el nivel más bajo que cumpla el piso pedido: nunca paga más de lo necesario.</w:t>
      </w:r>
    </w:p>
    <w:p>
      <w:pPr>
        <w:pStyle w:val="ListBullet"/>
      </w:pPr>
      <w:r>
        <w:t xml:space="preserve">Escalera: cada intento fallido sube el piso un nivel; es finita (tres peldaños) y cada reintento queda en el ledger.</w:t>
      </w:r>
    </w:p>
    <w:p>
      <w:pPr>
        <w:pStyle w:val="ListBullet"/>
      </w:pPr>
      <w:r>
        <w:t xml:space="preserve">Pools: grupos de agentes con concurrencia máxima, en orden FIFO; un trabajo que falla libera su cupo.</w:t>
      </w:r>
    </w:p>
    <w:p>
      <w:pPr>
        <w:pStyle w:val="ListBullet"/>
      </w:pPr>
      <w:r>
        <w:t xml:space="preserve">Configuración: extender un perfil integrado, apuntar a cualquier endpoint compatible con OpenAI (otro modelo, un servidor local; mismo bucle y ejecutor) o envolver cualquier CLI. Un archivo inválido se rechaza entero, con todos los problemas.</w:t>
      </w:r>
    </w:p>
    <w:p>
      <w:pPr>
        <w:pStyle w:val="ListBullet"/>
      </w:pPr>
      <w:r>
        <w:t xml:space="preserve">synapser doctor sondea qué está instalado y es usable y sugiere qué habilitar, sin habilitar nada.</w:t>
      </w:r>
    </w:p>
    <w:p>
      <w:pPr>
        <w:pStyle w:val="ListBullet"/>
      </w:pPr>
      <w:r>
        <w:t xml:space="preserve">El costo se aprende del historial de corridas anteriores; sin datos suficientes es desconocido y alerta, como antes.</w:t>
      </w:r>
    </w:p>
    <w:p>
      <w:pPr>
        <w:pStyle w:val="Heading1"/>
      </w:pPr>
      <w:r>
        <w:rPr>
          <w:color w:val="000000"/>
        </w:rPr>
        <w:t xml:space="preserve">35 Chat e interfaz</w:t>
      </w:r>
    </w:p>
    <w:p>
      <w:r>
        <w:t xml:space="preserve">El chat es la interfaz conversacional de Nemotron para pedir workflows. Sus herramientas son solo redactar un borrador, editarlo, listar, explicar, mostrar compuertas, listar agentes y consultar al asesor.</w:t>
      </w:r>
    </w:p>
    <w:p>
      <w:pPr>
        <w:pStyle w:val="ListBullet"/>
      </w:pPr>
      <w:r>
        <w:t xml:space="preserve">H1: no existe herramienta para iniciar, cancelar, aprobar ni aplicar; esas son acciones del operador desde la consola.</w:t>
      </w:r>
    </w:p>
    <w:p>
      <w:pPr>
        <w:pStyle w:val="ListBullet"/>
      </w:pPr>
      <w:r>
        <w:t xml:space="preserve">H2: los borradores pasan por el mismo validador que la API; los errores vuelven al modelo, que corrige.</w:t>
      </w:r>
    </w:p>
    <w:p>
      <w:pPr>
        <w:pStyle w:val="ListBullet"/>
      </w:pPr>
      <w:r>
        <w:t xml:space="preserve">H3: los hechos sobre una corrida citan el seq del ledger de donde salen; la conversación misma son eventos del ledger.</w:t>
      </w:r>
    </w:p>
    <w:p>
      <w:pPr>
        <w:pStyle w:val="ListBullet"/>
      </w:pPr>
      <w:r>
        <w:t xml:space="preserve">API: /api/workflows, /api/chat, /api/catalog, /api/config. Las escrituras exigen token de sesión y mismo origen; el actor es fijo; el servidor sigue sin ruta al ejecutor. Se lanza con synapser serve.</w:t>
      </w:r>
    </w:p>
    <w:p>
      <w:pPr>
        <w:pStyle w:val="ListBullet"/>
      </w:pPr>
      <w:r>
        <w:t xml:space="preserve">Vistas nuevas: Chat, Workflows (condiciones con estado y evidencia, iniciar y cancelar) y Agentes (nivel, capacidades, pool, costo, política).</w:t>
      </w:r>
    </w:p>
    <w:p>
      <w:pPr>
        <w:pStyle w:val="Heading1"/>
      </w:pPr>
      <w:r>
        <w:rPr>
          <w:color w:val="000000"/>
        </w:rPr>
        <w:t xml:space="preserve">36 Límites declarados del centro de mando</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agente con red puede exfiltrar los secretos que tenga; quitamos secretos, no la red</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Declarado; no se promete aislamiento de red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rollback se ejecuta solo mientras el ejecutor del workflow está vivo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no, queda propuesto y pendiente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CLI one-shot no tienen canal de vuelta (subtareas, efectos, MCP)</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enlace MCP de trabajador existe en el servidor y no está conectado al lanzamiento de CLI</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chat y el asesor dependen de la calidad del modelo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que proponen pasa por validadores deterministas y compuertas humanas</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edición de configuración desde la UI es de solo lectura por ahora</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configuración se edita en el archivo; se rechaza entera si es inválida</w:t>
            </w:r>
          </w:p>
        </w:tc>
      </w:tr>
    </w:tbl>
    <w:p/>
    <w:p>
      <w:pPr>
        <w:pStyle w:val="Heading1"/>
      </w:pPr>
      <w:r>
        <w:t xml:space="preserve">37 Qué cambió en la versión 0.5 (plan 14: diseño desde la UI)</w:t>
      </w:r>
    </w:p>
    <w:p>
      <w:r>
        <w:t xml:space="preserve">La versión 0.5 agrega lo que el plan 14 pedía para diseñar desde la consola: adaptadores por agente, biblioteca versionada y la consola de diseño. Cada punto está implementado y cubierto por pruebas automáticas; sus límites están en la sección 40.</w:t>
      </w:r>
    </w:p>
    <w:p>
      <w:pPr>
        <w:pStyle w:val="ListBullet"/>
      </w:pPr>
      <w:r>
        <w:t xml:space="preserve">Adaptadores por agente (§1–§2 del plan 14): claude-code, codex, kimi, mimo y generic-cli declaran sus capacidades, y ninguno emite un flag que su tabla no declare.</w:t>
      </w:r>
    </w:p>
    <w:p>
      <w:pPr>
        <w:pStyle w:val="ListBullet"/>
      </w:pPr>
      <w:r>
        <w:t xml:space="preserve">Skills inyectadas por mecanismo nativo, con id, digest y mecanismo registrados en la corrida. Una skill no amplía permisos.</w:t>
      </w:r>
    </w:p>
    <w:p>
      <w:pPr>
        <w:pStyle w:val="ListBullet"/>
      </w:pPr>
      <w:r>
        <w:t xml:space="preserve">Biblioteca versionada de proveedores, agentes, skills y plantillas. Cada cambio es un evento encadenado en el ledger del servidor, y cada corrida toma una instantánea al iniciar.</w:t>
      </w:r>
    </w:p>
    <w:p>
      <w:pPr>
        <w:pStyle w:val="ListBullet"/>
      </w:pPr>
      <w:r>
        <w:t xml:space="preserve">Roles del sistema (planificador, asesor, chat, trabajador y reparación) asignables a proveedor y modelo en la configuración. Un archivo que no cumple sus reglas se rechaza entero.</w:t>
      </w:r>
    </w:p>
    <w:p>
      <w:pPr>
        <w:pStyle w:val="ListBullet"/>
      </w:pPr>
      <w:r>
        <w:t xml:space="preserve">Prueba de conexión por proveedor: lista los modelos que sirve el endpoint y hace una llamada mínima. La clave no aparece en ninguna respuesta.</w:t>
      </w:r>
    </w:p>
    <w:p>
      <w:pPr>
        <w:pStyle w:val="ListBullet"/>
      </w:pPr>
      <w:r>
        <w:t xml:space="preserve">Consola: inicio con workflows activos, compuertas pendientes, agentes y costo; diseñador de workflows con comprobación en vivo contra el validador del servidor y cuatro plantillas integradas; editor de biblioteca; intervenciones del asesor y efectos en el detalle de cada workflow.</w:t>
      </w:r>
    </w:p>
    <w:p>
      <w:pPr>
        <w:pStyle w:val="Heading1"/>
      </w:pPr>
      <w:r>
        <w:t xml:space="preserve">38 Estado del plan 14</w:t>
      </w:r>
    </w:p>
    <w:p>
      <w:r>
        <w:t xml:space="preserve">Q1 (adaptadores y skills), Q2 (biblioteca, proveedores y API) y Q4 (inicio y pantallas sin datos) están completos. En Q3 están hechos el diseñador de workflows, las plantillas integradas y el editor de biblioteca. Q3.3 y Q3.4 quedan bloqueadas por decisiones del usuario, y Q3.6 espera a ellas. El cierre incluye el README; la demo integrada (C.3) no se ha hecho, por pedido expreso.</w:t>
      </w:r>
    </w:p>
    <w:p>
      <w:pPr>
        <w:pStyle w:val="Heading1"/>
      </w:pPr>
      <w:r>
        <w:t xml:space="preserve">39 Invariantes del plan 14 y dónde se verifican</w:t>
      </w:r>
    </w:p>
    <w:p>
      <w:r>
        <w:t xml:space="preserve">Cada invariante tiene un verificador en las pruebas automáticas y un criterio de falsación, como en los planes 08 a 13.</w:t>
      </w:r>
    </w:p>
    <w:p>
      <w:pPr>
        <w:pStyle w:val="ListBullet"/>
      </w:pPr>
      <w:r>
        <w:t xml:space="preserve">L1: una skill inyectada es de la biblioteca y su digest queda en la corrida. Verificado en el límite del runner.</w:t>
      </w:r>
    </w:p>
    <w:p>
      <w:pPr>
        <w:pStyle w:val="ListBullet"/>
      </w:pPr>
      <w:r>
        <w:t xml:space="preserve">L2: una skill no amplía permisos. El adaptador no cambia herramientas, permisos, sandbox ni presupuesto.</w:t>
      </w:r>
    </w:p>
    <w:p>
      <w:pPr>
        <w:pStyle w:val="ListBullet"/>
      </w:pPr>
      <w:r>
        <w:t xml:space="preserve">L3: la instantánea de la biblioteca se congela al iniciar la corrida. Una edición posterior no cambia lo que lee la corrida.</w:t>
      </w:r>
    </w:p>
    <w:p>
      <w:pPr>
        <w:pStyle w:val="ListBullet"/>
      </w:pPr>
      <w:r>
        <w:t xml:space="preserve">L4: las escrituras de la biblioteca exigen token y mismo origen. Una configuración inválida se rechaza entera, con todos sus problemas.</w:t>
      </w:r>
    </w:p>
    <w:p>
      <w:pPr>
        <w:pStyle w:val="ListBullet"/>
      </w:pPr>
      <w:r>
        <w:t xml:space="preserve">L5: un adaptador solo emite flags que su tabla declara, contrastados con el --help del binario instalado.</w:t>
      </w:r>
    </w:p>
    <w:p>
      <w:pPr>
        <w:pStyle w:val="ListBullet"/>
      </w:pPr>
      <w:r>
        <w:t xml:space="preserve">L6: cada rol del sistema corre sobre un proveedor y modelo declarados en la configuración final. Un rol sin proveedor válido no llega a arrancar.</w:t>
      </w:r>
    </w:p>
    <w:p>
      <w:pPr>
        <w:pStyle w:val="Heading1"/>
      </w:pPr>
      <w:r>
        <w:t xml:space="preserve">40 Límites y decisiones abiertas</w:t>
      </w:r>
    </w:p>
    <w:p>
      <w:r>
        <w:t xml:space="preserve">Lo que sigue es real hoy, y se dice aquí en lugar de dejarlo implícito en el código.</w:t>
      </w:r>
    </w:p>
    <w:p>
      <w:pPr>
        <w:pStyle w:val="ListBullet"/>
      </w:pPr>
      <w:r>
        <w:t xml:space="preserve">Las corridas todavía no leen proveedores ni agentes de la biblioteca: el motor toma los proveedores del archivo de configuración. El manejador congelado de la biblioteca está listo para cuando lo lean.</w:t>
      </w:r>
    </w:p>
    <w:p>
      <w:pPr>
        <w:pStyle w:val="ListBullet"/>
      </w:pPr>
      <w:r>
        <w:t xml:space="preserve">Los roles trabajador y reparación del sistema solo llegan a una llamada en la ruta de misión sin orquestación. El motor de producción siempre orquesta, y los perfiles nativos llevan su propio proveedor.</w:t>
      </w:r>
    </w:p>
    <w:p>
      <w:pPr>
        <w:pStyle w:val="ListBullet"/>
      </w:pPr>
      <w:r>
        <w:t xml:space="preserve">Decisión abierta: si las corridas leen agentes de la biblioteca, y con qué precedencia frente al archivo.</w:t>
      </w:r>
    </w:p>
    <w:p>
      <w:pPr>
        <w:pStyle w:val="ListBullet"/>
      </w:pPr>
      <w:r>
        <w:t xml:space="preserve">Decisión abierta: el diseñador de agentes (Q3.3) y «probar agente» (Q3.4) esperan presupuesto, permisos, y si la prueba usa un proveedor sin costo.</w:t>
      </w:r>
    </w:p>
    <w:p>
      <w:pPr>
        <w:pStyle w:val="ListBullet"/>
      </w:pPr>
      <w:r>
        <w:t xml:space="preserve">Decisión abierta: el esquema de las plantillas guardadas en la biblioteca. Las cuatro plantillas integradas no lo necesitan.</w:t>
      </w:r>
    </w:p>
    <w:p>
      <w:pPr>
        <w:pStyle w:val="ListBullet"/>
      </w:pPr>
      <w:r>
        <w:t xml:space="preserve">Decisión abierta: la forma canónica de la biblioteca acepta números decimales (precios) con una opción propia. Los digests de peticiones y del journal siguen siendo solo enteros.</w:t>
      </w:r>
    </w:p>
    <w:p>
      <w:pPr>
        <w:pStyle w:val="ListBullet"/>
      </w:pPr>
      <w:r>
        <w:t xml:space="preserve">Riesgo declarado: la clave de un proveedor puede ser cualquier variable de entorno del servidor, y la prueba de conexión la envía al endpoint https que nombre el documento guardado. El token de sesión lo obtiene cualquier proceso local, porque la API solo escucha en 127.0.0.1: una página de otro sitio no puede usarlo, pero un proceso local sí. Pendiente de decisión: lista blanca de variables, confirmación de los cambios de baseUrl y un modelo de amenaza explícito.</w:t>
      </w:r>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