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Diseño de Synapser</w:t>
      </w:r>
    </w:p>
    <w:p>
      <w:pPr>
        <w:pStyle w:val="Subtitle"/>
      </w:pPr>
      <w:r>
        <w:rPr>
          <w:color w:val="000000"/>
        </w:rPr>
        <w:t>Ejecución supervisada de agentes basada en Zoanthrope</w:t>
      </w:r>
    </w:p>
    <w:p>
      <w:r>
        <w:rPr>
          <w:sz w:val="19"/>
        </w:rPr>
        <w:t>14 de octubre de 2026  ·  Versión 0.5  ·  Diseño con implementación verificada</w:t>
      </w:r>
    </w:p>
    <w:p>
      <w:pPr>
        <w:pStyle w:val="Heading2"/>
      </w:pPr>
      <w:r>
        <w:rPr>
          <w:color w:val="000000"/>
        </w:rPr>
        <w:t xml:space="preserve">Qué cambió en la versión 0.4</w:t>
      </w:r>
    </w:p>
    <w:p>
      <w:pPr>
        <w:pStyle w:val="ListBullet"/>
      </w:pPr>
      <w:r>
        <w:t xml:space="preserve">Synapser pasa a ser un centro de mando para multiagentes: servidor MCP, workflows con condiciones de aceptación, compuertas duras de efectos, asesor con Nemotron y Tavily, niveles y pools de agentes, y chat en la consola web (secciones 30 a 36).</w:t>
      </w:r>
    </w:p>
    <w:p>
      <w:pPr>
        <w:pStyle w:val="ListBullet"/>
      </w:pPr>
      <w:r>
        <w:t xml:space="preserve">Todo lo anterior está implementado y probado; las secciones 20 a 29 siguen vigentes.</w:t>
      </w:r>
    </w:p>
    <w:p>
      <w:pPr>
        <w:pStyle w:val="Heading2"/>
      </w:pPr>
      <w:r>
        <w:rPr>
          <w:color w:val="000000"/>
        </w:rPr>
        <w:t xml:space="preserve">Qué cambió en la versión 0.3</w:t>
      </w:r>
    </w:p>
    <w:p>
      <w:pPr>
        <w:pStyle w:val="ListBullet"/>
      </w:pPr>
      <w:r>
        <w:t xml:space="preserve">Se añade el estado de implementación y la trazabilidad a los planes (sección 20) y las decisiones que precisan o reemplazan a la v0.2 (sección 21).</w:t>
      </w:r>
    </w:p>
    <w:p>
      <w:pPr>
        <w:pStyle w:val="ListBullet"/>
      </w:pPr>
      <w:r>
        <w:t xml:space="preserve">Nuevas capas: agentes CLI con puerto común, registro auditable con cadena de hashes, evaluación de coordinación con invariantes ejecutables, orquestación con catálogo y aprobaciones, enganche a Zoanthrope con estado vivo e interfaz (secciones 22 a 27).</w:t>
      </w:r>
    </w:p>
    <w:p>
      <w:pPr>
        <w:pStyle w:val="ListBullet"/>
      </w:pPr>
      <w:r>
        <w:t xml:space="preserve">El modelo por defecto pasa a Nemotron 3 Super; Nano queda como respaldo. El cronograma de la fase 2 y las reglas de recorte están en la sección 28; los riesgos declarados, en la 29.</w:t>
      </w:r>
    </w:p>
    <w:p>
      <w:pPr>
        <w:pStyle w:val="Heading1"/>
      </w:pPr>
      <w:r>
        <w:rPr>
          <w:color w:val="000000"/>
        </w:rPr>
        <w:t>1 Decisión de producto</w:t>
      </w:r>
    </w:p>
    <w:p>
      <w:r>
        <w:t>Synapser convierte una misión de ingeniería en trabajo ejecutable por varios agentes. Un supervisor Nemotron propone tareas y recuperaciones; un ejecutor aplica reglas verificables; Zoanthrope arbitra el acceso a archivos. El usuario puede ver quién trabaja, por qué espera, qué cambió y qué evidencia permite dar una tarea por terminada.</w:t>
      </w:r>
    </w:p>
    <w:p>
      <w:r>
        <w:t>La primera versión debe completar una modificación acotada con tres agentes, resolver una colisión sobre un archivo y recuperar una interrupción sin perder un resultado ya confirmado. La demo termina con un diff revisable, pruebas ejecutadas y un registro de decisiones.</w:t>
      </w:r>
    </w:p>
    <w:p>
      <w:pPr>
        <w:pStyle w:val="Heading2"/>
      </w:pPr>
      <w:r>
        <w:rPr>
          <w:color w:val="000000"/>
        </w:rPr>
        <w:t>Usuario y problema</w:t>
      </w:r>
    </w:p>
    <w:p>
      <w:r>
        <w:t>El usuario principal es un ingeniero que dirige agentes sobre un repositorio compartido. Necesita distribuir trabajo, contener interferencias y recuperar el contexto cuando una ejecución falla. La coordinación debe mantener significado aun cuando un modelo reintenta, un proceso desaparece o una respuesta se pierde.</w:t>
      </w:r>
    </w:p>
    <w:tbl>
      <w:tblPr>
        <w:tblW w:type="auto" w:w="0"/>
        <w:jc w:val="center"/>
        <w:tblLayout w:type="fixed"/>
        <w:tblLook w:firstColumn="1" w:firstRow="1" w:lastColumn="0" w:lastRow="0" w:noHBand="0" w:noVBand="1" w:val="04A0"/>
      </w:tblPr>
      <w:tblGrid>
        <w:gridCol w:w="4536"/>
        <w:gridCol w:w="5544"/>
      </w:tblGrid>
      <w:tr>
        <w:trPr>
          <w:tblHeader/>
        </w:trPr>
        <w:tc>
          <w:tcPr>
            <w:tcW w:type="dxa" w:w="4536"/>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Base observada en Zoanthrope</w:t>
            </w:r>
          </w:p>
        </w:tc>
        <w:tc>
          <w:tcPr>
            <w:tcW w:type="dxa" w:w="5544"/>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Aporte de Synapser</w:t>
            </w:r>
          </w:p>
        </w:tc>
      </w:tr>
      <w:tr>
        <w:trPr>
          <w:cantSplit/>
        </w:trPr>
        <w:tc>
          <w:tcPr>
            <w:tcW w:type="dxa" w:w="453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Claims de lectura y edición, presencia y postboard.</w:t>
            </w:r>
          </w:p>
        </w:tc>
        <w:tc>
          <w:tcPr>
            <w:tcW w:type="dxa" w:w="554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Misiones, tareas dependientes, planificación y un supervisor visible.</w:t>
            </w:r>
          </w:p>
        </w:tc>
      </w:tr>
      <w:tr>
        <w:trPr>
          <w:cantSplit/>
        </w:trPr>
        <w:tc>
          <w:tcPr>
            <w:tcW w:type="dxa" w:w="453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Fingerprints, leases, rejoin y auditoría.</w:t>
            </w:r>
          </w:p>
        </w:tc>
        <w:tc>
          <w:tcPr>
            <w:tcW w:type="dxa" w:w="554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Ejecutor con protocolo de acciones, conciliación y evidencia de finalización.</w:t>
            </w:r>
          </w:p>
        </w:tc>
      </w:tr>
      <w:tr>
        <w:trPr>
          <w:cantSplit/>
        </w:trPr>
        <w:tc>
          <w:tcPr>
            <w:tcW w:type="dxa" w:w="453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CLI y herramientas MCP para coordinación.</w:t>
            </w:r>
          </w:p>
        </w:tc>
        <w:tc>
          <w:tcPr>
            <w:tcW w:type="dxa" w:w="554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Agentes Nemotron, interfaz de control y evaluación de ejecuciones completas.</w:t>
            </w:r>
          </w:p>
        </w:tc>
      </w:tr>
    </w:tbl>
    <w:p>
      <w:pPr>
        <w:spacing w:after="20" w:before="0" w:line="240" w:lineRule="auto"/>
      </w:pPr>
      <w:r>
        <w:rPr>
          <w:sz w:val="2"/>
        </w:rPr>
      </w:r>
    </w:p>
    <w:p>
      <w:r>
        <w:t>La base técnica es Zoanthrope en el commit 37ecffa, consultado el 13 de octubre de 2026. Los contratos de Synapser son propuestas a implementar. Las pruebas publicadas por el motor informan el diseño, pero no sustituyen la validación del nuevo ejecutor. [S1–S4]</w:t>
      </w:r>
    </w:p>
    <w:p>
      <w:r>
        <w:t>Parallax puede aportar contexto arquitectónico en una integración futura. Synapser debe funcionar por sí mismo con una misión, un repositorio y criterios de aceptación explícitos.</w:t>
      </w:r>
    </w:p>
    <w:p>
      <w:r>
        <w:br w:type="page"/>
      </w:r>
    </w:p>
    <w:p>
      <w:pPr>
        <w:pStyle w:val="Heading1"/>
      </w:pPr>
      <w:r>
        <w:rPr>
          <w:color w:val="000000"/>
        </w:rPr>
        <w:t>2 Alcance y recorrido del usuario</w:t>
      </w:r>
    </w:p>
    <w:tbl>
      <w:tblPr>
        <w:tblW w:type="auto" w:w="0"/>
        <w:jc w:val="center"/>
        <w:tblLayout w:type="fixed"/>
        <w:tblLook w:firstColumn="1" w:firstRow="1" w:lastColumn="0" w:lastRow="0" w:noHBand="0" w:noVBand="1" w:val="04A0"/>
      </w:tblPr>
      <w:tblGrid>
        <w:gridCol w:w="1080"/>
        <w:gridCol w:w="9000"/>
      </w:tblGrid>
      <w:tr>
        <w:trPr>
          <w:tblHeader/>
        </w:trPr>
        <w:tc>
          <w:tcPr>
            <w:tcW w:type="dxa" w:w="108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color w:val="FFFFFF"/>
                <w:sz w:val="20"/>
              </w:rPr>
              <w:t>Prioridad</w:t>
            </w:r>
          </w:p>
        </w:tc>
        <w:tc>
          <w:tcPr>
            <w:tcW w:type="dxa" w:w="90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Capacidad</w:t>
            </w:r>
          </w:p>
        </w:tc>
      </w:tr>
      <w:tr>
        <w:trPr>
          <w:cantSplit/>
        </w:trPr>
        <w:tc>
          <w:tcPr>
            <w:tcW w:type="dxa" w:w="10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P0</w:t>
            </w:r>
          </w:p>
        </w:tc>
        <w:tc>
          <w:tcPr>
            <w:tcW w:type="dxa" w:w="90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Un host, un workspace controlado, una misión activa y hasta tres agentes Nemotron.</w:t>
            </w:r>
          </w:p>
        </w:tc>
      </w:tr>
      <w:tr>
        <w:trPr>
          <w:cantSplit/>
        </w:trPr>
        <w:tc>
          <w:tcPr>
            <w:tcW w:type="dxa" w:w="10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P0</w:t>
            </w:r>
          </w:p>
        </w:tc>
        <w:tc>
          <w:tcPr>
            <w:tcW w:type="dxa" w:w="90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Plan de tareas con dependencias, alcance y criterios de aceptación.</w:t>
            </w:r>
          </w:p>
        </w:tc>
      </w:tr>
      <w:tr>
        <w:trPr>
          <w:cantSplit/>
        </w:trPr>
        <w:tc>
          <w:tcPr>
            <w:tcW w:type="dxa" w:w="10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P0</w:t>
            </w:r>
          </w:p>
        </w:tc>
        <w:tc>
          <w:tcPr>
            <w:tcW w:type="dxa" w:w="90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Ejecutor central de herramientas con claims de Zoanthrope y registro durable de acciones.</w:t>
            </w:r>
          </w:p>
        </w:tc>
      </w:tr>
      <w:tr>
        <w:trPr>
          <w:cantSplit/>
        </w:trPr>
        <w:tc>
          <w:tcPr>
            <w:tcW w:type="dxa" w:w="10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P0</w:t>
            </w:r>
          </w:p>
        </w:tc>
        <w:tc>
          <w:tcPr>
            <w:tcW w:type="dxa" w:w="90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Cola de espera, relectura de contenido obsoleto, reinicio y rejoin del mismo propietario.</w:t>
            </w:r>
          </w:p>
        </w:tc>
      </w:tr>
      <w:tr>
        <w:trPr>
          <w:cantSplit/>
        </w:trPr>
        <w:tc>
          <w:tcPr>
            <w:tcW w:type="dxa" w:w="10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P0</w:t>
            </w:r>
          </w:p>
        </w:tc>
        <w:tc>
          <w:tcPr>
            <w:tcW w:type="dxa" w:w="90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Diff, pruebas sobre un snapshot identificado, trazas y presupuesto de ejecución.</w:t>
            </w:r>
          </w:p>
        </w:tc>
      </w:tr>
      <w:tr>
        <w:trPr>
          <w:cantSplit/>
        </w:trPr>
        <w:tc>
          <w:tcPr>
            <w:tcW w:type="dxa" w:w="10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P1</w:t>
            </w:r>
          </w:p>
        </w:tc>
        <w:tc>
          <w:tcPr>
            <w:tcW w:type="dxa" w:w="90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Replanificación sugerida por el supervisor y laboratorio de fallos desde la interfaz.</w:t>
            </w:r>
          </w:p>
        </w:tc>
      </w:tr>
    </w:tbl>
    <w:p>
      <w:pPr>
        <w:spacing w:after="20" w:before="0" w:line="240" w:lineRule="auto"/>
      </w:pPr>
      <w:r>
        <w:rPr>
          <w:sz w:val="2"/>
        </w:rPr>
      </w:r>
    </w:p>
    <w:p>
      <w:pPr>
        <w:pStyle w:val="Heading2"/>
      </w:pPr>
      <w:r>
        <w:rPr>
          <w:color w:val="000000"/>
        </w:rPr>
        <w:t>Iniciar una misión</w:t>
      </w:r>
    </w:p>
    <w:p>
      <w:r>
        <w:t>El usuario elige el repositorio y describe el objetivo. Synapser fija un commit inicial, muestra el plan, sus dependencias y los comandos de prueba permitidos. Al iniciar, conserva esa versión del plan y los límites de tiempo, tokens, pasos y concurrencia. Una revisión que amplía el alcance vuelve a quedar visible para su aceptación.</w:t>
      </w:r>
    </w:p>
    <w:p>
      <w:pPr>
        <w:pStyle w:val="Heading2"/>
      </w:pPr>
      <w:r>
        <w:rPr>
          <w:color w:val="000000"/>
        </w:rPr>
        <w:t>Supervisar y recuperar</w:t>
      </w:r>
    </w:p>
    <w:p>
      <w:r>
        <w:t>La pantalla muestra tareas, agentes y recursos. Un bloqueo debe explicar el archivo, el propietario y la acción que espera. Si existe trabajo listo con recursos libres, el scheduler lo admite. El supervisor puede proponer otra descomposición, pero no puede liberar claims ajenos ni declarar éxito mediante texto.</w:t>
      </w:r>
    </w:p>
    <w:p>
      <w:pPr>
        <w:pStyle w:val="Heading2"/>
      </w:pPr>
      <w:r>
        <w:rPr>
          <w:color w:val="000000"/>
        </w:rPr>
        <w:t>Inspeccionar el resultado</w:t>
      </w:r>
    </w:p>
    <w:p>
      <w:r>
        <w:t>El usuario abre cada acción para ver intención, archivos, versiones, diff y resultado. Una misión terminada incluye las pruebas exigidas sobre el snapshot final. Un botón de pausa detiene nuevas admisiones; una escritura ya iniciada se concilia antes de declarar que el sistema está pausado.</w:t>
      </w:r>
    </w:p>
    <w:p>
      <w:r>
        <w:t>Quedan fuera del MVP los agentes distribuidos entre hosts, la administración multiempresa, la escritura arbitraria mediante shell y las transacciones sobre sistemas externos. Los tests y codemods se ejecutan en copias aisladas; su salida se incorpora como propuesta de parche mediante el mismo ejecutor.</w:t>
      </w:r>
    </w:p>
    <w:p>
      <w:r>
        <w:br w:type="page"/>
      </w:r>
    </w:p>
    <w:p>
      <w:pPr>
        <w:pStyle w:val="Heading1"/>
      </w:pPr>
      <w:r>
        <w:rPr>
          <w:color w:val="000000"/>
        </w:rPr>
        <w:t>3 Arquitectura y frontera de ejecución</w:t>
      </w:r>
    </w:p>
    <w:p>
      <w:pPr>
        <w:keepNext/>
      </w:pPr>
      <w:r>
        <w:drawing>
          <wp:inline xmlns:a="http://schemas.openxmlformats.org/drawingml/2006/main" xmlns:pic="http://schemas.openxmlformats.org/drawingml/2006/picture">
            <wp:extent cx="6355080" cy="3365365"/>
            <wp:docPr id="1" name="Picture 1" descr="Interfaz y agentes acceden al control de Synapser. El ejecutor integra Zoanthrope y modifica el workspace; SQLite conserva tareas y acciones."/>
            <wp:cNvGraphicFramePr>
              <a:graphicFrameLocks noChangeAspect="1"/>
            </wp:cNvGraphicFramePr>
            <a:graphic>
              <a:graphicData uri="http://schemas.openxmlformats.org/drawingml/2006/picture">
                <pic:pic>
                  <pic:nvPicPr>
                    <pic:cNvPr id="0" name="synapser_architecture.png"/>
                    <pic:cNvPicPr/>
                  </pic:nvPicPr>
                  <pic:blipFill>
                    <a:blip r:embed="rId10"/>
                    <a:stretch>
                      <a:fillRect/>
                    </a:stretch>
                  </pic:blipFill>
                  <pic:spPr>
                    <a:xfrm>
                      <a:off x="0" y="0"/>
                      <a:ext cx="6355080" cy="3365365"/>
                    </a:xfrm>
                    <a:prstGeom prst="rect"/>
                  </pic:spPr>
                </pic:pic>
              </a:graphicData>
            </a:graphic>
          </wp:inline>
        </w:drawing>
      </w:r>
    </w:p>
    <w:p>
      <w:pPr>
        <w:pStyle w:val="Caption"/>
      </w:pPr>
      <w:r>
        <w:t>Arquitectura del MVP. Las decisiones del modelo pasan por el control y el ejecutor antes de afectar el workspace.</w:t>
      </w:r>
    </w:p>
    <w:p>
      <w:r>
        <w:t>El control conserva el plan y admite tareas. El ejecutor resuelve rutas, valida versiones, adquiere claims y aplica parches. Los agentes no reciben una ruta de escritura al workspace ni credenciales del motor. Zoanthrope es la autoridad de claims; una copia del estado para la interfaz sólo informa.</w:t>
      </w:r>
    </w:p>
    <w:p>
      <w:pPr>
        <w:pStyle w:val="Heading2"/>
      </w:pPr>
      <w:r>
        <w:rPr>
          <w:color w:val="000000"/>
        </w:rPr>
        <w:t>Stack y despliegue propuestos</w:t>
      </w:r>
    </w:p>
    <w:p>
      <w:r>
        <w:t>API y ejecutor en TypeScript, interfaz React, SQLite con transacciones y almacenamiento local para parches, fingerprints y resultados de pruebas. Zoanthrope se invoca por MCP stdio usando el binario real fijado; CLI queda para diagnóstico y smoke tests. Los agentes usan herramientas estructuradas y llaman a Nemotron mediante Token Factory durante la ejecución.</w:t>
      </w:r>
    </w:p>
    <w:p>
      <w:r>
        <w:t>El MVP se despliega en un host de Nebius AI Cloud con disco persistente y aislamiento por contenedores o procesos restringidos. Sólo el ejecutor tiene acceso de escritura al workspace. Las pruebas usan una copia sin secretos y sin red por defecto. Los logs identifican run_id, task_id, action_id y versión del modelo.</w:t>
      </w:r>
    </w:p>
    <w:p>
      <w:r>
        <w:t>Un bloqueo local impide dos ejecutores activos sobre el mismo workspace. El adaptador serializa llamadas de coordinación que modifican estado. Ante timeout, detiene el subproceso y confirma su salida antes de admitir otra llamada; si no puede confirmarla, pausa. Al reiniciar concilia el journal. No se atribuye a los leases una garantía de exclusión distribuida entre máquinas.</w:t>
      </w:r>
    </w:p>
    <w:p>
      <w:r>
        <w:br w:type="page"/>
      </w:r>
    </w:p>
    <w:p>
      <w:pPr>
        <w:pStyle w:val="Heading1"/>
      </w:pPr>
      <w:r>
        <w:rPr>
          <w:color w:val="000000"/>
        </w:rPr>
        <w:t>4 Modelo de datos e interfaces</w:t>
      </w:r>
    </w:p>
    <w:tbl>
      <w:tblPr>
        <w:tblW w:type="auto" w:w="0"/>
        <w:jc w:val="center"/>
        <w:tblLayout w:type="fixed"/>
        <w:tblLook w:firstColumn="1" w:firstRow="1" w:lastColumn="0" w:lastRow="0" w:noHBand="0" w:noVBand="1" w:val="04A0"/>
      </w:tblPr>
      <w:tblGrid>
        <w:gridCol w:w="2232"/>
        <w:gridCol w:w="7848"/>
      </w:tblGrid>
      <w:tr>
        <w:trPr>
          <w:tblHeader/>
        </w:trPr>
        <w:tc>
          <w:tcPr>
            <w:tcW w:type="dxa" w:w="2232"/>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Entidad</w:t>
            </w:r>
          </w:p>
        </w:tc>
        <w:tc>
          <w:tcPr>
            <w:tcW w:type="dxa" w:w="7848"/>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Campos mínimos y regla</w:t>
            </w:r>
          </w:p>
        </w:tc>
      </w:tr>
      <w:tr>
        <w:trPr>
          <w:cantSplit/>
        </w:trPr>
        <w:tc>
          <w:tcPr>
            <w:tcW w:type="dxa" w:w="223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Mission</w:t>
            </w:r>
          </w:p>
        </w:tc>
        <w:tc>
          <w:tcPr>
            <w:tcW w:type="dxa" w:w="784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run_id, objetivo, repo, base_sha, plan_revision, límites, estado. El alcance inicial se conserva.</w:t>
            </w:r>
          </w:p>
        </w:tc>
      </w:tr>
      <w:tr>
        <w:trPr>
          <w:cantSplit/>
        </w:trPr>
        <w:tc>
          <w:tcPr>
            <w:tcW w:type="dxa" w:w="223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Task</w:t>
            </w:r>
          </w:p>
        </w:tc>
        <w:tc>
          <w:tcPr>
            <w:tcW w:type="dxa" w:w="784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task_id, dependencias, actor_owner, criterios, alcance, prioridad y estado. Las dependencias forman un DAG validado.</w:t>
            </w:r>
          </w:p>
        </w:tc>
      </w:tr>
      <w:tr>
        <w:trPr>
          <w:cantSplit/>
        </w:trPr>
        <w:tc>
          <w:tcPr>
            <w:tcW w:type="dxa" w:w="223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AgentSession</w:t>
            </w:r>
          </w:p>
        </w:tc>
        <w:tc>
          <w:tcPr>
            <w:tcW w:type="dxa" w:w="784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Identidad propietaria estable, incarnation, modelo, presupuesto y estado. El ejecutor rechaza peticiones de una encarnación anterior.</w:t>
            </w:r>
          </w:p>
        </w:tc>
      </w:tr>
      <w:tr>
        <w:trPr>
          <w:cantSplit/>
        </w:trPr>
        <w:tc>
          <w:tcPr>
            <w:tcW w:type="dxa" w:w="223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Action</w:t>
            </w:r>
          </w:p>
        </w:tc>
        <w:tc>
          <w:tcPr>
            <w:tcW w:type="dxa" w:w="784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action_id, task_id, request_digest, archivos, hashes previos y previstos, estado y recibo. El cuerpo no cambia bajo la misma clave.</w:t>
            </w:r>
          </w:p>
        </w:tc>
      </w:tr>
      <w:tr>
        <w:trPr>
          <w:cantSplit/>
        </w:trPr>
        <w:tc>
          <w:tcPr>
            <w:tcW w:type="dxa" w:w="223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ResourceView</w:t>
            </w:r>
          </w:p>
        </w:tc>
        <w:tc>
          <w:tcPr>
            <w:tcW w:type="dxa" w:w="784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Ruta canónica, claims observados y propietario. Sirve para planificar; la admisión vuelve a consultar al motor.</w:t>
            </w:r>
          </w:p>
        </w:tc>
      </w:tr>
      <w:tr>
        <w:trPr>
          <w:cantSplit/>
        </w:trPr>
        <w:tc>
          <w:tcPr>
            <w:tcW w:type="dxa" w:w="223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Validation</w:t>
            </w:r>
          </w:p>
        </w:tc>
        <w:tc>
          <w:tcPr>
            <w:tcW w:type="dxa" w:w="784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Comando permitido, snapshot_digest, salida, exit_code y artefactos. Sólo vale para el snapshot comprobado.</w:t>
            </w:r>
          </w:p>
        </w:tc>
      </w:tr>
      <w:tr>
        <w:trPr>
          <w:cantSplit/>
        </w:trPr>
        <w:tc>
          <w:tcPr>
            <w:tcW w:type="dxa" w:w="223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Event</w:t>
            </w:r>
          </w:p>
        </w:tc>
        <w:tc>
          <w:tcPr>
            <w:tcW w:type="dxa" w:w="784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run_id, secuencia creciente, entidad, transición y datos. Estado y evento se escriben en la misma transacción SQLite.</w:t>
            </w:r>
          </w:p>
        </w:tc>
      </w:tr>
    </w:tbl>
    <w:p>
      <w:pPr>
        <w:spacing w:after="20" w:before="0" w:line="240" w:lineRule="auto"/>
      </w:pPr>
      <w:r>
        <w:rPr>
          <w:sz w:val="2"/>
        </w:rPr>
      </w:r>
    </w:p>
    <w:p>
      <w:pPr>
        <w:pStyle w:val="Heading2"/>
      </w:pPr>
      <w:r>
        <w:rPr>
          <w:color w:val="000000"/>
        </w:rPr>
        <w:t>Herramientas ofrecidas a los agentes</w:t>
      </w:r>
    </w:p>
    <w:p>
      <w:r>
        <w:t>read_files devuelve contenido y un digest calculado por el ejecutor. propose_patch entrega un parche asociado a esos digests. apply_action solicita su aplicación. run_validation ejecuta un comando permitido sobre una copia identificada. get_task y get_run_events permiten recuperar contexto. El modelo no elige ni suplanta el actor_owner de otra tarea.</w:t>
      </w:r>
    </w:p>
    <w:p>
      <w:pPr>
        <w:pStyle w:val="Code"/>
      </w:pPr>
      <w:r>
        <w:t>ActionRequest</w:t>
        <w:br/>
        <w:t xml:space="preserve">  run_id, task_id, action_id, incarnation</w:t>
        <w:br/>
        <w:t xml:space="preserve">  plan_revision, expected_files[{path, digest}]</w:t>
        <w:br/>
        <w:t xml:space="preserve">  patch, declared_outputs[], request_digest</w:t>
        <w:br/>
        <w:br/>
        <w:t>ActionReceipt</w:t>
        <w:br/>
        <w:t xml:space="preserve">  action_id, status, observed_files[]</w:t>
        <w:br/>
        <w:t xml:space="preserve">  applied_files[], validation_refs[], error_code</w:t>
      </w:r>
    </w:p>
    <w:p>
      <w:r>
        <w:t>El adaptador usa claim_files con el conjunto completo de archivos por acción y un único intento all-or-nothing. La liberación usa claim_files(mode=release); también utiliza list_claims, register_agent, rejoin_agent y postboard. El tablero comunica intención; la base de tareas mantiene su propio contrato de finalización. [S1–S2]</w:t>
      </w:r>
    </w:p>
    <w:p>
      <w:r>
        <w:br w:type="page"/>
      </w:r>
    </w:p>
    <w:p>
      <w:pPr>
        <w:pStyle w:val="Heading1"/>
      </w:pPr>
      <w:r>
        <w:rPr>
          <w:color w:val="000000"/>
        </w:rPr>
        <w:t>5 Protocolo de una acción de escritura</w:t>
      </w:r>
    </w:p>
    <w:p>
      <w:r>
        <w:t>La unidad de coordinación es una acción acotada con un conjunto conocido de archivos. Una tarea no mantiene claims mientras espera otra tarea o solicita razonamiento al modelo. Así se reduce el riesgo de ciclos de espera por recursos adquiridos parcialmente.</w:t>
      </w:r>
    </w:p>
    <w:tbl>
      <w:tblPr>
        <w:tblW w:type="auto" w:w="0"/>
        <w:jc w:val="center"/>
        <w:tblLayout w:type="fixed"/>
        <w:tblLook w:firstColumn="1" w:firstRow="1" w:lastColumn="0" w:lastRow="0" w:noHBand="0" w:noVBand="1" w:val="04A0"/>
      </w:tblPr>
      <w:tblGrid>
        <w:gridCol w:w="1656"/>
        <w:gridCol w:w="8424"/>
      </w:tblGrid>
      <w:tr>
        <w:trPr>
          <w:tblHeader/>
        </w:trPr>
        <w:tc>
          <w:tcPr>
            <w:tcW w:type="dxa" w:w="1656"/>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Paso</w:t>
            </w:r>
          </w:p>
        </w:tc>
        <w:tc>
          <w:tcPr>
            <w:tcW w:type="dxa" w:w="8424"/>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Precondición y efecto persistente</w:t>
            </w:r>
          </w:p>
        </w:tc>
      </w:tr>
      <w:tr>
        <w:trPr>
          <w:cantSplit/>
        </w:trPr>
        <w:tc>
          <w:tcPr>
            <w:tcW w:type="dxa" w:w="165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1 Preparar</w:t>
            </w:r>
          </w:p>
        </w:tc>
        <w:tc>
          <w:tcPr>
            <w:tcW w:type="dxa" w:w="842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Validar actor, incarnation, plan, rutas dentro del workspace y parche. Guardar PREPARED con hashes previos, parches y resultados previstos.</w:t>
            </w:r>
          </w:p>
        </w:tc>
      </w:tr>
      <w:tr>
        <w:trPr>
          <w:cantSplit/>
        </w:trPr>
        <w:tc>
          <w:tcPr>
            <w:tcW w:type="dxa" w:w="165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2 Adquirir</w:t>
            </w:r>
          </w:p>
        </w:tc>
        <w:tc>
          <w:tcPr>
            <w:tcW w:type="dxa" w:w="842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Solicitar todos los archivos a Zoanthrope. Un conflicto deja la acción en WAITING_RESOURCE sin ejecutar escrituras.</w:t>
            </w:r>
          </w:p>
        </w:tc>
      </w:tr>
      <w:tr>
        <w:trPr>
          <w:cantSplit/>
        </w:trPr>
        <w:tc>
          <w:tcPr>
            <w:tcW w:type="dxa" w:w="165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3 Verificar</w:t>
            </w:r>
          </w:p>
        </w:tc>
        <w:tc>
          <w:tcPr>
            <w:tcW w:type="dxa" w:w="842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Con claims concedidos, releer todos los digests y compararlos con expected_files. Si difieren, devolver STALE_VIEW y liberar sólo claims propios.</w:t>
            </w:r>
          </w:p>
        </w:tc>
      </w:tr>
      <w:tr>
        <w:trPr>
          <w:cantSplit/>
        </w:trPr>
        <w:tc>
          <w:tcPr>
            <w:tcW w:type="dxa" w:w="165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4 Aplicar</w:t>
            </w:r>
          </w:p>
        </w:tc>
        <w:tc>
          <w:tcPr>
            <w:tcW w:type="dxa" w:w="842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Guardar EXECUTING antes del primer cambio. Escribir temporales y reemplazar archivos por rename; registrar progreso y hashes por archivo.</w:t>
            </w:r>
          </w:p>
        </w:tc>
      </w:tr>
      <w:tr>
        <w:trPr>
          <w:cantSplit/>
        </w:trPr>
        <w:tc>
          <w:tcPr>
            <w:tcW w:type="dxa" w:w="165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5 Confirmar</w:t>
            </w:r>
          </w:p>
        </w:tc>
        <w:tc>
          <w:tcPr>
            <w:tcW w:type="dxa" w:w="842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Si todos los resultados coinciden con los previstos, guardar APPLIED y su recibo. Un resultado incierto conduce a RECOVERY_REQUIRED.</w:t>
            </w:r>
          </w:p>
        </w:tc>
      </w:tr>
      <w:tr>
        <w:trPr>
          <w:cantSplit/>
        </w:trPr>
        <w:tc>
          <w:tcPr>
            <w:tcW w:type="dxa" w:w="165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6 Liberar</w:t>
            </w:r>
          </w:p>
        </w:tc>
        <w:tc>
          <w:tcPr>
            <w:tcW w:type="dxa" w:w="842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Liberar los claims propios tras conciliar la acción. Un fallo de liberación queda registrado y bloquea una declaración de limpieza completa.</w:t>
            </w:r>
          </w:p>
        </w:tc>
      </w:tr>
      <w:tr>
        <w:trPr>
          <w:cantSplit/>
        </w:trPr>
        <w:tc>
          <w:tcPr>
            <w:tcW w:type="dxa" w:w="165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7 Validar</w:t>
            </w:r>
          </w:p>
        </w:tc>
        <w:tc>
          <w:tcPr>
            <w:tcW w:type="dxa" w:w="842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Tomar un snapshot identificado para las pruebas. Sólo un resultado válido para ese contenido satisface el criterio de aceptación.</w:t>
            </w:r>
          </w:p>
        </w:tc>
      </w:tr>
    </w:tbl>
    <w:p>
      <w:pPr>
        <w:spacing w:after="20" w:before="0" w:line="240" w:lineRule="auto"/>
      </w:pPr>
      <w:r>
        <w:rPr>
          <w:sz w:val="2"/>
        </w:rPr>
      </w:r>
    </w:p>
    <w:p>
      <w:pPr>
        <w:pStyle w:val="Heading2"/>
      </w:pPr>
      <w:r>
        <w:rPr>
          <w:color w:val="000000"/>
        </w:rPr>
        <w:t>Atomicidad que se promete</w:t>
      </w:r>
    </w:p>
    <w:p>
      <w:r>
        <w:t>Una llamada completada de adquisición decide el lote completo según el contrato de Zoanthrope. Un crash o error de persistencia puede dejar efectos que requieren conciliación. La aplicación de varios archivos no es una transacción atómica del filesystem. Durante esa aplicación se mantienen los claims, y las lecturas mediadas solicitan sus claims de lectura. Un fallo parcial impide que las tareas dependientes avancen hasta conciliar el conjunto.</w:t>
      </w:r>
    </w:p>
    <w:p>
      <w:pPr>
        <w:pStyle w:val="Heading2"/>
      </w:pPr>
      <w:r>
        <w:rPr>
          <w:color w:val="000000"/>
        </w:rPr>
        <w:t>Idempotencia y respuesta perdida</w:t>
      </w:r>
    </w:p>
    <w:p>
      <w:r>
        <w:t>La clave lógica es run_id más action_id. Una solicitud repetida con el mismo digest devuelve el recibo o el estado en curso. Otro cuerpo bajo esa clave se rechaza. Si el proceso cae tras escribir y antes de confirmar, se inspeccionan hashes previos y previstos: una coincidencia exacta permite conciliar; una divergencia requiere revisión. No se repite un comando con efectos desconocidos.</w:t>
      </w:r>
    </w:p>
    <w:p>
      <w:r>
        <w:br w:type="page"/>
      </w:r>
    </w:p>
    <w:p>
      <w:pPr>
        <w:pStyle w:val="Heading1"/>
      </w:pPr>
      <w:r>
        <w:rPr>
          <w:color w:val="000000"/>
        </w:rPr>
        <w:t>6 Estados y recuperación</w:t>
      </w:r>
    </w:p>
    <w:tbl>
      <w:tblPr>
        <w:tblW w:type="auto" w:w="0"/>
        <w:jc w:val="center"/>
        <w:tblLayout w:type="fixed"/>
        <w:tblLook w:firstColumn="1" w:firstRow="1" w:lastColumn="0" w:lastRow="0" w:noHBand="0" w:noVBand="1" w:val="04A0"/>
      </w:tblPr>
      <w:tblGrid>
        <w:gridCol w:w="2664"/>
        <w:gridCol w:w="7416"/>
      </w:tblGrid>
      <w:tr>
        <w:trPr>
          <w:tblHeader/>
        </w:trPr>
        <w:tc>
          <w:tcPr>
            <w:tcW w:type="dxa" w:w="2664"/>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Estado de tarea</w:t>
            </w:r>
          </w:p>
        </w:tc>
        <w:tc>
          <w:tcPr>
            <w:tcW w:type="dxa" w:w="7416"/>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Evento y transición</w:t>
            </w:r>
          </w:p>
        </w:tc>
      </w:tr>
      <w:tr>
        <w:trPr>
          <w:cantSplit/>
        </w:trPr>
        <w:tc>
          <w:tcPr>
            <w:tcW w:type="dxa" w:w="266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PENDING</w:t>
            </w:r>
          </w:p>
        </w:tc>
        <w:tc>
          <w:tcPr>
            <w:tcW w:type="dxa" w:w="741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Espera dependencias. Cuando todas terminan válidamente, pasa a READY.</w:t>
            </w:r>
          </w:p>
        </w:tc>
      </w:tr>
      <w:tr>
        <w:trPr>
          <w:cantSplit/>
        </w:trPr>
        <w:tc>
          <w:tcPr>
            <w:tcW w:type="dxa" w:w="266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READY</w:t>
            </w:r>
          </w:p>
        </w:tc>
        <w:tc>
          <w:tcPr>
            <w:tcW w:type="dxa" w:w="741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El scheduler admite una sesión dentro de presupuesto y concurrencia; pasa a RUNNING.</w:t>
            </w:r>
          </w:p>
        </w:tc>
      </w:tr>
      <w:tr>
        <w:trPr>
          <w:cantSplit/>
        </w:trPr>
        <w:tc>
          <w:tcPr>
            <w:tcW w:type="dxa" w:w="266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RUNNING</w:t>
            </w:r>
          </w:p>
        </w:tc>
        <w:tc>
          <w:tcPr>
            <w:tcW w:type="dxa" w:w="741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Puede leer, proponer y solicitar acciones. Un conflicto pasa a WAITING_RESOURCE; una acción incierta pasa a RECOVERY_REQUIRED.</w:t>
            </w:r>
          </w:p>
        </w:tc>
      </w:tr>
      <w:tr>
        <w:trPr>
          <w:cantSplit/>
        </w:trPr>
        <w:tc>
          <w:tcPr>
            <w:tcW w:type="dxa" w:w="266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WAITING_RESOURCE</w:t>
            </w:r>
          </w:p>
        </w:tc>
        <w:tc>
          <w:tcPr>
            <w:tcW w:type="dxa" w:w="741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Un cambio del recurso o backoff habilita otro intento. No se ignora al propietario ni se retienen otros claims para esperar.</w:t>
            </w:r>
          </w:p>
        </w:tc>
      </w:tr>
      <w:tr>
        <w:trPr>
          <w:cantSplit/>
        </w:trPr>
        <w:tc>
          <w:tcPr>
            <w:tcW w:type="dxa" w:w="266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RECOVERY_REQUIRED</w:t>
            </w:r>
          </w:p>
        </w:tc>
        <w:tc>
          <w:tcPr>
            <w:tcW w:type="dxa" w:w="741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Se concilian acciones y procesos. Puede volver a RUNNING, pedir intervención o terminar FAILED con evidencia.</w:t>
            </w:r>
          </w:p>
        </w:tc>
      </w:tr>
      <w:tr>
        <w:trPr>
          <w:cantSplit/>
        </w:trPr>
        <w:tc>
          <w:tcPr>
            <w:tcW w:type="dxa" w:w="266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VALIDATING</w:t>
            </w:r>
          </w:p>
        </w:tc>
        <w:tc>
          <w:tcPr>
            <w:tcW w:type="dxa" w:w="741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Se ejecutan los criterios sobre un snapshot fijado. Si hay fallo corregible, vuelve a RUNNING dentro de los límites.</w:t>
            </w:r>
          </w:p>
        </w:tc>
      </w:tr>
      <w:tr>
        <w:trPr>
          <w:cantSplit/>
        </w:trPr>
        <w:tc>
          <w:tcPr>
            <w:tcW w:type="dxa" w:w="266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DONE</w:t>
            </w:r>
          </w:p>
        </w:tc>
        <w:tc>
          <w:tcPr>
            <w:tcW w:type="dxa" w:w="741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Los artefactos y criterios exigidos están registrados. Una modificación relevante posterior invalida la validación y exige una nueva revisión.</w:t>
            </w:r>
          </w:p>
        </w:tc>
      </w:tr>
      <w:tr>
        <w:trPr>
          <w:cantSplit/>
        </w:trPr>
        <w:tc>
          <w:tcPr>
            <w:tcW w:type="dxa" w:w="266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FAILED o CANCELLED</w:t>
            </w:r>
          </w:p>
        </w:tc>
        <w:tc>
          <w:tcPr>
            <w:tcW w:type="dxa" w:w="741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Estado terminal de esa revisión. Conserva causa, acciones y resultados; los procesos y claims pendientes siguen visibles.</w:t>
            </w:r>
          </w:p>
        </w:tc>
      </w:tr>
    </w:tbl>
    <w:p>
      <w:pPr>
        <w:spacing w:after="20" w:before="0" w:line="240" w:lineRule="auto"/>
      </w:pPr>
      <w:r>
        <w:rPr>
          <w:sz w:val="2"/>
        </w:rPr>
      </w:r>
    </w:p>
    <w:p>
      <w:pPr>
        <w:pStyle w:val="Heading2"/>
      </w:pPr>
      <w:r>
        <w:rPr>
          <w:color w:val="000000"/>
        </w:rPr>
        <w:t>Reinicio y rejoin</w:t>
      </w:r>
    </w:p>
    <w:p>
      <w:r>
        <w:t>El proceso que reinicia adquiere el bloqueo del workspace, incrementa la generación local y deja de aceptar la encarnación anterior. Verifica que no haya escritores autorizados anteriores todavía activos. Revisa acciones no terminales y llama a rejoin usando la identidad propietaria estable. Un claims_at_risk se presenta para conciliación; no autoriza un takeover.</w:t>
      </w:r>
    </w:p>
    <w:p>
      <w:r>
        <w:t>Un agente stale conserva claims que pueden seguir bloqueando. El TTL de presencia no equivale a liberación. Una intervención sólo puede liberar una propiedad después de detener al actor anterior y conciliar sus acciones mediante el protocolo del ejecutor. El MVP no elimina locks a mano ni transfiere propiedad por decisión del modelo. [S1]</w:t>
      </w:r>
    </w:p>
    <w:p>
      <w:pPr>
        <w:pStyle w:val="Heading2"/>
      </w:pPr>
      <w:r>
        <w:rPr>
          <w:color w:val="000000"/>
        </w:rPr>
        <w:t>Pausa y cancelación</w:t>
      </w:r>
    </w:p>
    <w:p>
      <w:r>
        <w:t>PAUSING detiene nuevas admisiones y espera o concilia acciones en curso. PAUSED exige que no quede una mutación activa. Cancelar una misión no revierte cambios ya confirmados. Un rollback es otra acción explícita, con precondiciones sobre el contenido actual; nunca se aplica un reset global sobre trabajo ajeno.</w:t>
      </w:r>
    </w:p>
    <w:p>
      <w:r>
        <w:br w:type="page"/>
      </w:r>
    </w:p>
    <w:p>
      <w:pPr>
        <w:pStyle w:val="Heading1"/>
      </w:pPr>
      <w:r>
        <w:rPr>
          <w:color w:val="000000"/>
        </w:rPr>
        <w:t>7 Autoridad e invariantes</w:t>
      </w:r>
    </w:p>
    <w:tbl>
      <w:tblPr>
        <w:tblW w:type="auto" w:w="0"/>
        <w:jc w:val="center"/>
        <w:tblLayout w:type="fixed"/>
        <w:tblLook w:firstColumn="1" w:firstRow="1" w:lastColumn="0" w:lastRow="0" w:noHBand="0" w:noVBand="1" w:val="04A0"/>
      </w:tblPr>
      <w:tblGrid>
        <w:gridCol w:w="3312"/>
        <w:gridCol w:w="6768"/>
      </w:tblGrid>
      <w:tr>
        <w:trPr>
          <w:tblHeader/>
        </w:trPr>
        <w:tc>
          <w:tcPr>
            <w:tcW w:type="dxa" w:w="3312"/>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Decisión</w:t>
            </w:r>
          </w:p>
        </w:tc>
        <w:tc>
          <w:tcPr>
            <w:tcW w:type="dxa" w:w="6768"/>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Fuente de autoridad</w:t>
            </w:r>
          </w:p>
        </w:tc>
      </w:tr>
      <w:tr>
        <w:trPr>
          <w:cantSplit/>
        </w:trPr>
        <w:tc>
          <w:tcPr>
            <w:tcW w:type="dxa" w:w="331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Qué se intenta conseguir</w:t>
            </w:r>
          </w:p>
        </w:tc>
        <w:tc>
          <w:tcPr>
            <w:tcW w:type="dxa" w:w="676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Misión y revisión del plan aceptadas por el usuario.</w:t>
            </w:r>
          </w:p>
        </w:tc>
      </w:tr>
      <w:tr>
        <w:trPr>
          <w:cantSplit/>
        </w:trPr>
        <w:tc>
          <w:tcPr>
            <w:tcW w:type="dxa" w:w="331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Qué tarea puede comenzar</w:t>
            </w:r>
          </w:p>
        </w:tc>
        <w:tc>
          <w:tcPr>
            <w:tcW w:type="dxa" w:w="676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Scheduler: dependencias, estado persistido, presupuesto y concurrencia.</w:t>
            </w:r>
          </w:p>
        </w:tc>
      </w:tr>
      <w:tr>
        <w:trPr>
          <w:cantSplit/>
        </w:trPr>
        <w:tc>
          <w:tcPr>
            <w:tcW w:type="dxa" w:w="331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Quién puede editar un archivo</w:t>
            </w:r>
          </w:p>
        </w:tc>
        <w:tc>
          <w:tcPr>
            <w:tcW w:type="dxa" w:w="676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Claim concedido por Zoanthrope, más validaciones de identidad y contenido del ejecutor.</w:t>
            </w:r>
          </w:p>
        </w:tc>
      </w:tr>
      <w:tr>
        <w:trPr>
          <w:cantSplit/>
        </w:trPr>
        <w:tc>
          <w:tcPr>
            <w:tcW w:type="dxa" w:w="331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Qué contenido se esperaba</w:t>
            </w:r>
          </w:p>
        </w:tc>
        <w:tc>
          <w:tcPr>
            <w:tcW w:type="dxa" w:w="676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Digest calculado y conservado por el ejecutor, vinculado al parche.</w:t>
            </w:r>
          </w:p>
        </w:tc>
      </w:tr>
      <w:tr>
        <w:trPr>
          <w:cantSplit/>
        </w:trPr>
        <w:tc>
          <w:tcPr>
            <w:tcW w:type="dxa" w:w="331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Qué cambio realmente ocurrió</w:t>
            </w:r>
          </w:p>
        </w:tc>
        <w:tc>
          <w:tcPr>
            <w:tcW w:type="dxa" w:w="676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Recibo conciliado mediante hashes y journal.</w:t>
            </w:r>
          </w:p>
        </w:tc>
      </w:tr>
      <w:tr>
        <w:trPr>
          <w:cantSplit/>
        </w:trPr>
        <w:tc>
          <w:tcPr>
            <w:tcW w:type="dxa" w:w="331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Qué tarea terminó</w:t>
            </w:r>
          </w:p>
        </w:tc>
        <w:tc>
          <w:tcPr>
            <w:tcW w:type="dxa" w:w="676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Criterios ejecutados y registrados sobre el snapshot correspondiente.</w:t>
            </w:r>
          </w:p>
        </w:tc>
      </w:tr>
      <w:tr>
        <w:trPr>
          <w:cantSplit/>
        </w:trPr>
        <w:tc>
          <w:tcPr>
            <w:tcW w:type="dxa" w:w="331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Qué conviene intentar después</w:t>
            </w:r>
          </w:p>
        </w:tc>
        <w:tc>
          <w:tcPr>
            <w:tcW w:type="dxa" w:w="676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Nemotron propone; el control valida cualquier modificación al plan.</w:t>
            </w:r>
          </w:p>
        </w:tc>
      </w:tr>
    </w:tbl>
    <w:p>
      <w:pPr>
        <w:spacing w:after="20" w:before="0" w:line="240" w:lineRule="auto"/>
      </w:pPr>
      <w:r>
        <w:rPr>
          <w:sz w:val="2"/>
        </w:rPr>
      </w:r>
    </w:p>
    <w:p>
      <w:pPr>
        <w:pStyle w:val="Heading2"/>
      </w:pPr>
      <w:r>
        <w:rPr>
          <w:color w:val="000000"/>
        </w:rPr>
        <w:t>Propiedades de seguridad</w:t>
      </w:r>
    </w:p>
    <w:p>
      <w:pPr>
        <w:pStyle w:val="ListBullet"/>
      </w:pPr>
      <w:r>
        <w:t>S INV 1. Ninguna mutación mediada comienza sin claims de edición para todos sus archivos, identidad vigente y digests válidos. La comprobación ocurre dentro del ejecutor.</w:t>
      </w:r>
    </w:p>
    <w:p>
      <w:pPr>
        <w:pStyle w:val="ListBullet"/>
      </w:pPr>
      <w:r>
        <w:t>S INV 2. Un conflicto en el lote no deja una adquisición parcial utilizable por esa acción. El adaptador llama directamente a la operación por lote de Zoanthrope.</w:t>
      </w:r>
    </w:p>
    <w:p>
      <w:pPr>
        <w:pStyle w:val="ListBullet"/>
      </w:pPr>
      <w:r>
        <w:t>S INV 3. Un mismo action_id no produce una segunda aplicación lógica. Una respuesta perdida se resuelve mediante el registro y el contenido observado.</w:t>
      </w:r>
    </w:p>
    <w:p>
      <w:pPr>
        <w:pStyle w:val="ListBullet"/>
      </w:pPr>
      <w:r>
        <w:t>S INV 4. DONE exige evidencia de aceptación para el contenido vigente de su alcance. El texto del agente y el estado del postboard no son certificados de finalización.</w:t>
      </w:r>
    </w:p>
    <w:p>
      <w:pPr>
        <w:pStyle w:val="ListBullet"/>
      </w:pPr>
      <w:r>
        <w:t>S INV 5. Una sesión antigua no puede iniciar otra acción tras un cambio de incarnation. El bloqueo local evita dos ejecutores activos en el host.</w:t>
      </w:r>
    </w:p>
    <w:p>
      <w:pPr>
        <w:pStyle w:val="ListBullet"/>
      </w:pPr>
      <w:r>
        <w:t>S INV 6. Una presencia stale, un timeout o una hipótesis del modelo no permiten romper claims ajenos. La recuperación conserva los casos inciertos como tales.</w:t>
      </w:r>
    </w:p>
    <w:p>
      <w:r>
        <w:t>Estas propiedades cubren el workspace y las herramientas controladas. No garantizan exclusión frente a un administrador o proceso externo con acceso de escritura que eluda esa frontera. La progresión requiere tareas listas, recursos liberables y dependencias disponibles; los timeouts terminan en un estado observable, no garantizan éxito de la misión.</w:t>
      </w:r>
    </w:p>
    <w:p>
      <w:r>
        <w:br w:type="page"/>
      </w:r>
    </w:p>
    <w:p>
      <w:pPr>
        <w:pStyle w:val="Heading1"/>
      </w:pPr>
      <w:r>
        <w:rPr>
          <w:color w:val="000000"/>
        </w:rPr>
        <w:t>8 Fallos y límites operativos</w:t>
      </w:r>
    </w:p>
    <w:tbl>
      <w:tblPr>
        <w:tblW w:type="auto" w:w="0"/>
        <w:jc w:val="center"/>
        <w:tblLayout w:type="fixed"/>
        <w:tblLook w:firstColumn="1" w:firstRow="1" w:lastColumn="0" w:lastRow="0" w:noHBand="0" w:noVBand="1" w:val="04A0"/>
      </w:tblPr>
      <w:tblGrid>
        <w:gridCol w:w="2880"/>
        <w:gridCol w:w="7200"/>
      </w:tblGrid>
      <w:tr>
        <w:trPr>
          <w:tblHeader/>
        </w:trPr>
        <w:tc>
          <w:tcPr>
            <w:tcW w:type="dxa" w:w="288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Fallo</w:t>
            </w:r>
          </w:p>
        </w:tc>
        <w:tc>
          <w:tcPr>
            <w:tcW w:type="dxa" w:w="72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Respuesta del sistema</w:t>
            </w:r>
          </w:p>
        </w:tc>
      </w:tr>
      <w:tr>
        <w:trPr>
          <w:cantSplit/>
        </w:trPr>
        <w:tc>
          <w:tcPr>
            <w:tcW w:type="dxa" w:w="28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Zoanthrope ausente o error de transporte</w:t>
            </w:r>
          </w:p>
        </w:tc>
        <w:tc>
          <w:tcPr>
            <w:tcW w:type="dxa" w:w="72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Rechazar nuevas mutaciones. La interfaz y los resultados anteriores siguen disponibles. No degradar a una concesión aparente.</w:t>
            </w:r>
          </w:p>
        </w:tc>
      </w:tr>
      <w:tr>
        <w:trPr>
          <w:cantSplit/>
        </w:trPr>
        <w:tc>
          <w:tcPr>
            <w:tcW w:type="dxa" w:w="28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Conflicto de archivo</w:t>
            </w:r>
          </w:p>
        </w:tc>
        <w:tc>
          <w:tcPr>
            <w:tcW w:type="dxa" w:w="72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Registrar propietario y esperar con backoff acotado; admitir otra tarea independiente cuando sea posible.</w:t>
            </w:r>
          </w:p>
        </w:tc>
      </w:tr>
      <w:tr>
        <w:trPr>
          <w:cantSplit/>
        </w:trPr>
        <w:tc>
          <w:tcPr>
            <w:tcW w:type="dxa" w:w="28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Archivo cambió desde la lectura</w:t>
            </w:r>
          </w:p>
        </w:tc>
        <w:tc>
          <w:tcPr>
            <w:tcW w:type="dxa" w:w="72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STALE_VIEW; releer y pedir otro parche. Reclamarse un archivo no valida el contenido leído antes.</w:t>
            </w:r>
          </w:p>
        </w:tc>
      </w:tr>
      <w:tr>
        <w:trPr>
          <w:cantSplit/>
        </w:trPr>
        <w:tc>
          <w:tcPr>
            <w:tcW w:type="dxa" w:w="28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Caída durante un parche de varios archivos</w:t>
            </w:r>
          </w:p>
        </w:tc>
        <w:tc>
          <w:tcPr>
            <w:tcW w:type="dxa" w:w="72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RECOVERY_REQUIRED; conciliar cada archivo y bloquear tareas dependientes hasta resolverlo.</w:t>
            </w:r>
          </w:p>
        </w:tc>
      </w:tr>
      <w:tr>
        <w:trPr>
          <w:cantSplit/>
        </w:trPr>
        <w:tc>
          <w:tcPr>
            <w:tcW w:type="dxa" w:w="28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Modelo o Token Factory no disponible</w:t>
            </w:r>
          </w:p>
        </w:tc>
        <w:tc>
          <w:tcPr>
            <w:tcW w:type="dxa" w:w="72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No admitir nuevos pasos de modelo. Conservar estado y acciones; reintentar dentro del presupuesto o pausar con causa.</w:t>
            </w:r>
          </w:p>
        </w:tc>
      </w:tr>
      <w:tr>
        <w:trPr>
          <w:cantSplit/>
        </w:trPr>
        <w:tc>
          <w:tcPr>
            <w:tcW w:type="dxa" w:w="28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Se agotaron tiempo o tokens</w:t>
            </w:r>
          </w:p>
        </w:tc>
        <w:tc>
          <w:tcPr>
            <w:tcW w:type="dxa" w:w="72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Detener nuevas admisiones y conciliar lo activo. Informar presupuesto, resultado parcial y tareas pendientes.</w:t>
            </w:r>
          </w:p>
        </w:tc>
      </w:tr>
      <w:tr>
        <w:trPr>
          <w:cantSplit/>
        </w:trPr>
        <w:tc>
          <w:tcPr>
            <w:tcW w:type="dxa" w:w="28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Comando no soportado o salida fuera del alcance</w:t>
            </w:r>
          </w:p>
        </w:tc>
        <w:tc>
          <w:tcPr>
            <w:tcW w:type="dxa" w:w="72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Rechazar antes de ejecutar en el workspace. Un codemod sólo puede producir un parche desde una copia aislada.</w:t>
            </w:r>
          </w:p>
        </w:tc>
      </w:tr>
      <w:tr>
        <w:trPr>
          <w:cantSplit/>
        </w:trPr>
        <w:tc>
          <w:tcPr>
            <w:tcW w:type="dxa" w:w="28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Disco lleno o escritura del journal fallida</w:t>
            </w:r>
          </w:p>
        </w:tc>
        <w:tc>
          <w:tcPr>
            <w:tcW w:type="dxa" w:w="72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No comenzar la siguiente mutación. Si ya hubo cambios, entrar en recuperación y preservar evidencia disponible.</w:t>
            </w:r>
          </w:p>
        </w:tc>
      </w:tr>
    </w:tbl>
    <w:p>
      <w:pPr>
        <w:spacing w:after="20" w:before="0" w:line="240" w:lineRule="auto"/>
      </w:pPr>
      <w:r>
        <w:rPr>
          <w:sz w:val="2"/>
        </w:rPr>
      </w:r>
    </w:p>
    <w:p>
      <w:pPr>
        <w:pStyle w:val="Heading2"/>
      </w:pPr>
      <w:r>
        <w:rPr>
          <w:color w:val="000000"/>
        </w:rPr>
        <w:t>Cobertura de los hooks y del ejecutor</w:t>
      </w:r>
    </w:p>
    <w:p>
      <w:r>
        <w:t>Los hooks reconocen varias escrituras y auditan comandos no interpretables. Synapser controla los parches mediante su ejecutor. Los modelos publicados documentan residuales por expiración con takeover y guard detenido más allá del TTL. La recuperación no usa el TTL como permiso para iniciar otro escritor. [S3–S4]</w:t>
      </w:r>
    </w:p>
    <w:p>
      <w:pPr>
        <w:pStyle w:val="Heading2"/>
      </w:pPr>
      <w:r>
        <w:rPr>
          <w:color w:val="000000"/>
        </w:rPr>
        <w:t>Presupuestos iniciales propuestos</w:t>
      </w:r>
    </w:p>
    <w:p>
      <w:r>
        <w:t>La demo admite tres agentes, hasta treinta pasos de herramienta por tarea y quince minutos por misión. El límite de tokens se configura al seleccionar el modelo y se registra por ejecución. Tras tres reintentos de una misma acción sin progreso, la tarea solicita replanificación o intervención; el supervisor no crea bucles de reintento ilimitados.</w:t>
      </w:r>
    </w:p>
    <w:p>
      <w:r>
        <w:t>La protección de rutas canonicaliza, prohíbe enlaces simbólicos en el MVP, rechaza escapes del workspace y comprueba el conjunto real del parche. Los logs no contienen credenciales. Los comandos de prueba se seleccionan de una lista revisada para el fixture y se ejecutan en un entorno sin acceso al estado del coordinador.</w:t>
      </w:r>
    </w:p>
    <w:p>
      <w:r>
        <w:br w:type="page"/>
      </w:r>
    </w:p>
    <w:p>
      <w:pPr>
        <w:pStyle w:val="Heading1"/>
      </w:pPr>
      <w:r>
        <w:rPr>
          <w:color w:val="000000"/>
        </w:rPr>
        <w:t>9 Criterios de aceptación</w:t>
      </w:r>
    </w:p>
    <w:p>
      <w:r>
        <w:t>Cada caso registra eventos, estado durable, contenido de archivos y observación del cliente. Las pruebas de concurrencia usan procesos reales. Los resultados de modelos TLA+ del motor no se presentan como prueba automática de los adaptadores ni del ejecutor nuevo. [S4]</w:t>
      </w:r>
    </w:p>
    <w:tbl>
      <w:tblPr>
        <w:tblW w:type="auto" w:w="0"/>
        <w:jc w:val="center"/>
        <w:tblLayout w:type="fixed"/>
        <w:tblLook w:firstColumn="1" w:firstRow="1" w:lastColumn="0" w:lastRow="0" w:noHBand="0" w:noVBand="1" w:val="04A0"/>
      </w:tblPr>
      <w:tblGrid>
        <w:gridCol w:w="720"/>
        <w:gridCol w:w="3960"/>
        <w:gridCol w:w="5400"/>
      </w:tblGrid>
      <w:tr>
        <w:trPr>
          <w:tblHeader/>
        </w:trPr>
        <w:tc>
          <w:tcPr>
            <w:tcW w:type="dxa" w:w="72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color w:val="FFFFFF"/>
                <w:sz w:val="20"/>
              </w:rPr>
              <w:t>ID</w:t>
            </w:r>
          </w:p>
        </w:tc>
        <w:tc>
          <w:tcPr>
            <w:tcW w:type="dxa" w:w="396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Preparación y acción</w:t>
            </w:r>
          </w:p>
        </w:tc>
        <w:tc>
          <w:tcPr>
            <w:tcW w:type="dxa" w:w="54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Resultado exigido</w:t>
            </w:r>
          </w:p>
        </w:tc>
      </w:tr>
      <w:tr>
        <w:trPr>
          <w:cantSplit/>
        </w:trPr>
        <w:tc>
          <w:tcPr>
            <w:tcW w:type="dxa" w:w="72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S01</w:t>
            </w:r>
          </w:p>
        </w:tc>
        <w:tc>
          <w:tcPr>
            <w:tcW w:type="dxa" w:w="396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Dos actores solicitan edición del mismo archivo.</w:t>
            </w:r>
          </w:p>
        </w:tc>
        <w:tc>
          <w:tcPr>
            <w:tcW w:type="dxa" w:w="54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Sólo uno empieza la mutación. El otro recibe el propietario y espera.</w:t>
            </w:r>
          </w:p>
        </w:tc>
      </w:tr>
      <w:tr>
        <w:trPr>
          <w:cantSplit/>
        </w:trPr>
        <w:tc>
          <w:tcPr>
            <w:tcW w:type="dxa" w:w="72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S02</w:t>
            </w:r>
          </w:p>
        </w:tc>
        <w:tc>
          <w:tcPr>
            <w:tcW w:type="dxa" w:w="396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Acción A solicita x e y; B ya tiene y.</w:t>
            </w:r>
          </w:p>
        </w:tc>
        <w:tc>
          <w:tcPr>
            <w:tcW w:type="dxa" w:w="54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A no escribe x ni obtiene un lote parcial utilizable.</w:t>
            </w:r>
          </w:p>
        </w:tc>
      </w:tr>
      <w:tr>
        <w:trPr>
          <w:cantSplit/>
        </w:trPr>
        <w:tc>
          <w:tcPr>
            <w:tcW w:type="dxa" w:w="72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S03</w:t>
            </w:r>
          </w:p>
        </w:tc>
        <w:tc>
          <w:tcPr>
            <w:tcW w:type="dxa" w:w="396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Cambiar el archivo después de que el agente lo leyó.</w:t>
            </w:r>
          </w:p>
        </w:tc>
        <w:tc>
          <w:tcPr>
            <w:tcW w:type="dxa" w:w="54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El parche se rechaza con STALE_VIEW y exige relectura.</w:t>
            </w:r>
          </w:p>
        </w:tc>
      </w:tr>
      <w:tr>
        <w:trPr>
          <w:cantSplit/>
        </w:trPr>
        <w:tc>
          <w:tcPr>
            <w:tcW w:type="dxa" w:w="72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S04</w:t>
            </w:r>
          </w:p>
        </w:tc>
        <w:tc>
          <w:tcPr>
            <w:tcW w:type="dxa" w:w="396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Perder el recibo tras aplicar y repetir action_id.</w:t>
            </w:r>
          </w:p>
        </w:tc>
        <w:tc>
          <w:tcPr>
            <w:tcW w:type="dxa" w:w="54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Se devuelve el resultado conciliado sin volver a aplicar el cambio.</w:t>
            </w:r>
          </w:p>
        </w:tc>
      </w:tr>
      <w:tr>
        <w:trPr>
          <w:cantSplit/>
        </w:trPr>
        <w:tc>
          <w:tcPr>
            <w:tcW w:type="dxa" w:w="72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S05</w:t>
            </w:r>
          </w:p>
        </w:tc>
        <w:tc>
          <w:tcPr>
            <w:tcW w:type="dxa" w:w="396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Matar el ejecutor entre dos reemplazos de archivo.</w:t>
            </w:r>
          </w:p>
        </w:tc>
        <w:tc>
          <w:tcPr>
            <w:tcW w:type="dxa" w:w="54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El reinicio detecta la acción parcial y bloquea dependientes hasta conciliar.</w:t>
            </w:r>
          </w:p>
        </w:tc>
      </w:tr>
      <w:tr>
        <w:trPr>
          <w:cantSplit/>
        </w:trPr>
        <w:tc>
          <w:tcPr>
            <w:tcW w:type="dxa" w:w="72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S06</w:t>
            </w:r>
          </w:p>
        </w:tc>
        <w:tc>
          <w:tcPr>
            <w:tcW w:type="dxa" w:w="396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Hacer stale a un propietario y lanzar un competidor.</w:t>
            </w:r>
          </w:p>
        </w:tc>
        <w:tc>
          <w:tcPr>
            <w:tcW w:type="dxa" w:w="54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La expiración de presencia no concede por sí sola el recurso.</w:t>
            </w:r>
          </w:p>
        </w:tc>
      </w:tr>
      <w:tr>
        <w:trPr>
          <w:cantSplit/>
        </w:trPr>
        <w:tc>
          <w:tcPr>
            <w:tcW w:type="dxa" w:w="72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S07</w:t>
            </w:r>
          </w:p>
        </w:tc>
        <w:tc>
          <w:tcPr>
            <w:tcW w:type="dxa" w:w="396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Reiniciar una sesión y enviar una petición de la encarnación anterior.</w:t>
            </w:r>
          </w:p>
        </w:tc>
        <w:tc>
          <w:tcPr>
            <w:tcW w:type="dxa" w:w="54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Se rechaza la petición anterior y se conserva la identidad propietaria para rejoin.</w:t>
            </w:r>
          </w:p>
        </w:tc>
      </w:tr>
      <w:tr>
        <w:trPr>
          <w:cantSplit/>
        </w:trPr>
        <w:tc>
          <w:tcPr>
            <w:tcW w:type="dxa" w:w="72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S08</w:t>
            </w:r>
          </w:p>
        </w:tc>
        <w:tc>
          <w:tcPr>
            <w:tcW w:type="dxa" w:w="396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Un agente declara éxito con tests fallidos.</w:t>
            </w:r>
          </w:p>
        </w:tc>
        <w:tc>
          <w:tcPr>
            <w:tcW w:type="dxa" w:w="54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La tarea permanece sin completar y registra el fallo de validación.</w:t>
            </w:r>
          </w:p>
        </w:tc>
      </w:tr>
      <w:tr>
        <w:trPr>
          <w:cantSplit/>
        </w:trPr>
        <w:tc>
          <w:tcPr>
            <w:tcW w:type="dxa" w:w="72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S09</w:t>
            </w:r>
          </w:p>
        </w:tc>
        <w:tc>
          <w:tcPr>
            <w:tcW w:type="dxa" w:w="396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Zoanthrope falla antes de adquirir claims.</w:t>
            </w:r>
          </w:p>
        </w:tc>
        <w:tc>
          <w:tcPr>
            <w:tcW w:type="dxa" w:w="54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No ocurre ninguna nueva escritura mediada.</w:t>
            </w:r>
          </w:p>
        </w:tc>
      </w:tr>
      <w:tr>
        <w:trPr>
          <w:cantSplit/>
        </w:trPr>
        <w:tc>
          <w:tcPr>
            <w:tcW w:type="dxa" w:w="72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S10</w:t>
            </w:r>
          </w:p>
        </w:tc>
        <w:tc>
          <w:tcPr>
            <w:tcW w:type="dxa" w:w="396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Intentar una ruta externa, shell libre o escribir al coordinador.</w:t>
            </w:r>
          </w:p>
        </w:tc>
        <w:tc>
          <w:tcPr>
            <w:tcW w:type="dxa" w:w="54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La petición se rechaza antes de afectar el workspace.</w:t>
            </w:r>
          </w:p>
        </w:tc>
      </w:tr>
      <w:tr>
        <w:trPr>
          <w:cantSplit/>
        </w:trPr>
        <w:tc>
          <w:tcPr>
            <w:tcW w:type="dxa" w:w="72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S11</w:t>
            </w:r>
          </w:p>
        </w:tc>
        <w:tc>
          <w:tcPr>
            <w:tcW w:type="dxa" w:w="396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Modificar un archivo después de validar su tarea.</w:t>
            </w:r>
          </w:p>
        </w:tc>
        <w:tc>
          <w:tcPr>
            <w:tcW w:type="dxa" w:w="54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Se invalida la validación afectada y se ejecuta otra sobre el snapshot nuevo.</w:t>
            </w:r>
          </w:p>
        </w:tc>
      </w:tr>
      <w:tr>
        <w:trPr>
          <w:cantSplit/>
        </w:trPr>
        <w:tc>
          <w:tcPr>
            <w:tcW w:type="dxa" w:w="72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S12</w:t>
            </w:r>
          </w:p>
        </w:tc>
        <w:tc>
          <w:tcPr>
            <w:tcW w:type="dxa" w:w="396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Completar una misión real con tres agentes y una interrupción.</w:t>
            </w:r>
          </w:p>
        </w:tc>
        <w:tc>
          <w:tcPr>
            <w:tcW w:type="dxa" w:w="54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Diff revisable, aceptación final y trazas enlazadas; ninguna acción incierta queda oculta.</w:t>
            </w:r>
          </w:p>
        </w:tc>
      </w:tr>
      <w:tr>
        <w:trPr>
          <w:cantSplit/>
        </w:trPr>
        <w:tc>
          <w:tcPr>
            <w:tcW w:type="dxa" w:w="72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center"/>
            </w:pPr>
            <w:r>
              <w:rPr>
                <w:rFonts w:ascii="Arial" w:hAnsi="Arial"/>
                <w:b w:val="0"/>
                <w:color w:val="111111"/>
                <w:sz w:val="20"/>
              </w:rPr>
              <w:t>S13</w:t>
            </w:r>
          </w:p>
        </w:tc>
        <w:tc>
          <w:tcPr>
            <w:tcW w:type="dxa" w:w="396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Detener un subproceso de coordinación más allá del TTL.</w:t>
            </w:r>
          </w:p>
        </w:tc>
        <w:tc>
          <w:tcPr>
            <w:tcW w:type="dxa" w:w="54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No se admite otra llamada mutante hasta confirmar su salida y conciliar el estado.</w:t>
            </w:r>
          </w:p>
        </w:tc>
      </w:tr>
    </w:tbl>
    <w:p>
      <w:pPr>
        <w:spacing w:after="20" w:before="0" w:line="240" w:lineRule="auto"/>
      </w:pPr>
      <w:r>
        <w:rPr>
          <w:sz w:val="2"/>
        </w:rPr>
      </w:r>
    </w:p>
    <w:p>
      <w:r>
        <w:br w:type="page"/>
      </w:r>
    </w:p>
    <w:p>
      <w:pPr>
        <w:pStyle w:val="Heading1"/>
      </w:pPr>
      <w:r>
        <w:rPr>
          <w:color w:val="000000"/>
        </w:rPr>
        <w:t>10 Demostración y evaluación</w:t>
      </w:r>
    </w:p>
    <w:p>
      <w:pPr>
        <w:pStyle w:val="Heading2"/>
      </w:pPr>
      <w:r>
        <w:rPr>
          <w:color w:val="000000"/>
        </w:rPr>
        <w:t>Misión del fixture</w:t>
      </w:r>
    </w:p>
    <w:p>
      <w:r>
        <w:t>Agregar descuentos por cliente a una biblioteca Python de facturación con un consumidor local, pruebas unittest y documentación. Dos tareas deben necesitar un archivo compartido de forma deliberada. Existe además una tarea independiente para mostrar trabajo útil mientras otro agente espera.</w:t>
      </w:r>
    </w:p>
    <w:tbl>
      <w:tblPr>
        <w:tblW w:type="auto" w:w="0"/>
        <w:jc w:val="center"/>
        <w:tblLayout w:type="fixed"/>
        <w:tblLook w:firstColumn="1" w:firstRow="1" w:lastColumn="0" w:lastRow="0" w:noHBand="0" w:noVBand="1" w:val="04A0"/>
      </w:tblPr>
      <w:tblGrid>
        <w:gridCol w:w="1656"/>
        <w:gridCol w:w="8424"/>
      </w:tblGrid>
      <w:tr>
        <w:trPr>
          <w:tblHeader/>
        </w:trPr>
        <w:tc>
          <w:tcPr>
            <w:tcW w:type="dxa" w:w="1656"/>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Tiempo</w:t>
            </w:r>
          </w:p>
        </w:tc>
        <w:tc>
          <w:tcPr>
            <w:tcW w:type="dxa" w:w="8424"/>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Evidencia visible</w:t>
            </w:r>
          </w:p>
        </w:tc>
      </w:tr>
      <w:tr>
        <w:trPr>
          <w:cantSplit/>
        </w:trPr>
        <w:tc>
          <w:tcPr>
            <w:tcW w:type="dxa" w:w="165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0 a 25 s</w:t>
            </w:r>
          </w:p>
        </w:tc>
        <w:tc>
          <w:tcPr>
            <w:tcW w:type="dxa" w:w="842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Objetivo, criterios y plan de tres agentes. Se inicia la misión y se muestra el modelo utilizado.</w:t>
            </w:r>
          </w:p>
        </w:tc>
      </w:tr>
      <w:tr>
        <w:trPr>
          <w:cantSplit/>
        </w:trPr>
        <w:tc>
          <w:tcPr>
            <w:tcW w:type="dxa" w:w="165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25 a 65 s</w:t>
            </w:r>
          </w:p>
        </w:tc>
        <w:tc>
          <w:tcPr>
            <w:tcW w:type="dxa" w:w="842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Trabajo concurrente, dos intentos sobre el archivo compartido, propietario visible y una tarea independiente admitida.</w:t>
            </w:r>
          </w:p>
        </w:tc>
      </w:tr>
      <w:tr>
        <w:trPr>
          <w:cantSplit/>
        </w:trPr>
        <w:tc>
          <w:tcPr>
            <w:tcW w:type="dxa" w:w="165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65 a 110 s</w:t>
            </w:r>
          </w:p>
        </w:tc>
        <w:tc>
          <w:tcPr>
            <w:tcW w:type="dxa" w:w="842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Interrupción controlada y rejoin. El sistema muestra qué conserva y qué debe releer o conciliar.</w:t>
            </w:r>
          </w:p>
        </w:tc>
      </w:tr>
      <w:tr>
        <w:trPr>
          <w:cantSplit/>
        </w:trPr>
        <w:tc>
          <w:tcPr>
            <w:tcW w:type="dxa" w:w="165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110 a 150 s</w:t>
            </w:r>
          </w:p>
        </w:tc>
        <w:tc>
          <w:tcPr>
            <w:tcW w:type="dxa" w:w="842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Cambios aplicados, pruebas del snapshot final y tareas completadas con evidencia.</w:t>
            </w:r>
          </w:p>
        </w:tc>
      </w:tr>
      <w:tr>
        <w:trPr>
          <w:cantSplit/>
        </w:trPr>
        <w:tc>
          <w:tcPr>
            <w:tcW w:type="dxa" w:w="165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150 a 175 s</w:t>
            </w:r>
          </w:p>
        </w:tc>
        <w:tc>
          <w:tcPr>
            <w:tcW w:type="dxa" w:w="842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Diff, traza y consumo. Resumen de una evaluación con y sin coordinación.</w:t>
            </w:r>
          </w:p>
        </w:tc>
      </w:tr>
    </w:tbl>
    <w:p>
      <w:pPr>
        <w:spacing w:after="20" w:before="0" w:line="240" w:lineRule="auto"/>
      </w:pPr>
      <w:r>
        <w:rPr>
          <w:sz w:val="2"/>
        </w:rPr>
      </w:r>
    </w:p>
    <w:p>
      <w:r>
        <w:t>El video puede resumir tiempos de espera mediante cortes identificados. La demo alojada debe ejecutar la misión real, con límites visibles y un workspace nuevo por sesión. Un replay se rotula como registro de una ejecución y no sustituye el camino funcional.</w:t>
      </w:r>
    </w:p>
    <w:p>
      <w:pPr>
        <w:pStyle w:val="Heading2"/>
      </w:pPr>
      <w:r>
        <w:rPr>
          <w:color w:val="000000"/>
        </w:rPr>
        <w:t>Comparación propuesta</w:t>
      </w:r>
    </w:p>
    <w:p>
      <w:r>
        <w:t>Evaluar tres condiciones: ejecución serial, ejecución concurrente sin coordinación y ejecución concurrente con Synapser. Mantener commits iniciales, tareas, modelo, parámetros y presupuestos. Registrar las variaciones de los modelos y conservar todas las corridas, incluidos los fallos.</w:t>
      </w:r>
    </w:p>
    <w:p>
      <w:r>
        <w:t>La condición sin coordinación se ejecuta sólo en un fixture desechable. Para aislar el arbitraje de Zoanthrope, desactivar sus claims y la espera por recurso, manteniendo prompts, digests, permisos y oracle. Si el broker introduce otra exclusión sobre los mismos archivos, esta comparación no permite atribuirle el resultado a Zoanthrope; se evalúa el producto completo como otra condición.</w:t>
      </w:r>
    </w:p>
    <w:p>
      <w:r>
        <w:t>Medir cumplimiento de criterios, trabajo perdido, conflictos, reintentos, tiempo de espera, tiempo total, tokens y recuperación. Una reducción de conflictos observados no basta: comprobar también el contenido final y las pruebas. El conjunto inicial propuesto incluye cinco repeticiones por condición y fallos dirigidos para S01 a S11 y S13.</w:t>
      </w:r>
    </w:p>
    <w:p>
      <w:pPr>
        <w:pStyle w:val="Heading2"/>
      </w:pPr>
      <w:r>
        <w:rPr>
          <w:color w:val="000000"/>
        </w:rPr>
        <w:t>Qué demuestra el uso de NVIDIA y Nebius</w:t>
      </w:r>
    </w:p>
    <w:p>
      <w:r>
        <w:t>Nemotron participa en la descomposición, la generación de cambios y la propuesta de recuperación. Token Factory recibe esas llamadas durante la misión. La traza muestra modelo, latencia y consumo sin exponer credenciales; Zoanthrope conserva el arbitraje determinista de archivos. [S6]</w:t>
      </w:r>
    </w:p>
    <w:p>
      <w:r>
        <w:br w:type="page"/>
      </w:r>
    </w:p>
    <w:p>
      <w:pPr>
        <w:pStyle w:val="Heading1"/>
      </w:pPr>
      <w:r>
        <w:rPr>
          <w:color w:val="000000"/>
        </w:rPr>
        <w:t>11 Plan y decisiones de implementación</w:t>
      </w:r>
    </w:p>
    <w:tbl>
      <w:tblPr>
        <w:tblW w:type="auto" w:w="0"/>
        <w:jc w:val="center"/>
        <w:tblLayout w:type="fixed"/>
        <w:tblLook w:firstColumn="1" w:firstRow="1" w:lastColumn="0" w:lastRow="0" w:noHBand="0" w:noVBand="1" w:val="04A0"/>
      </w:tblPr>
      <w:tblGrid>
        <w:gridCol w:w="1728"/>
        <w:gridCol w:w="8352"/>
      </w:tblGrid>
      <w:tr>
        <w:trPr>
          <w:tblHeader/>
        </w:trPr>
        <w:tc>
          <w:tcPr>
            <w:tcW w:type="dxa" w:w="1728"/>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Ventana</w:t>
            </w:r>
          </w:p>
        </w:tc>
        <w:tc>
          <w:tcPr>
            <w:tcW w:type="dxa" w:w="8352"/>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Entrega y condición de salida</w:t>
            </w:r>
          </w:p>
        </w:tc>
      </w:tr>
      <w:tr>
        <w:trPr>
          <w:cantSplit/>
        </w:trPr>
        <w:tc>
          <w:tcPr>
            <w:tcW w:type="dxa" w:w="172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13 a 16 oct</w:t>
            </w:r>
          </w:p>
        </w:tc>
        <w:tc>
          <w:tcPr>
            <w:tcW w:type="dxa" w:w="835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Fijar Zoanthrope y crear el fixture. El adaptador pasa claims, conflictos y rejoin con el binario real.</w:t>
            </w:r>
          </w:p>
        </w:tc>
      </w:tr>
      <w:tr>
        <w:trPr>
          <w:cantSplit/>
        </w:trPr>
        <w:tc>
          <w:tcPr>
            <w:tcW w:type="dxa" w:w="172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17 a 21 oct</w:t>
            </w:r>
          </w:p>
        </w:tc>
        <w:tc>
          <w:tcPr>
            <w:tcW w:type="dxa" w:w="835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Construir journal, ejecutor y conciliación. S01 a S07 pasan sin depender de decisiones del modelo.</w:t>
            </w:r>
          </w:p>
        </w:tc>
      </w:tr>
      <w:tr>
        <w:trPr>
          <w:cantSplit/>
        </w:trPr>
        <w:tc>
          <w:tcPr>
            <w:tcW w:type="dxa" w:w="172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22 a 25 oct</w:t>
            </w:r>
          </w:p>
        </w:tc>
        <w:tc>
          <w:tcPr>
            <w:tcW w:type="dxa" w:w="835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Integrar agentes Nemotron, tareas y UI. La misión funciona con pruebas sobre un snapshot identificado.</w:t>
            </w:r>
          </w:p>
        </w:tc>
      </w:tr>
      <w:tr>
        <w:trPr>
          <w:cantSplit/>
        </w:trPr>
        <w:tc>
          <w:tcPr>
            <w:tcW w:type="dxa" w:w="172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26 a 28 oct</w:t>
            </w:r>
          </w:p>
        </w:tc>
        <w:tc>
          <w:tcPr>
            <w:tcW w:type="dxa" w:w="835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Validar fallos, límites y corridas comparables. Cerrar S08 a S18 y registrar costes.</w:t>
            </w:r>
          </w:p>
        </w:tc>
      </w:tr>
      <w:tr>
        <w:trPr>
          <w:cantSplit/>
        </w:trPr>
        <w:tc>
          <w:tcPr>
            <w:tcW w:type="dxa" w:w="172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29 a 30 oct</w:t>
            </w:r>
          </w:p>
        </w:tc>
        <w:tc>
          <w:tcPr>
            <w:tcW w:type="dxa" w:w="835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Congelar versión, instalación reproducible, demo y video. Presentar antes del cierre.</w:t>
            </w:r>
          </w:p>
        </w:tc>
      </w:tr>
    </w:tbl>
    <w:p>
      <w:pPr>
        <w:spacing w:after="20" w:before="0" w:line="240" w:lineRule="auto"/>
      </w:pPr>
      <w:r>
        <w:rPr>
          <w:sz w:val="2"/>
        </w:rPr>
      </w:r>
    </w:p>
    <w:p>
      <w:pPr>
        <w:pStyle w:val="Heading2"/>
      </w:pPr>
      <w:r>
        <w:rPr>
          <w:color w:val="000000"/>
        </w:rPr>
        <w:t>Decisiones de diseño</w:t>
      </w:r>
    </w:p>
    <w:p>
      <w:pPr>
        <w:pStyle w:val="ListBullet"/>
      </w:pPr>
      <w:r>
        <w:t>Un ejecutor central y herramientas estructuradas. Simplifica la frontera de escritura y la recuperación; limita inicialmente la libertad de shell de los agentes.</w:t>
      </w:r>
    </w:p>
    <w:p>
      <w:pPr>
        <w:pStyle w:val="ListBullet"/>
      </w:pPr>
      <w:r>
        <w:t>Claims por acción y adquisición del lote completo. Reduce retención de recursos y evita que una espera bloquee archivos ya adquiridos parcialmente.</w:t>
      </w:r>
    </w:p>
    <w:p>
      <w:pPr>
        <w:pStyle w:val="ListBullet"/>
      </w:pPr>
      <w:r>
        <w:t>SQLite guarda estado y eventos; el journal referencia artefactos de archivos. La persistencia del control no se confunde con una transacción atómica del filesystem.</w:t>
      </w:r>
    </w:p>
    <w:p>
      <w:pPr>
        <w:pStyle w:val="ListBullet"/>
      </w:pPr>
      <w:r>
        <w:t>Identidad propietaria estable y encarnación local por sesión. Permite rejoin y rechaza mensajes tardíos; no introduce una promesa de fencing distribuido en Zoanthrope.</w:t>
      </w:r>
    </w:p>
    <w:p>
      <w:pPr>
        <w:pStyle w:val="ListBullet"/>
      </w:pPr>
      <w:r>
        <w:t>El MVP recupera al mismo propietario. Transferir tareas con acciones pendientes exige un protocolo explícito y queda fuera de la reasignación automática inicial.</w:t>
      </w:r>
    </w:p>
    <w:p>
      <w:pPr>
        <w:pStyle w:val="Heading2"/>
      </w:pPr>
      <w:r>
        <w:rPr>
          <w:color w:val="000000"/>
        </w:rPr>
        <w:t>Decisiones pendientes con una opción inicial</w:t>
      </w:r>
    </w:p>
    <w:p>
      <w:r>
        <w:t>Modelo inicial (reemplazado en v0.3, ver sección 21): Nemotron 3 Nano 30B A3B; confirmar tool calling y fijar NEBIUS_MODEL para las corridas comparables. Aislamiento: contenedores con montaje de sólo lectura para agentes y pruebas, y escritura exclusiva del ejecutor. Cambios del plan: permitir reordenar tareas sin ampliar alcance; pedir aceptación de una nueva revisión cuando cambien recursos o criterios.</w:t>
      </w:r>
    </w:p>
    <w:p>
      <w:r>
        <w:t>Si el plazo se estrecha, se mantiene la misión acotada, la recuperación del mismo agente y la validación final. Se posponen scheduler adaptativo avanzado, recursos distintos de archivos y adaptadores para otros clientes. Ninguno es necesario para demostrar la utilidad de la coordinación.</w:t>
      </w:r>
    </w:p>
    <w:p>
      <w:r>
        <w:t>El cierre es el 30 de octubre de 2026 a las 14:00 de Santiago. Mantener la demo disponible durante el período de evaluación anunciado del 1 al 15 de diciembre y describir las mejoras realizadas desde el inicio de la hackathon. [S6]</w:t>
      </w:r>
    </w:p>
    <w:p>
      <w:r>
        <w:br w:type="page"/>
      </w:r>
    </w:p>
    <w:p>
      <w:pPr>
        <w:pStyle w:val="Heading1"/>
      </w:pPr>
      <w:r>
        <w:rPr>
          <w:color w:val="000000"/>
        </w:rPr>
        <w:t>12 Matriz de reutilización y brechas</w:t>
      </w:r>
    </w:p>
    <w:p>
      <w:r>
        <w:t>Zoanthrope 0.1.3 es el plano de coordinación de archivos, no un runtime de misiones. Synapser debe reutilizar esa autoridad y construir el supervisor, la ejecución de herramientas y el ciclo de aceptación alrededor de ella. [S1–S5, S8–S10]</w:t>
      </w:r>
    </w:p>
    <w:tbl>
      <w:tblPr>
        <w:tblW w:type="auto" w:w="0"/>
        <w:jc w:val="center"/>
        <w:tblLayout w:type="fixed"/>
        <w:tblLook w:firstColumn="1" w:firstRow="1" w:lastColumn="0" w:lastRow="0" w:noHBand="0" w:noVBand="1" w:val="04A0"/>
      </w:tblPr>
      <w:tblGrid>
        <w:gridCol w:w="2880"/>
        <w:gridCol w:w="7200"/>
      </w:tblGrid>
      <w:tr>
        <w:trPr>
          <w:tblHeader/>
        </w:trPr>
        <w:tc>
          <w:tcPr>
            <w:tcW w:type="dxa" w:w="288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Disponible en el motor</w:t>
            </w:r>
          </w:p>
        </w:tc>
        <w:tc>
          <w:tcPr>
            <w:tcW w:type="dxa" w:w="72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Uso y límite del derivado</w:t>
            </w:r>
          </w:p>
        </w:tc>
      </w:tr>
      <w:tr>
        <w:trPr>
          <w:cantSplit/>
        </w:trPr>
        <w:tc>
          <w:tcPr>
            <w:tcW w:type="dxa" w:w="28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Claims read/edit por archivo</w:t>
            </w:r>
          </w:p>
        </w:tc>
        <w:tc>
          <w:tcPr>
            <w:tcW w:type="dxa" w:w="72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Solicitar lotes completos; readers coexisten y edit entra en conflicto con read/edit ajenos. No convertir stamps de símbolos en locks de símbolos.</w:t>
            </w:r>
          </w:p>
        </w:tc>
      </w:tr>
      <w:tr>
        <w:trPr>
          <w:cantSplit/>
        </w:trPr>
        <w:tc>
          <w:tcPr>
            <w:tcW w:type="dxa" w:w="28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Identidad por nombre y presencia</w:t>
            </w:r>
          </w:p>
        </w:tc>
        <w:tc>
          <w:tcPr>
            <w:tcW w:type="dxa" w:w="72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El nombre es estable y se registra implícitamente. Synapser autentica sesiones, fija actor_owner y controla incarnation; el motor no proporciona tokens de sesión.</w:t>
            </w:r>
          </w:p>
        </w:tc>
      </w:tr>
      <w:tr>
        <w:trPr>
          <w:cantSplit/>
        </w:trPr>
        <w:tc>
          <w:tcPr>
            <w:tcW w:type="dxa" w:w="28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Canonicalización de paths</w:t>
            </w:r>
          </w:p>
        </w:tc>
        <w:tc>
          <w:tcPr>
            <w:tcW w:type="dxa" w:w="72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Unifica alias y prefijos existentes. También acepta paths exteriores como claves absolutas: Synapser debe imponer contención del workspace.</w:t>
            </w:r>
          </w:p>
        </w:tc>
      </w:tr>
      <w:tr>
        <w:trPr>
          <w:cantSplit/>
        </w:trPr>
        <w:tc>
          <w:tcPr>
            <w:tcW w:type="dxa" w:w="28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Fingerprint y stale_check</w:t>
            </w:r>
          </w:p>
        </w:tc>
        <w:tc>
          <w:tcPr>
            <w:tcW w:type="dxa" w:w="72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El motor captura mtime/size y SHA256 hasta 256 KiB. El ejecutor agrega hashes completos de bytes para todas sus entradas; caller stamps son opacos.</w:t>
            </w:r>
          </w:p>
        </w:tc>
      </w:tr>
      <w:tr>
        <w:trPr>
          <w:cantSplit/>
        </w:trPr>
        <w:tc>
          <w:tcPr>
            <w:tcW w:type="dxa" w:w="28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Rejoin y postboard</w:t>
            </w:r>
          </w:p>
        </w:tc>
        <w:tc>
          <w:tcPr>
            <w:tcW w:type="dxa" w:w="72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Recuperar el mismo propietario y mostrar intención. Ni claims_kept ni un post done prueban que el parche o los tests estén completos.</w:t>
            </w:r>
          </w:p>
        </w:tc>
      </w:tr>
      <w:tr>
        <w:trPr>
          <w:cantSplit/>
        </w:trPr>
        <w:tc>
          <w:tcPr>
            <w:tcW w:type="dxa" w:w="28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Persistencia y audit ring</w:t>
            </w:r>
          </w:p>
        </w:tc>
        <w:tc>
          <w:tcPr>
            <w:tcW w:type="dxa" w:w="72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Reutilizar estado de coordinación. El ring está acotado; el journal de misión, eventos y artefactos deben conservarse aparte.</w:t>
            </w:r>
          </w:p>
        </w:tc>
      </w:tr>
      <w:tr>
        <w:trPr>
          <w:cantSplit/>
        </w:trPr>
        <w:tc>
          <w:tcPr>
            <w:tcW w:type="dxa" w:w="28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Hooks y parser de Bash</w:t>
            </w:r>
          </w:p>
        </w:tc>
        <w:tc>
          <w:tcPr>
            <w:tcW w:type="dxa" w:w="72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Reutilizar en pruebas comparables del motor. No usarlos como aislamiento de ejecución universal; comandos no reconocidos quedan fuera de la protección completa.</w:t>
            </w:r>
          </w:p>
        </w:tc>
      </w:tr>
    </w:tbl>
    <w:p>
      <w:pPr>
        <w:spacing w:after="20" w:before="0" w:line="240" w:lineRule="auto"/>
      </w:pPr>
      <w:r>
        <w:rPr>
          <w:sz w:val="2"/>
        </w:rPr>
      </w:r>
    </w:p>
    <w:p>
      <w:pPr>
        <w:pStyle w:val="Heading2"/>
      </w:pPr>
      <w:r>
        <w:rPr>
          <w:color w:val="000000"/>
        </w:rPr>
        <w:t>Desarrollo nuevo indispensable</w:t>
      </w:r>
    </w:p>
    <w:p>
      <w:r>
        <w:t>Son responsabilidad de Synapser el DAG de tareas, la admisión, el bucle Nemotron, el broker de parches, los snapshots para tests, los recibos, la conciliación tras crash y la UI. La fase inicial usa tres agentes y un host; ampliar a varios hosts exige otro contrato de fencing y persistencia.</w:t>
      </w:r>
    </w:p>
    <w:p>
      <w:r>
        <w:t>Un broker central no significa serializar todos los parches. Las llamadas que modifican estado de Zoanthrope se serializan, pero acciones con claims disjuntos pueden aplicar cambios al mismo tiempo. Una acción conserva sus claims hasta confirmar o conciliar el efecto; por eso otra acción puede recibir un conflicto real durante ese intervalo. El mapa de acciones registra actividad; no sustituye el arbitraje de Zoo por otro lock de archivos.</w:t>
      </w:r>
    </w:p>
    <w:p>
      <w:r>
        <w:br w:type="page"/>
      </w:r>
    </w:p>
    <w:p>
      <w:pPr>
        <w:pStyle w:val="Heading1"/>
      </w:pPr>
      <w:r>
        <w:rPr>
          <w:color w:val="000000"/>
        </w:rPr>
        <w:t>13 Contrato del adaptador Zoanthrope</w:t>
      </w:r>
    </w:p>
    <w:p>
      <w:r>
        <w:t>Transporte elegido: un proceso del binario real zoanthrope mcp --workspace &lt;ruta&gt;, con JSON-RPC por líneas. Exigir que --version devuelva zoanthrope 0.1.3, y verificar handshake y tools/list. El protocolo declarado es 2024-11-05; conservar IDs y esperar cada respuesta mutante antes de emitir la siguiente. CLI queda para diagnóstico y smoke tests. [S2, S8–S9]</w:t>
      </w:r>
    </w:p>
    <w:p>
      <w:pPr>
        <w:pStyle w:val="Code"/>
      </w:pPr>
      <w:r>
        <w:t>tools/call claim_files</w:t>
        <w:br/>
        <w:t>{"agent_id":"run-42:task-api","mode":"claim",</w:t>
        <w:br/>
        <w:t xml:space="preserve"> "intent":"edit","files":["app/billing.py","app/schema.py"],</w:t>
        <w:br/>
        <w:t xml:space="preserve"> "purpose":"action-17: agregar descuento"}</w:t>
        <w:br/>
        <w:br/>
        <w:t>tools/call claim_files</w:t>
        <w:br/>
        <w:t>{"agent_id":"run-42:task-api","mode":"release",</w:t>
        <w:br/>
        <w:t xml:space="preserve"> "files":["app/billing.py","app/schema.py"]}</w:t>
      </w:r>
    </w:p>
    <w:tbl>
      <w:tblPr>
        <w:tblW w:type="auto" w:w="0"/>
        <w:jc w:val="center"/>
        <w:tblLayout w:type="fixed"/>
        <w:tblLook w:firstColumn="1" w:firstRow="1" w:lastColumn="0" w:lastRow="0" w:noHBand="0" w:noVBand="1" w:val="04A0"/>
      </w:tblPr>
      <w:tblGrid>
        <w:gridCol w:w="3024"/>
        <w:gridCol w:w="7056"/>
      </w:tblGrid>
      <w:tr>
        <w:trPr>
          <w:tblHeader/>
        </w:trPr>
        <w:tc>
          <w:tcPr>
            <w:tcW w:type="dxa" w:w="3024"/>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Respuesta real</w:t>
            </w:r>
          </w:p>
        </w:tc>
        <w:tc>
          <w:tcPr>
            <w:tcW w:type="dxa" w:w="7056"/>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Decisión de Synapser</w:t>
            </w:r>
          </w:p>
        </w:tc>
      </w:tr>
      <w:tr>
        <w:trPr>
          <w:cantSplit/>
        </w:trPr>
        <w:tc>
          <w:tcPr>
            <w:tcW w:type="dxa" w:w="302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isError=false y cuerpo ok=true</w:t>
            </w:r>
          </w:p>
        </w:tc>
        <w:tc>
          <w:tcPr>
            <w:tcW w:type="dxa" w:w="705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Validar granted y exigir conjunto canónico completo e intent esperado. Correlacionar con el actor de la request: cada grant no incluye un campo agent. Después comprobar digests.</w:t>
            </w:r>
          </w:p>
        </w:tc>
      </w:tr>
      <w:tr>
        <w:trPr>
          <w:cantSplit/>
        </w:trPr>
        <w:tc>
          <w:tcPr>
            <w:tcW w:type="dxa" w:w="302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isError=false y cuerpo ok=false</w:t>
            </w:r>
          </w:p>
        </w:tc>
        <w:tc>
          <w:tcPr>
            <w:tcW w:type="dxa" w:w="705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Es un rechazo de negocio, no un grant. Conservar holder, path, holder_stale, intent, reason y caller_stamps que estén presentes.</w:t>
            </w:r>
          </w:p>
        </w:tc>
      </w:tr>
      <w:tr>
        <w:trPr>
          <w:cantSplit/>
        </w:trPr>
        <w:tc>
          <w:tcPr>
            <w:tcW w:type="dxa" w:w="302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isError=true / JSON-RPC error</w:t>
            </w:r>
          </w:p>
        </w:tc>
        <w:tc>
          <w:tcPr>
            <w:tcW w:type="dxa" w:w="705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No hubo una respuesta utilizable. Registrar dependencia fallida; no transformar el error en concesión advisory.</w:t>
            </w:r>
          </w:p>
        </w:tc>
      </w:tr>
      <w:tr>
        <w:trPr>
          <w:cantSplit/>
        </w:trPr>
        <w:tc>
          <w:tcPr>
            <w:tcW w:type="dxa" w:w="302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mode=release y released</w:t>
            </w:r>
          </w:p>
        </w:tc>
        <w:tc>
          <w:tcPr>
            <w:tcW w:type="dxa" w:w="705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Verificar los claims retirados del registro. El handler ignora algunos errores de fs_lease::release: no certificar limpieza total de leases a partir de esa lista.</w:t>
            </w:r>
          </w:p>
        </w:tc>
      </w:tr>
      <w:tr>
        <w:trPr>
          <w:cantSplit/>
        </w:trPr>
        <w:tc>
          <w:tcPr>
            <w:tcW w:type="dxa" w:w="302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register_agent</w:t>
            </w:r>
          </w:p>
        </w:tc>
        <w:tc>
          <w:tcPr>
            <w:tcW w:type="dxa" w:w="705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El argumento es name, no agent_id. Para refrescar presencia usar el nombre fijado por el backend; claim/post también pueden registrarlo implícitamente.</w:t>
            </w:r>
          </w:p>
        </w:tc>
      </w:tr>
      <w:tr>
        <w:trPr>
          <w:cantSplit/>
        </w:trPr>
        <w:tc>
          <w:tcPr>
            <w:tcW w:type="dxa" w:w="302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rejoin_agent</w:t>
            </w:r>
          </w:p>
        </w:tc>
        <w:tc>
          <w:tcPr>
            <w:tcW w:type="dxa" w:w="705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Validar claims_kept, claims_at_risk y view_epoch. No usar epoch como fencing token del filesystem.</w:t>
            </w:r>
          </w:p>
        </w:tc>
      </w:tr>
    </w:tbl>
    <w:p>
      <w:pPr>
        <w:spacing w:after="20" w:before="0" w:line="240" w:lineRule="auto"/>
      </w:pPr>
      <w:r>
        <w:rPr>
          <w:sz w:val="2"/>
        </w:rPr>
      </w:r>
    </w:p>
    <w:p>
      <w:r>
        <w:t>En MCP la liberación se solicita con claim_files(mode=release); release es un subcomando CLI. Zoo devuelve JSON dentro de result.content[].text y no structuredContent. Este parser difiere del adaptador LAIN y necesita pruebas propias. Los modelos sólo llaman herramientas de Synapser: no reciben acceso directo a nombres, release o rejoin de otros agentes.</w:t>
      </w:r>
    </w:p>
    <w:p>
      <w:r>
        <w:br w:type="page"/>
      </w:r>
    </w:p>
    <w:p>
      <w:pPr>
        <w:pStyle w:val="Heading1"/>
      </w:pPr>
      <w:r>
        <w:rPr>
          <w:color w:val="000000"/>
        </w:rPr>
        <w:t>14 Concurrencia y toma de decisiones</w:t>
      </w:r>
    </w:p>
    <w:tbl>
      <w:tblPr>
        <w:tblW w:type="auto" w:w="0"/>
        <w:jc w:val="center"/>
        <w:tblLayout w:type="fixed"/>
        <w:tblLook w:firstColumn="1" w:firstRow="1" w:lastColumn="0" w:lastRow="0" w:noHBand="0" w:noVBand="1" w:val="04A0"/>
      </w:tblPr>
      <w:tblGrid>
        <w:gridCol w:w="2304"/>
        <w:gridCol w:w="7776"/>
      </w:tblGrid>
      <w:tr>
        <w:trPr>
          <w:tblHeader/>
        </w:trPr>
        <w:tc>
          <w:tcPr>
            <w:tcW w:type="dxa" w:w="2304"/>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Operación</w:t>
            </w:r>
          </w:p>
        </w:tc>
        <w:tc>
          <w:tcPr>
            <w:tcW w:type="dxa" w:w="7776"/>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Guard y efecto</w:t>
            </w:r>
          </w:p>
        </w:tc>
      </w:tr>
      <w:tr>
        <w:trPr>
          <w:cantSplit/>
        </w:trPr>
        <w:tc>
          <w:tcPr>
            <w:tcW w:type="dxa" w:w="230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Admitir tarea</w:t>
            </w:r>
          </w:p>
        </w:tc>
        <w:tc>
          <w:tcPr>
            <w:tcW w:type="dxa" w:w="777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Dependencias válidas, presupuesto y slot disponible. Reservar sesión/incarnation y registrar RUNNING antes de enviar trabajo al modelo.</w:t>
            </w:r>
          </w:p>
        </w:tc>
      </w:tr>
      <w:tr>
        <w:trPr>
          <w:cantSplit/>
        </w:trPr>
        <w:tc>
          <w:tcPr>
            <w:tcW w:type="dxa" w:w="230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Leer archivos</w:t>
            </w:r>
          </w:p>
        </w:tc>
        <w:tc>
          <w:tcPr>
            <w:tcW w:type="dxa" w:w="777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Pedir claims read para el conjunto, leer bytes y hashes, registrar vista y liberar. Si existe editor ajeno, esperar; el modelo trabaja luego sin mantener claims.</w:t>
            </w:r>
          </w:p>
        </w:tc>
      </w:tr>
      <w:tr>
        <w:trPr>
          <w:cantSplit/>
        </w:trPr>
        <w:tc>
          <w:tcPr>
            <w:tcW w:type="dxa" w:w="230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Preparar parche</w:t>
            </w:r>
          </w:p>
        </w:tc>
        <w:tc>
          <w:tcPr>
            <w:tcW w:type="dxa" w:w="777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El backend fija action_id y request_digest y deriva los archivos reales del patch. Un changed/new/deleted file debe estar en el alcance autorizado.</w:t>
            </w:r>
          </w:p>
        </w:tc>
      </w:tr>
      <w:tr>
        <w:trPr>
          <w:cantSplit/>
        </w:trPr>
        <w:tc>
          <w:tcPr>
            <w:tcW w:type="dxa" w:w="230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Adquirir para editar</w:t>
            </w:r>
          </w:p>
        </w:tc>
        <w:tc>
          <w:tcPr>
            <w:tcW w:type="dxa" w:w="777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Una llamada con intent=edit para todo el conjunto. Un rechazo no permite escribir un subconjunto. El orden de paths se estabiliza para trazabilidad.</w:t>
            </w:r>
          </w:p>
        </w:tc>
      </w:tr>
      <w:tr>
        <w:trPr>
          <w:cantSplit/>
        </w:trPr>
        <w:tc>
          <w:tcPr>
            <w:tcW w:type="dxa" w:w="230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Aplicar concurrentemente</w:t>
            </w:r>
          </w:p>
        </w:tc>
        <w:tc>
          <w:tcPr>
            <w:tcW w:type="dxa" w:w="777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Mantener claims y digests válidos. Sólo acciones con conjuntos disjuntos progresan a la vez; el broker mantiene su mapa de acciones activas.</w:t>
            </w:r>
          </w:p>
        </w:tc>
      </w:tr>
      <w:tr>
        <w:trPr>
          <w:cantSplit/>
        </w:trPr>
        <w:tc>
          <w:tcPr>
            <w:tcW w:type="dxa" w:w="230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Conflicto o STALE_VIEW</w:t>
            </w:r>
          </w:p>
        </w:tc>
        <w:tc>
          <w:tcPr>
            <w:tcW w:type="dxa" w:w="777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Un conflicto espera al recurso con backoff acotado. STALE_VIEW exige relectura y otro parche; nunca aplicar el patch anterior a bytes nuevos.</w:t>
            </w:r>
          </w:p>
        </w:tc>
      </w:tr>
      <w:tr>
        <w:trPr>
          <w:cantSplit/>
        </w:trPr>
        <w:tc>
          <w:tcPr>
            <w:tcW w:type="dxa" w:w="230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Cerrar misión</w:t>
            </w:r>
          </w:p>
        </w:tc>
        <w:tc>
          <w:tcPr>
            <w:tcW w:type="dxa" w:w="777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Cerrar admisiones, drenar y conciliar acciones, copiar una vista consistente, ejecutar aceptación y persistir resultado. Abrir nuevas escrituras invalida esa validación.</w:t>
            </w:r>
          </w:p>
        </w:tc>
      </w:tr>
    </w:tbl>
    <w:p>
      <w:pPr>
        <w:spacing w:after="20" w:before="0" w:line="240" w:lineRule="auto"/>
      </w:pPr>
      <w:r>
        <w:rPr>
          <w:sz w:val="2"/>
        </w:rPr>
      </w:r>
    </w:p>
    <w:p>
      <w:pPr>
        <w:pStyle w:val="Heading2"/>
      </w:pPr>
      <w:r>
        <w:rPr>
          <w:color w:val="000000"/>
        </w:rPr>
        <w:t>Scheduler inicial</w:t>
      </w:r>
    </w:p>
    <w:p>
      <w:r>
        <w:t>Cola determinista por prioridad y antigüedad, con round-robin entre tareas listas. Una sola acción no conciliada por actor_owner; no admitir otra que reutilice sus holdings. Los recursos declarados por el modelo sirven para sugerir orden, pero la adquisición real decide. Tras tres reintentos sin progreso se pausa la tarea para replantear; la UI conserva el motivo.</w:t>
      </w:r>
    </w:p>
    <w:p>
      <w:pPr>
        <w:pStyle w:val="Heading2"/>
      </w:pPr>
      <w:r>
        <w:rPr>
          <w:color w:val="000000"/>
        </w:rPr>
        <w:t>Identidad y rutas</w:t>
      </w:r>
    </w:p>
    <w:p>
      <w:r>
        <w:t>actor_owner se deriva de run_id + task_id y se conserva al reiniciar esa tarea. Las peticiones se autentican y el backend rechaza incarnation antigua. Canonicalizar contra el workspace real, comprobar contención y prohibir modificaciones de .git, .zoanthrope y del journal. Para el MVP, prohibir symlinks y operaciones de rename entre rutas; soportarlas después exige validar ambos extremos y sus padres.</w:t>
      </w:r>
    </w:p>
    <w:p>
      <w:r>
        <w:t>Los permisos del sistema operativo deben impedir que agentes, pruebas y otros procesos del producto escriban el workspace o el estado del coordinador. Un chequeo de ruta previo no resuelve por sí solo carreras con un proceso externo privilegiado. La garantía cubre escritores mediados y un directorio cuya topología controla el broker.</w:t>
      </w:r>
    </w:p>
    <w:p>
      <w:r>
        <w:br w:type="page"/>
      </w:r>
    </w:p>
    <w:p>
      <w:pPr>
        <w:pStyle w:val="Heading1"/>
      </w:pPr>
      <w:r>
        <w:rPr>
          <w:color w:val="000000"/>
        </w:rPr>
        <w:t>15 Escritura, persistencia y crash</w:t>
      </w:r>
    </w:p>
    <w:p>
      <w:r>
        <w:t>El caso de fallo obligatorio es detener el broker después de reemplazar el primer archivo de un lote y antes de guardar APPLIED. No se promete una transacción multarchivo. El protocolo registra suficiente información para distinguir lo no ejecutado, lo aplicado y lo desconocido.</w:t>
      </w:r>
    </w:p>
    <w:p>
      <w:pPr>
        <w:pStyle w:val="Code"/>
      </w:pPr>
      <w:r>
        <w:t>action: PREPARED → CLAIMED → EXECUTING</w:t>
        <w:br/>
        <w:t xml:space="preserve">        → APPLIED → RELEASE_PENDING → SETTLED</w:t>
        <w:br/>
        <w:t xml:space="preserve">                        ↘ RECOVERY_REQUIRED</w:t>
        <w:br/>
        <w:t>file:   expected_before, expected_after, operation, applied_hash</w:t>
        <w:br/>
        <w:t>receipt: action_id, request_digest, state, files, cleanup_status</w:t>
      </w:r>
    </w:p>
    <w:tbl>
      <w:tblPr>
        <w:tblW w:type="auto" w:w="0"/>
        <w:jc w:val="center"/>
        <w:tblLayout w:type="fixed"/>
        <w:tblLook w:firstColumn="1" w:firstRow="1" w:lastColumn="0" w:lastRow="0" w:noHBand="0" w:noVBand="1" w:val="04A0"/>
      </w:tblPr>
      <w:tblGrid>
        <w:gridCol w:w="2952"/>
        <w:gridCol w:w="7128"/>
      </w:tblGrid>
      <w:tr>
        <w:trPr>
          <w:tblHeader/>
        </w:trPr>
        <w:tc>
          <w:tcPr>
            <w:tcW w:type="dxa" w:w="2952"/>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Contenido al recuperar</w:t>
            </w:r>
          </w:p>
        </w:tc>
        <w:tc>
          <w:tcPr>
            <w:tcW w:type="dxa" w:w="7128"/>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Acción permitida</w:t>
            </w:r>
          </w:p>
        </w:tc>
      </w:tr>
      <w:tr>
        <w:trPr>
          <w:cantSplit/>
        </w:trPr>
        <w:tc>
          <w:tcPr>
            <w:tcW w:type="dxa" w:w="295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Todos los archivos = expected_after</w:t>
            </w:r>
          </w:p>
        </w:tc>
        <w:tc>
          <w:tcPr>
            <w:tcW w:type="dxa" w:w="712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Guardar APPLIED y el mismo recibo; continuar limpieza. No volver a ejecutar el parche ni llamar al modelo para recrear la acción.</w:t>
            </w:r>
          </w:p>
        </w:tc>
      </w:tr>
      <w:tr>
        <w:trPr>
          <w:cantSplit/>
        </w:trPr>
        <w:tc>
          <w:tcPr>
            <w:tcW w:type="dxa" w:w="295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Todos = expected_before</w:t>
            </w:r>
          </w:p>
        </w:tc>
        <w:tc>
          <w:tcPr>
            <w:tcW w:type="dxa" w:w="712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Sólo reanudar si se sabe que no quedan escritores anteriores, se recuperó identidad y se volvieron a validar claims/digests.</w:t>
            </w:r>
          </w:p>
        </w:tc>
      </w:tr>
      <w:tr>
        <w:trPr>
          <w:cantSplit/>
        </w:trPr>
        <w:tc>
          <w:tcPr>
            <w:tcW w:type="dxa" w:w="295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Mezcla before/after por archivo</w:t>
            </w:r>
          </w:p>
        </w:tc>
        <w:tc>
          <w:tcPr>
            <w:tcW w:type="dxa" w:w="712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Mantener RECOVERY_REQUIRED. Si cada archivo se clasifica sin ambigüedad, completar únicamente los pasos pendientes registrados y previstos.</w:t>
            </w:r>
          </w:p>
        </w:tc>
      </w:tr>
      <w:tr>
        <w:trPr>
          <w:cantSplit/>
        </w:trPr>
        <w:tc>
          <w:tcPr>
            <w:tcW w:type="dxa" w:w="295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Algún archivo distinto de ambos</w:t>
            </w:r>
          </w:p>
        </w:tc>
        <w:tc>
          <w:tcPr>
            <w:tcW w:type="dxa" w:w="712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Bloquear el lote y sus dependencias. Preservar el contenido observado y pedir revisión; no sobrescribir ni resetear el workspace.</w:t>
            </w:r>
          </w:p>
        </w:tc>
      </w:tr>
      <w:tr>
        <w:trPr>
          <w:cantSplit/>
        </w:trPr>
        <w:tc>
          <w:tcPr>
            <w:tcW w:type="dxa" w:w="2952"/>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Falla persistencia después de claim</w:t>
            </w:r>
          </w:p>
        </w:tc>
        <w:tc>
          <w:tcPr>
            <w:tcW w:type="dxa" w:w="7128"/>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Considerar posible lease o estado parcial. No continuar escribiendo ni asumir que ok=false significa que nada cambió. Pausar y reconciliar con el mismo actor.</w:t>
            </w:r>
          </w:p>
        </w:tc>
      </w:tr>
      <w:tr>
        <w:trPr>
          <w:cantSplit/>
        </w:trPr>
        <w:tc>
          <w:tcPr>
            <w:tcW w:type="dxa" w:w="2952"/>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Liberación incompleta o incierta</w:t>
            </w:r>
          </w:p>
        </w:tc>
        <w:tc>
          <w:tcPr>
            <w:tcW w:type="dxa" w:w="7128"/>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Mostrar cleanup_status=UNVERIFIED/FAILED. No usar release/rejoin como reparación de contenido ni borrar locks manualmente.</w:t>
            </w:r>
          </w:p>
        </w:tc>
      </w:tr>
    </w:tbl>
    <w:p>
      <w:pPr>
        <w:spacing w:after="20" w:before="0" w:line="240" w:lineRule="auto"/>
      </w:pPr>
      <w:r>
        <w:rPr>
          <w:sz w:val="2"/>
        </w:rPr>
      </w:r>
    </w:p>
    <w:p>
      <w:r>
        <w:t>Persistir PREPARED/EXECUTING y los artefactos antes del efecto; los reemplazos usan temporales del mismo filesystem y rename. El broker debe validar límites de bytes, permisos y hashes después del reemplazo. Propuesta de SQLite: foreign_keys=ON, journal_mode=WAL, synchronous=FULL; aplicar fsync de temporales y directorios donde corresponda.</w:t>
      </w:r>
    </w:p>
    <w:p>
      <w:r>
        <w:t>El save actual de Zoanthrope escribe temporal y hace rename, sin fsync explícito. El alcance inicial de recuperación es crash de proceso con filesystem disponible. No se declara supervivencia garantizada ante pérdida de energía o disco; ese alcance exigiría validación y ajustes del motor además del journal del derivado. [S10]</w:t>
      </w:r>
    </w:p>
    <w:p>
      <w:r>
        <w:t>Separar resultado aceptado de limpieza: registry_cleanup=CLEARED exige listar cero claims propios y writer_quiesced=true. fs_cleanup=NOT_ATTESTED indica el alcance de la API actual. Un resultado validado puede conservar esa limitación visible; un conflicto o error de limpieza observado bloquea las acciones afectadas y exige recuperación. No presentar una marca verde de limpieza total.</w:t>
      </w:r>
    </w:p>
    <w:p>
      <w:r>
        <w:br w:type="page"/>
      </w:r>
    </w:p>
    <w:p>
      <w:pPr>
        <w:pStyle w:val="Heading1"/>
      </w:pPr>
      <w:r>
        <w:rPr>
          <w:color w:val="000000"/>
        </w:rPr>
        <w:t>16 Fixture de misión y demo reproducible</w:t>
      </w:r>
    </w:p>
    <w:p>
      <w:r>
        <w:t>La misión de producto requiere un fixture nuevo pequeño, distinto del harness de coordinación ya publicado. Propuesta: repositorio Python de biblioteca de facturación, sin dependencias externas, con unittest y datos de ejemplo. Así el resultado puede ejecutarse en el host sin compilar Rust, instalar FastAPI o llamar a sistemas externos.</w:t>
      </w:r>
    </w:p>
    <w:tbl>
      <w:tblPr>
        <w:tblW w:type="auto" w:w="0"/>
        <w:jc w:val="center"/>
        <w:tblLayout w:type="fixed"/>
        <w:tblLook w:firstColumn="1" w:firstRow="1" w:lastColumn="0" w:lastRow="0" w:noHBand="0" w:noVBand="1" w:val="04A0"/>
      </w:tblPr>
      <w:tblGrid>
        <w:gridCol w:w="2304"/>
        <w:gridCol w:w="7776"/>
      </w:tblGrid>
      <w:tr>
        <w:trPr>
          <w:tblHeader/>
        </w:trPr>
        <w:tc>
          <w:tcPr>
            <w:tcW w:type="dxa" w:w="2304"/>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Tarea / agente</w:t>
            </w:r>
          </w:p>
        </w:tc>
        <w:tc>
          <w:tcPr>
            <w:tcW w:type="dxa" w:w="7776"/>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Artefactos y criterio</w:t>
            </w:r>
          </w:p>
        </w:tc>
      </w:tr>
      <w:tr>
        <w:trPr>
          <w:cantSplit/>
        </w:trPr>
        <w:tc>
          <w:tcPr>
            <w:tcW w:type="dxa" w:w="230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T1 API / alpha</w:t>
            </w:r>
          </w:p>
        </w:tc>
        <w:tc>
          <w:tcPr>
            <w:tcW w:type="dxa" w:w="777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app/billing.py + app/schema.py: aplicar descuentos en basis points usando centavos enteros; validar rango 0..10000 y preservar total original en el resultado.</w:t>
            </w:r>
          </w:p>
        </w:tc>
      </w:tr>
      <w:tr>
        <w:trPr>
          <w:cantSplit/>
        </w:trPr>
        <w:tc>
          <w:tcPr>
            <w:tcW w:type="dxa" w:w="230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T2 consumidor / beta</w:t>
            </w:r>
          </w:p>
        </w:tc>
        <w:tc>
          <w:tcPr>
            <w:tcW w:type="dxa" w:w="777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app/client.py + app/schema.py: exponer subtotal, descuento y total final en el recibo. Misma propuesta de contrato aprobada que T1; ambas empiezan listas.</w:t>
            </w:r>
          </w:p>
        </w:tc>
      </w:tr>
      <w:tr>
        <w:trPr>
          <w:cantSplit/>
        </w:trPr>
        <w:tc>
          <w:tcPr>
            <w:tcW w:type="dxa" w:w="230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T3 pruebas / gamma</w:t>
            </w:r>
          </w:p>
        </w:tc>
        <w:tc>
          <w:tcPr>
            <w:tcW w:type="dxa" w:w="777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tests/test_discount.py + README.md: casos de aceptación y ejemplos. Puede escribir mientras alpha/beta contienden; su criterio local es sintaxis y presencia de casos.</w:t>
            </w:r>
          </w:p>
        </w:tc>
      </w:tr>
      <w:tr>
        <w:trPr>
          <w:cantSplit/>
        </w:trPr>
        <w:tc>
          <w:tcPr>
            <w:tcW w:type="dxa" w:w="230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T4 validación / broker</w:t>
            </w:r>
          </w:p>
        </w:tc>
        <w:tc>
          <w:tcPr>
            <w:tcW w:type="dxa" w:w="777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Depende de T1, T2 y T3. Cierra escrituras y ejecuta python -m unittest discover sobre la copia final; sólo este resultado permite completar la misión.</w:t>
            </w:r>
          </w:p>
        </w:tc>
      </w:tr>
    </w:tbl>
    <w:p>
      <w:pPr>
        <w:spacing w:after="20" w:before="0" w:line="240" w:lineRule="auto"/>
      </w:pPr>
      <w:r>
        <w:rPr>
          <w:sz w:val="2"/>
        </w:rPr>
      </w:r>
    </w:p>
    <w:p>
      <w:pPr>
        <w:pStyle w:val="Heading2"/>
      </w:pPr>
      <w:r>
        <w:rPr>
          <w:color w:val="000000"/>
        </w:rPr>
        <w:t>Oracle independiente del modelo</w:t>
      </w:r>
    </w:p>
    <w:p>
      <w:r>
        <w:t>Definir antes de la corrida: 10.000 centavos con 1.000 bps → descuento 1.000, total 9.000; 0 bps conserva total; 10.000 bps produce 0; valores negativos o superiores al rango fallan; el recibo mantiene el ID del cliente. Para importes que no dividen exacto, floor(total_cents × bps / 10.000). Rechazar bool como número y no usar floats para dinero.</w:t>
      </w:r>
    </w:p>
    <w:p>
      <w:pPr>
        <w:pStyle w:val="Heading2"/>
      </w:pPr>
      <w:r>
        <w:rPr>
          <w:color w:val="000000"/>
        </w:rPr>
        <w:t>Colisión e interrupción visibles</w:t>
      </w:r>
    </w:p>
    <w:p>
      <w:r>
        <w:t>Un gate del harness retiene T1 después de adquirir app/schema.py; T2 solicita el mismo archivo y debe mostrar holder/conflicto. T3 progresa en paths disjuntos. Liberado el gate, T1 escribe y T2 debe releer y rebasar su propuesta. En otra corrida, matar el broker después del primer rename; reiniciar con el mismo actor y comprobar recibo, archivos y aceptación.</w:t>
      </w:r>
    </w:p>
    <w:p>
      <w:r>
        <w:t>Los gates y el kill son instrumentación identificada para hacer repetible el schedule; los grants, parches y tests son reales. El video declara los cortes. La demo alojada también ofrece una misión sin fallo inyectado. Los tests/clobber_chaos.rs y el experimento A/B sirven para validar/reproducir coordinación, pero no prueban esta misión nueva. [S5, S11]</w:t>
      </w:r>
    </w:p>
    <w:p>
      <w:r>
        <w:br w:type="page"/>
      </w:r>
    </w:p>
    <w:p>
      <w:pPr>
        <w:pStyle w:val="Heading1"/>
      </w:pPr>
      <w:r>
        <w:rPr>
          <w:color w:val="000000"/>
        </w:rPr>
        <w:t>17 Gates de integración y evidencia</w:t>
      </w:r>
    </w:p>
    <w:tbl>
      <w:tblPr>
        <w:tblW w:type="auto" w:w="0"/>
        <w:jc w:val="center"/>
        <w:tblLayout w:type="fixed"/>
        <w:tblLook w:firstColumn="1" w:firstRow="1" w:lastColumn="0" w:lastRow="0" w:noHBand="0" w:noVBand="1" w:val="04A0"/>
      </w:tblPr>
      <w:tblGrid>
        <w:gridCol w:w="1224"/>
        <w:gridCol w:w="8856"/>
      </w:tblGrid>
      <w:tr>
        <w:trPr>
          <w:tblHeader/>
        </w:trPr>
        <w:tc>
          <w:tcPr>
            <w:tcW w:type="dxa" w:w="1224"/>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Gate</w:t>
            </w:r>
          </w:p>
        </w:tc>
        <w:tc>
          <w:tcPr>
            <w:tcW w:type="dxa" w:w="8856"/>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Salida obligatoria</w:t>
            </w:r>
          </w:p>
        </w:tc>
      </w:tr>
      <w:tr>
        <w:trPr>
          <w:cantSplit/>
        </w:trPr>
        <w:tc>
          <w:tcPr>
            <w:tcW w:type="dxa" w:w="122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G0 instalación</w:t>
            </w:r>
          </w:p>
        </w:tc>
        <w:tc>
          <w:tcPr>
            <w:tcW w:type="dxa" w:w="885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Binario real 0.1.3 y SHA256 registrado; ruta absoluta fijada. No matar sólo el wrapper npm. Un proceso/container aislado garantiza que sus hijos terminan antes de reiniciar.</w:t>
            </w:r>
          </w:p>
        </w:tc>
      </w:tr>
      <w:tr>
        <w:trPr>
          <w:cantSplit/>
        </w:trPr>
        <w:tc>
          <w:tcPr>
            <w:tcW w:type="dxa" w:w="122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G1 adaptador</w:t>
            </w:r>
          </w:p>
        </w:tc>
        <w:tc>
          <w:tcPr>
            <w:tcW w:type="dxa" w:w="885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Handshake, claim read/read, read/edit, lote denegado, release y rejoin con proceso real. Parsear ok=false como rechazo. Registrar respuestas raw y versiones.</w:t>
            </w:r>
          </w:p>
        </w:tc>
      </w:tr>
      <w:tr>
        <w:trPr>
          <w:cantSplit/>
        </w:trPr>
        <w:tc>
          <w:tcPr>
            <w:tcW w:type="dxa" w:w="122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G2 broker</w:t>
            </w:r>
          </w:p>
        </w:tc>
        <w:tc>
          <w:tcPr>
            <w:tcW w:type="dxa" w:w="885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Rutas contenidas, hashes completos, journal y recibos. S03–S05, S07, S10 y S13 pasan con fallos dirigidos y contenido verificado.</w:t>
            </w:r>
          </w:p>
        </w:tc>
      </w:tr>
      <w:tr>
        <w:trPr>
          <w:cantSplit/>
        </w:trPr>
        <w:tc>
          <w:tcPr>
            <w:tcW w:type="dxa" w:w="122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G3 claims</w:t>
            </w:r>
          </w:p>
        </w:tc>
        <w:tc>
          <w:tcPr>
            <w:tcW w:type="dxa" w:w="885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Dos patches contienden por schema y T3 progresa. Detener un mutante más allá del TTL no admite otro hasta salida y conciliación. Los propios agentes no pueden editar estado Zoo.</w:t>
            </w:r>
          </w:p>
        </w:tc>
      </w:tr>
      <w:tr>
        <w:trPr>
          <w:cantSplit/>
        </w:trPr>
        <w:tc>
          <w:tcPr>
            <w:tcW w:type="dxa" w:w="1224"/>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G4 misión y modelo</w:t>
            </w:r>
          </w:p>
        </w:tc>
        <w:tc>
          <w:tcPr>
            <w:tcW w:type="dxa" w:w="8856"/>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Nemotron genera propuestas mediante tool calling real; backend valida schema/actor/budget. La misión completa T4 con oracle sin ayuda del texto del modelo.</w:t>
            </w:r>
          </w:p>
        </w:tc>
      </w:tr>
      <w:tr>
        <w:trPr>
          <w:cantSplit/>
        </w:trPr>
        <w:tc>
          <w:tcPr>
            <w:tcW w:type="dxa" w:w="1224"/>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G5 demo y operación</w:t>
            </w:r>
          </w:p>
        </w:tc>
        <w:tc>
          <w:tcPr>
            <w:tcW w:type="dxa" w:w="8856"/>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Reinstalar en host limpio; perder respuesta y reiniciar; demostrar ejecución de 175 s y guardar diff, validaciones, traces y costes de las condiciones comparadas.</w:t>
            </w:r>
          </w:p>
        </w:tc>
      </w:tr>
    </w:tbl>
    <w:p>
      <w:pPr>
        <w:spacing w:after="20" w:before="0" w:line="240" w:lineRule="auto"/>
      </w:pPr>
      <w:r>
        <w:rPr>
          <w:sz w:val="2"/>
        </w:rPr>
      </w:r>
    </w:p>
    <w:p>
      <w:pPr>
        <w:pStyle w:val="Heading2"/>
      </w:pPr>
      <w:r>
        <w:rPr>
          <w:color w:val="000000"/>
        </w:rPr>
        <w:t>Pruebas adicionales al diseño inicial</w:t>
      </w:r>
    </w:p>
    <w:p>
      <w:pPr>
        <w:pStyle w:val="ListBullet"/>
      </w:pPr>
      <w:r>
        <w:t>S14. Claim devuelve isError=false/ok=false: el broker no ejecuta ningún write, aunque el transporte haya respondido correctamente.</w:t>
      </w:r>
    </w:p>
    <w:p>
      <w:pPr>
        <w:pStyle w:val="ListBullet"/>
      </w:pPr>
      <w:r>
        <w:t>S15. Path externo o symlink: se rechaza antes del claim y no aparece una escritura fuera del workspace. El test no depende de que Zoo rechace esa ruta.</w:t>
      </w:r>
    </w:p>
    <w:p>
      <w:pPr>
        <w:pStyle w:val="ListBullet"/>
      </w:pPr>
      <w:r>
        <w:t>S16. Falla release del filesystem: el UI no certifica limpieza completa por recibir released. Se conserva el estado de limpieza incierta y el bloqueo observado.</w:t>
      </w:r>
    </w:p>
    <w:p>
      <w:pPr>
        <w:pStyle w:val="ListBullet"/>
      </w:pPr>
      <w:r>
        <w:t>S17. Arranca otro broker: no obtiene el bloqueo local; no admite acciones. Matar/reiniciar el primero no deja un hijo autorizado escribiendo por su cuenta.</w:t>
      </w:r>
    </w:p>
    <w:p>
      <w:pPr>
        <w:pStyle w:val="ListBullet"/>
      </w:pPr>
      <w:r>
        <w:t>S18. Copia de tests durante una escritura: el cierre espera/drena y produce un único digest consistente; una modificación posterior invalida ese resultado.</w:t>
      </w:r>
    </w:p>
    <w:p>
      <w:r>
        <w:t>Candidato de modelo original (por defecto en v0.3: Nemotron 3 Super; ver sección 21): Nemotron 3 Nano 30B A3B; probar function calling con schemas reales y fijar NEBIUS_MODEL para las comparaciones. La cuenta y el endpoint deben confirmar el identificador efectivo. El backend ejecuta las tools y devuelve mensajes role=tool; una salida inválida no se convierte en comando libre. [S12–S13]</w:t>
      </w:r>
    </w:p>
    <w:p>
      <w:r>
        <w:t>La revisión de este documento verifica handlers, transporte, estado, formal specs y harness existentes. La integración del derivado y S01–S18 se ejecutarán en estos gates; los resultados publicados de Zoanthrope no se presentan como resultados de Synapser.</w:t>
      </w:r>
    </w:p>
    <w:p>
      <w:r>
        <w:br w:type="page"/>
      </w:r>
    </w:p>
    <w:p>
      <w:pPr>
        <w:pStyle w:val="Heading1"/>
      </w:pPr>
      <w:r>
        <w:rPr>
          <w:color w:val="000000"/>
        </w:rPr>
        <w:t>18 Referencias y evolución</w:t>
      </w:r>
    </w:p>
    <w:p>
      <w:pPr>
        <w:pStyle w:val="Heading2"/>
      </w:pPr>
      <w:r>
        <w:rPr>
          <w:color w:val="000000"/>
        </w:rPr>
        <w:t>Extensiones que conservan el contrato</w:t>
      </w:r>
    </w:p>
    <w:p>
      <w:r>
        <w:t>Un scheduler más avanzado puede estimar duración y conflictos para elegir tareas listas. Esas estimaciones son asesoría: el ejecutor sigue verificando dependencias, límites y claims. Un detector de ciclos de espera puede sugerir cancelar y replanificar acciones que no comenzaron; no rompe automáticamente recursos de un propietario activo.</w:t>
      </w:r>
    </w:p>
    <w:p>
      <w:r>
        <w:t>El laboratorio de fallos puede convertirse en un producto de evaluación independiente: programas de interrupción, respuestas perdidas y contenido obsoleto, con ejecución repetible del escenario y comparación de resultados. La repetición de eventos registrados no implica que un modelo volverá a generar el mismo texto.</w:t>
      </w:r>
    </w:p>
    <w:p>
      <w:r>
        <w:t>Coordinar bases temporales, puertos o despliegues exige definir identidad, operaciones incompatibles, concesión, expiración y recuperación para cada recurso. Esa extensión no se implementa representando un recurso remoto como un archivo y atribuyéndole automáticamente las garantías del motor.</w:t>
      </w:r>
    </w:p>
    <w:p>
      <w:r>
        <w:t>La integración opcional con Parallax recibe un objetivo, un manifiesto de commits, evidencia y criterios. Synapser comprueba que el workspace coincide, produce su plan y conserva el vínculo con el análisis de origen. Ambos productos mantienen demos y resultados independientes.</w:t>
      </w:r>
    </w:p>
    <w:p>
      <w:pPr>
        <w:pStyle w:val="Heading2"/>
      </w:pPr>
      <w:r>
        <w:rPr>
          <w:color w:val="000000"/>
        </w:rPr>
        <w:t>Fuentes técnicas</w:t>
      </w:r>
    </w:p>
    <w:p>
      <w:pPr>
        <w:spacing w:after="140"/>
      </w:pPr>
      <w:hyperlink r:id="rId11">
        <w:r>
          <w:rPr>
            <w:color w:val="163C59"/>
            <w:rFonts w:ascii="Arial" w:hAnsi="Arial"/>
          </w:rPr>
          <w:t>S1  README de Zoanthrope</w:t>
        </w:r>
      </w:hyperlink>
      <w:r>
        <w:t xml:space="preserve">  Claims, intención de lectura y edición, stale holders, contenido, leases, rejoin y alcance declarado.</w:t>
      </w:r>
    </w:p>
    <w:p>
      <w:pPr>
        <w:spacing w:after="140"/>
      </w:pPr>
      <w:hyperlink r:id="rId12">
        <w:r>
          <w:rPr>
            <w:color w:val="163C59"/>
            <w:rFonts w:ascii="Arial" w:hAnsi="Arial"/>
          </w:rPr>
          <w:t>S2  Herramientas MCP de Zoanthrope</w:t>
        </w:r>
      </w:hyperlink>
      <w:r>
        <w:t xml:space="preserve">  Argumentos y respuestas del motor de coordinación.</w:t>
      </w:r>
    </w:p>
    <w:p>
      <w:pPr>
        <w:spacing w:after="140"/>
      </w:pPr>
      <w:hyperlink r:id="rId13">
        <w:r>
          <w:rPr>
            <w:color w:val="163C59"/>
            <w:rFonts w:ascii="Arial" w:hAnsi="Arial"/>
          </w:rPr>
          <w:t>S3  Hook de protección de escritura</w:t>
        </w:r>
      </w:hyperlink>
      <w:r>
        <w:t xml:space="preserve">  Modos, stale-check y límites de reconocimiento de mutaciones.</w:t>
      </w:r>
    </w:p>
    <w:p>
      <w:pPr>
        <w:spacing w:after="140"/>
      </w:pPr>
      <w:hyperlink r:id="rId14">
        <w:r>
          <w:rPr>
            <w:color w:val="163C59"/>
            <w:rFonts w:ascii="Arial" w:hAnsi="Arial"/>
          </w:rPr>
          <w:t>S4  Modelos y verificación formal</w:t>
        </w:r>
      </w:hyperlink>
      <w:r>
        <w:t xml:space="preserve">  Mapeo de modelos a código y controles de la verificación publicada.</w:t>
      </w:r>
    </w:p>
    <w:p>
      <w:pPr>
        <w:spacing w:after="140"/>
      </w:pPr>
      <w:hyperlink r:id="rId15">
        <w:r>
          <w:rPr>
            <w:color w:val="163C59"/>
            <w:rFonts w:ascii="Arial" w:hAnsi="Arial"/>
          </w:rPr>
          <w:t>S5  Experimentos publicados</w:t>
        </w:r>
      </w:hyperlink>
      <w:r>
        <w:t xml:space="preserve">  Protocolo y alcance de las pruebas de colisión del motor.</w:t>
      </w:r>
    </w:p>
    <w:p>
      <w:pPr>
        <w:spacing w:after="140"/>
      </w:pPr>
      <w:hyperlink r:id="rId16">
        <w:r>
          <w:rPr>
            <w:color w:val="163C59"/>
            <w:rFonts w:ascii="Arial" w:hAnsi="Arial"/>
          </w:rPr>
          <w:t>S6  Bases de Nebius x NVIDIA Global AI Hackathon</w:t>
        </w:r>
      </w:hyperlink>
      <w:r>
        <w:t xml:space="preserve">  Uso de NVIDIA y Nebius, entregables, varias postulaciones y fechas.</w:t>
      </w:r>
    </w:p>
    <w:p>
      <w:pPr>
        <w:spacing w:after="140"/>
      </w:pPr>
      <w:hyperlink r:id="rId17">
        <w:r>
          <w:rPr>
            <w:color w:val="163C59"/>
            <w:rFonts w:ascii="Arial" w:hAnsi="Arial"/>
          </w:rPr>
          <w:t>S7  PR 319 de LAIN</w:t>
        </w:r>
      </w:hyperlink>
      <w:r>
        <w:t xml:space="preserve">  Delegación de coordinación a Zoanthrope y separación de responsabilidades.</w:t>
      </w:r>
    </w:p>
    <w:p>
      <w:r>
        <w:t>Las referencias de Zoanthrope fijan el commit completo 37ecffae1fd131c4e9ab073bc003e3a453b3ac81. S01 a S18 son condiciones de aceptación del nuevo producto, no resultados ya obtenidos por Synapser.</w:t>
      </w:r>
    </w:p>
    <w:p>
      <w:r>
        <w:br w:type="page"/>
      </w:r>
    </w:p>
    <w:p>
      <w:pPr>
        <w:pStyle w:val="Heading1"/>
      </w:pPr>
      <w:r>
        <w:rPr>
          <w:color w:val="000000"/>
        </w:rPr>
        <w:t>19 Fuentes de integración</w:t>
      </w:r>
    </w:p>
    <w:p>
      <w:pPr>
        <w:spacing w:after="140"/>
      </w:pPr>
      <w:hyperlink r:id="rId18">
        <w:r>
          <w:rPr>
            <w:color w:val="163C59"/>
            <w:rFonts w:ascii="Arial" w:hAnsi="Arial"/>
          </w:rPr>
          <w:t>S8  Transporte MCP de Zoanthrope</w:t>
        </w:r>
      </w:hyperlink>
      <w:r>
        <w:t xml:space="preserve">  JSON-RPC por líneas, content.text e isError.</w:t>
      </w:r>
    </w:p>
    <w:p>
      <w:pPr>
        <w:spacing w:after="140"/>
      </w:pPr>
      <w:hyperlink r:id="rId19">
        <w:r>
          <w:rPr>
            <w:color w:val="163C59"/>
            <w:rFonts w:ascii="Arial" w:hAnsi="Arial"/>
          </w:rPr>
          <w:t>S9  CLI y wrapper npm</w:t>
        </w:r>
      </w:hyperlink>
      <w:r>
        <w:t xml:space="preserve">  Subcomandos, selección de workspace y códigos de salida.</w:t>
      </w:r>
    </w:p>
    <w:p>
      <w:pPr>
        <w:spacing w:after="140"/>
      </w:pPr>
      <w:hyperlink r:id="rId20">
        <w:r>
          <w:rPr>
            <w:color w:val="163C59"/>
            <w:rFonts w:ascii="Arial" w:hAnsi="Arial"/>
          </w:rPr>
          <w:t>S10  Estado y persistencia</w:t>
        </w:r>
      </w:hyperlink>
      <w:r>
        <w:t xml:space="preserve">  Canonicalización, fingerprints, save y registro.</w:t>
      </w:r>
    </w:p>
    <w:p>
      <w:pPr>
        <w:spacing w:after="140"/>
      </w:pPr>
      <w:hyperlink r:id="rId21">
        <w:r>
          <w:rPr>
            <w:color w:val="163C59"/>
            <w:rFonts w:ascii="Arial" w:hAnsi="Arial"/>
          </w:rPr>
          <w:t>S11  Pruebas de caos de coordinación</w:t>
        </w:r>
      </w:hyperlink>
      <w:r>
        <w:t xml:space="preserve">  Positivos, controles negativos y schedules concurrentes del motor.</w:t>
      </w:r>
    </w:p>
    <w:p>
      <w:pPr>
        <w:spacing w:after="140"/>
      </w:pPr>
      <w:hyperlink r:id="rId22">
        <w:r>
          <w:rPr>
            <w:color w:val="163C59"/>
            <w:rFonts w:ascii="Arial" w:hAnsi="Arial"/>
          </w:rPr>
          <w:t>S12  Function calling de Token Factory</w:t>
        </w:r>
      </w:hyperlink>
      <w:r>
        <w:t xml:space="preserve">  Ejecución de funciones por el backend.</w:t>
      </w:r>
    </w:p>
    <w:p>
      <w:pPr>
        <w:spacing w:after="140"/>
      </w:pPr>
      <w:hyperlink r:id="rId23">
        <w:r>
          <w:rPr>
            <w:color w:val="163C59"/>
            <w:rFonts w:ascii="Arial" w:hAnsi="Arial"/>
          </w:rPr>
          <w:t>S13  Cookbook oficial Nemotron 3 Nano</w:t>
        </w:r>
      </w:hyperlink>
      <w:r>
        <w:t xml:space="preserve">  Candidato de modelo; validar en la cuenta de la demo.</w:t>
      </w:r>
    </w:p>
    <w:p>
      <w:pPr>
        <w:spacing w:after="140"/>
      </w:pPr>
      <w:hyperlink r:id="rId24">
        <w:r>
          <w:rPr>
            <w:color w:val="163C59"/>
            <w:rFonts w:ascii="Arial" w:hAnsi="Arial"/>
          </w:rPr>
          <w:t>S14  Cambios operativos del PR 319</w:t>
        </w:r>
      </w:hyperlink>
      <w:r>
        <w:t xml:space="preserve">  La CI prefiere el binario real frente al wrapper npm.</w:t>
      </w:r>
    </w:p>
    <w:p>
      <w:r>
        <w:t>Zoanthrope permanece fijado en 37ecffae1fd131c4e9ab073bc003e3a453b3ac81, versión 0.1.3. La evidencia operativa de LAIN usa el PR 319 al commit 0abcd968fd78cc807b829e6877455eef616232c7. La instalación de Synapser debe registrar versión y hash del ejecutable realmente utilizado.</w:t>
      </w:r>
    </w:p>
    <w:p>
      <w:pPr>
        <w:pStyle w:val="Heading1"/>
      </w:pPr>
      <w:r>
        <w:rPr>
          <w:color w:val="000000"/>
        </w:rPr>
        <w:t xml:space="preserve">20 Estado de implementación y trazabilidad</w:t>
      </w:r>
    </w:p>
    <w:p>
      <w:r>
        <w:t xml:space="preserve">Esta sección registra qué parte del diseño está implementada y cubierta por pruebas automáticas en el repositorio, y qué sigue siendo propuesta. Las cifras de evaluación no forman parte de este documento: las condiciones y los criterios de falsación sí (sección 24).</w:t>
      </w:r>
    </w:p>
    <w:tbl>
      <w:tblPr>
        <w:tblW w:type="auto" w:w="0"/>
        <w:jc w:val="center"/>
        <w:tblLayout w:type="fixed"/>
        <w:tblLook w:firstColumn="1" w:firstRow="1" w:lastColumn="0" w:lastRow="0" w:noHBand="0" w:noVBand="1" w:val="04A0"/>
      </w:tblPr>
      <w:tblGrid>
        <w:gridCol w:w="5400"/>
        <w:gridCol w:w="3280"/>
        <w:gridCol w:w="1400"/>
      </w:tblGrid>
      <w:tr>
        <w:trPr>
          <w:tblHeader/>
        </w:trPr>
        <w:tc>
          <w:tcPr>
            <w:tcW w:type="dxa" w:w="54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Capacidad</w:t>
            </w:r>
          </w:p>
        </w:tc>
        <w:tc>
          <w:tcPr>
            <w:tcW w:type="dxa" w:w="328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Estado</w:t>
            </w:r>
          </w:p>
        </w:tc>
        <w:tc>
          <w:tcPr>
            <w:tcW w:type="dxa" w:w="14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Plan</w:t>
            </w:r>
          </w:p>
        </w:tc>
      </w:tr>
      <w:tr>
        <w:trPr>
          <w:cantSplit/>
        </w:trPr>
        <w:tc>
          <w:tcPr>
            <w:tcW w:type="dxa" w:w="54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Adaptador MCP de Zoanthrope, pin de versión y hash, cuarentena de proceso</w:t>
            </w:r>
          </w:p>
        </w:tc>
        <w:tc>
          <w:tcPr>
            <w:tcW w:type="dxa" w:w="32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Implementado; probado con el binario real y con un doble</w:t>
            </w:r>
          </w:p>
        </w:tc>
        <w:tc>
          <w:tcPr>
            <w:tcW w:type="dxa" w:w="14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01, G0/G1</w:t>
            </w:r>
          </w:p>
        </w:tc>
      </w:tr>
      <w:tr>
        <w:trPr>
          <w:cantSplit/>
        </w:trPr>
        <w:tc>
          <w:tcPr>
            <w:tcW w:type="dxa" w:w="54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Journal SQLite, máquina de estados de la acción, ejecutor único escritor, recuperación solo hacia adelante, failpoints con SIGKILL real</w:t>
            </w:r>
          </w:p>
        </w:tc>
        <w:tc>
          <w:tcPr>
            <w:tcW w:type="dxa" w:w="32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Implementado; S01–S07, S13, S17 cubiertos</w:t>
            </w:r>
          </w:p>
        </w:tc>
        <w:tc>
          <w:tcPr>
            <w:tcW w:type="dxa" w:w="14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01–04</w:t>
            </w:r>
          </w:p>
        </w:tc>
      </w:tr>
      <w:tr>
        <w:trPr>
          <w:cantSplit/>
        </w:trPr>
        <w:tc>
          <w:tcPr>
            <w:tcW w:type="dxa" w:w="54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Puerto de modelo (Token Factory), enrutamiento por rol, presupuesto, respaldo y límites de velocidad</w:t>
            </w:r>
          </w:p>
        </w:tc>
        <w:tc>
          <w:tcPr>
            <w:tcW w:type="dxa" w:w="32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Implementado; modelo por defecto Nemotron 3 Super</w:t>
            </w:r>
          </w:p>
        </w:tc>
        <w:tc>
          <w:tcPr>
            <w:tcW w:type="dxa" w:w="14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06</w:t>
            </w:r>
          </w:p>
        </w:tc>
      </w:tr>
      <w:tr>
        <w:trPr>
          <w:cantSplit/>
        </w:trPr>
        <w:tc>
          <w:tcPr>
            <w:tcW w:type="dxa" w:w="54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Bucle de agente con herramientas planas, DAG de tareas, supervisor, validación local en copia aislada</w:t>
            </w:r>
          </w:p>
        </w:tc>
        <w:tc>
          <w:tcPr>
            <w:tcW w:type="dxa" w:w="32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Implementado</w:t>
            </w:r>
          </w:p>
        </w:tc>
        <w:tc>
          <w:tcPr>
            <w:tcW w:type="dxa" w:w="14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06</w:t>
            </w:r>
          </w:p>
        </w:tc>
      </w:tr>
      <w:tr>
        <w:trPr>
          <w:cantSplit/>
        </w:trPr>
        <w:tc>
          <w:tcPr>
            <w:tcW w:type="dxa" w:w="54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Puerto AgentRunner con adaptadores nativo y CLI one-shot, broker de parches, registro agent_runs</w:t>
            </w:r>
          </w:p>
        </w:tc>
        <w:tc>
          <w:tcPr>
            <w:tcW w:type="dxa" w:w="32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Implementado; perfiles claude, codex, kimi</w:t>
            </w:r>
          </w:p>
        </w:tc>
        <w:tc>
          <w:tcPr>
            <w:tcW w:type="dxa" w:w="14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08</w:t>
            </w:r>
          </w:p>
        </w:tc>
      </w:tr>
      <w:tr>
        <w:trPr>
          <w:cantSplit/>
        </w:trPr>
        <w:tc>
          <w:tcPr>
            <w:tcW w:type="dxa" w:w="54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Registro con cadena de hashes, consultas deterministas, exportador LangSmith opcional</w:t>
            </w:r>
          </w:p>
        </w:tc>
        <w:tc>
          <w:tcPr>
            <w:tcW w:type="dxa" w:w="32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Implementado</w:t>
            </w:r>
          </w:p>
        </w:tc>
        <w:tc>
          <w:tcPr>
            <w:tcW w:type="dxa" w:w="14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08</w:t>
            </w:r>
          </w:p>
        </w:tc>
      </w:tr>
      <w:tr>
        <w:trPr>
          <w:cantSplit/>
        </w:trPr>
        <w:tc>
          <w:tcPr>
            <w:tcW w:type="dxa" w:w="54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Control sin coordinación tras un puerto común, verificadores de invariantes I1–I5, carga con contención</w:t>
            </w:r>
          </w:p>
        </w:tc>
        <w:tc>
          <w:tcPr>
            <w:tcW w:type="dxa" w:w="32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Implementado</w:t>
            </w:r>
          </w:p>
        </w:tc>
        <w:tc>
          <w:tcPr>
            <w:tcW w:type="dxa" w:w="14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09</w:t>
            </w:r>
          </w:p>
        </w:tc>
      </w:tr>
      <w:tr>
        <w:trPr>
          <w:cantSplit/>
        </w:trPr>
        <w:tc>
          <w:tcPr>
            <w:tcW w:type="dxa" w:w="54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Catálogo, enrutador determinista, costo conocido/estimado/desconocido, compuertas de aprobación, despacho por el puerto, subtareas pedidas por agentes (W1–W5)</w:t>
            </w:r>
          </w:p>
        </w:tc>
        <w:tc>
          <w:tcPr>
            <w:tcW w:type="dxa" w:w="32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Implementado y cubierto por pruebas, incluidas las aprobaciones desde la interfaz y los reintentos entre perfiles</w:t>
            </w:r>
          </w:p>
        </w:tc>
        <w:tc>
          <w:tcPr>
            <w:tcW w:type="dxa" w:w="14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10</w:t>
            </w:r>
          </w:p>
        </w:tc>
      </w:tr>
      <w:tr>
        <w:trPr>
          <w:cantSplit/>
        </w:trPr>
        <w:tc>
          <w:tcPr>
            <w:tcW w:type="dxa" w:w="54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Colector de observación de Zoanthrope, intenciones declaradas y proyección de estado vivo reproducible por seq</w:t>
            </w:r>
          </w:p>
        </w:tc>
        <w:tc>
          <w:tcPr>
            <w:tcW w:type="dxa" w:w="32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Implementado; spike S-Z hecho contra el binario fijado</w:t>
            </w:r>
          </w:p>
        </w:tc>
        <w:tc>
          <w:tcPr>
            <w:tcW w:type="dxa" w:w="14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11</w:t>
            </w:r>
          </w:p>
        </w:tc>
      </w:tr>
      <w:tr>
        <w:trPr>
          <w:cantSplit/>
        </w:trPr>
        <w:tc>
          <w:tcPr>
            <w:tcW w:type="dxa" w:w="54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Interfaz web (React, Tailwind y shadcn/ui) con API JSON/SSE; demo determinista y demo con modelos reales</w:t>
            </w:r>
          </w:p>
        </w:tc>
        <w:tc>
          <w:tcPr>
            <w:tcW w:type="dxa" w:w="32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Implementado; verificada en un navegador real</w:t>
            </w:r>
          </w:p>
        </w:tc>
        <w:tc>
          <w:tcPr>
            <w:tcW w:type="dxa" w:w="14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12</w:t>
            </w:r>
          </w:p>
        </w:tc>
      </w:tr>
      <w:tr>
        <w:trPr>
          <w:cantSplit/>
        </w:trPr>
        <w:tc>
          <w:tcPr>
            <w:tcW w:type="dxa" w:w="54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Investigación web: puerto con Tavily, guarda de consultas, presupuesto, citas con procedencia, misión T0</w:t>
            </w:r>
          </w:p>
        </w:tc>
        <w:tc>
          <w:tcPr>
            <w:tcW w:type="dxa" w:w="32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Implementado; verificado contra el servicio real</w:t>
            </w:r>
          </w:p>
        </w:tc>
        <w:tc>
          <w:tcPr>
            <w:tcW w:type="dxa" w:w="14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07</w:t>
            </w:r>
          </w:p>
        </w:tc>
      </w:tr>
    </w:tbl>
    <w:p/>
    <w:p>
      <w:pPr>
        <w:pStyle w:val="Heading1"/>
      </w:pPr>
      <w:r>
        <w:rPr>
          <w:color w:val="000000"/>
        </w:rPr>
        <w:t xml:space="preserve">21 Decisiones que precisan o reemplazan a la v0.2</w:t>
      </w:r>
    </w:p>
    <w:p>
      <w:r>
        <w:t xml:space="preserve">Cada fila surgió al implementar contra el binario y los modelos reales. Ninguna contradice las propiedades S INV 1–6; varias las hacen comprobables.</w:t>
      </w:r>
    </w:p>
    <w:tbl>
      <w:tblPr>
        <w:tblW w:type="auto" w:w="0"/>
        <w:jc w:val="center"/>
        <w:tblLayout w:type="fixed"/>
        <w:tblLook w:firstColumn="1" w:firstRow="1" w:lastColumn="0" w:lastRow="0" w:noHBand="0" w:noVBand="1" w:val="04A0"/>
      </w:tblPr>
      <w:tblGrid>
        <w:gridCol w:w="4900"/>
        <w:gridCol w:w="5180"/>
      </w:tblGrid>
      <w:tr>
        <w:trPr>
          <w:tblHeader/>
        </w:trPr>
        <w:tc>
          <w:tcPr>
            <w:tcW w:type="dxa" w:w="49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Decisión</w:t>
            </w:r>
          </w:p>
        </w:tc>
        <w:tc>
          <w:tcPr>
            <w:tcW w:type="dxa" w:w="518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Motivo</w:t>
            </w:r>
          </w:p>
        </w:tc>
      </w:tr>
      <w:tr>
        <w:trPr>
          <w:cantSplit/>
        </w:trPr>
        <w:tc>
          <w:tcPr>
            <w:tcW w:type="dxa" w:w="49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Estado CLAIMING: la intención se escribe antes de llamar a Zoanthrope</w:t>
            </w:r>
          </w:p>
        </w:tc>
        <w:tc>
          <w:tcPr>
            <w:tcW w:type="dxa" w:w="51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Sin él, un crash entre la concesión y el journal deja un claim que nadie puede atribuir.</w:t>
            </w:r>
          </w:p>
        </w:tc>
      </w:tr>
      <w:tr>
        <w:trPr>
          <w:cantSplit/>
        </w:trPr>
        <w:tc>
          <w:tcPr>
            <w:tcW w:type="dxa" w:w="49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Las lecturas usan una identidad propia (run:task#r)</w:t>
            </w:r>
          </w:p>
        </w:tc>
        <w:tc>
          <w:tcPr>
            <w:tcW w:type="dxa" w:w="51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Un read más release del mismo agente borra su propio claim de edición.</w:t>
            </w:r>
          </w:p>
        </w:tc>
      </w:tr>
      <w:tr>
        <w:trPr>
          <w:cantSplit/>
        </w:trPr>
        <w:tc>
          <w:tcPr>
            <w:tcW w:type="dxa" w:w="49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El parche se resuelve a bytes en PREPARE contra la vista que leyó el agente</w:t>
            </w:r>
          </w:p>
        </w:tc>
        <w:tc>
          <w:tcPr>
            <w:tcW w:type="dxa" w:w="51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El after esperado se conoce antes de adquirir nada; recuperar no re-ejecuta parches ni llama al modelo.</w:t>
            </w:r>
          </w:p>
        </w:tc>
      </w:tr>
      <w:tr>
        <w:trPr>
          <w:cantSplit/>
        </w:trPr>
        <w:tc>
          <w:tcPr>
            <w:tcW w:type="dxa" w:w="49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Solo roll-forward; nunca revertir ni resetear</w:t>
            </w:r>
          </w:p>
        </w:tc>
        <w:tc>
          <w:tcPr>
            <w:tcW w:type="dxa" w:w="51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Coherente con §15; ante bytes imprevistos se preservan y se detiene.</w:t>
            </w:r>
          </w:p>
        </w:tc>
      </w:tr>
      <w:tr>
        <w:trPr>
          <w:cantSplit/>
        </w:trPr>
        <w:tc>
          <w:tcPr>
            <w:tcW w:type="dxa" w:w="49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Guarda final del aplicador: no escribir sobre bytes que no sean el antes ni el después previstos</w:t>
            </w:r>
          </w:p>
        </w:tc>
        <w:tc>
          <w:tcPr>
            <w:tcW w:type="dxa" w:w="51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Un claim no valida contenido; el aplicador comprueba por sí mismo.</w:t>
            </w:r>
          </w:p>
        </w:tc>
      </w:tr>
      <w:tr>
        <w:trPr>
          <w:cantSplit/>
        </w:trPr>
        <w:tc>
          <w:tcPr>
            <w:tcW w:type="dxa" w:w="49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incarnation no entra en request_digest</w:t>
            </w:r>
          </w:p>
        </w:tc>
        <w:tc>
          <w:tcPr>
            <w:tcW w:type="dxa" w:w="51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Si entrara, un reintento tras reinicio sería otro cuerpo bajo la misma clave.</w:t>
            </w:r>
          </w:p>
        </w:tc>
      </w:tr>
      <w:tr>
        <w:trPr>
          <w:cantSplit/>
        </w:trPr>
        <w:tc>
          <w:tcPr>
            <w:tcW w:type="dxa" w:w="49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Estado del coordinador fuera del workspace; bloqueo exclusivo de SQLite por workspace</w:t>
            </w:r>
          </w:p>
        </w:tc>
        <w:tc>
          <w:tcPr>
            <w:tcW w:type="dxa" w:w="51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Fuera de snapshots y diffs; el kernel libera el lock tras kill -9.</w:t>
            </w:r>
          </w:p>
        </w:tc>
      </w:tr>
      <w:tr>
        <w:trPr>
          <w:cantSplit/>
        </w:trPr>
        <w:tc>
          <w:tcPr>
            <w:tcW w:type="dxa" w:w="49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Zoanthrope trata rutas externas como claves absolutas; el broker toma los claims sobre rutas canónicas</w:t>
            </w:r>
          </w:p>
        </w:tc>
        <w:tc>
          <w:tcPr>
            <w:tcW w:type="dxa" w:w="51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Copias aisladas de un agente no colisionan entre sí ni con el árbol vivo; la integración sí.</w:t>
            </w:r>
          </w:p>
        </w:tc>
      </w:tr>
      <w:tr>
        <w:trPr>
          <w:cantSplit/>
        </w:trPr>
        <w:tc>
          <w:tcPr>
            <w:tcW w:type="dxa" w:w="49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Herramientas planas (write_file, replace_in_file, delete_file, apply_changes, finish) con guarda de aplicación parcial</w:t>
            </w:r>
          </w:p>
        </w:tc>
        <w:tc>
          <w:tcPr>
            <w:tcW w:type="dxa" w:w="51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Los modelos fallaban con arreglos anidados; un lote a medias nunca debe aplicarse.</w:t>
            </w:r>
          </w:p>
        </w:tc>
      </w:tr>
      <w:tr>
        <w:trPr>
          <w:cantSplit/>
        </w:trPr>
        <w:tc>
          <w:tcPr>
            <w:tcW w:type="dxa" w:w="49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El código de salida de un CLI no es evidencia de éxito</w:t>
            </w:r>
          </w:p>
        </w:tc>
        <w:tc>
          <w:tcPr>
            <w:tcW w:type="dxa" w:w="51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Una herramienta devolvió 0 ante un error de saldo; el éxito es un evento propio de la herramienta.</w:t>
            </w:r>
          </w:p>
        </w:tc>
      </w:tr>
      <w:tr>
        <w:trPr>
          <w:cantSplit/>
        </w:trPr>
        <w:tc>
          <w:tcPr>
            <w:tcW w:type="dxa" w:w="49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El uso de tokens y costo lleva procedencia (reported, log, unknown); lo desconocido es null</w:t>
            </w:r>
          </w:p>
        </w:tc>
        <w:tc>
          <w:tcPr>
            <w:tcW w:type="dxa" w:w="51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Sumar ceros inventa un costo; el análisis separa lo conocido de lo no medido.</w:t>
            </w:r>
          </w:p>
        </w:tc>
      </w:tr>
      <w:tr>
        <w:trPr>
          <w:cantSplit/>
        </w:trPr>
        <w:tc>
          <w:tcPr>
            <w:tcW w:type="dxa" w:w="49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Modelo por defecto Nemotron 3 Super 120B A12B en todos los roles; Lightning y Nano como respaldo</w:t>
            </w:r>
          </w:p>
        </w:tc>
        <w:tc>
          <w:tcPr>
            <w:tcW w:type="dxa" w:w="51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Reemplaza al candidato Nano de §11 y §17; la elección está en configuración, no en el código.</w:t>
            </w:r>
          </w:p>
        </w:tc>
      </w:tr>
      <w:tr>
        <w:trPr>
          <w:cantSplit/>
        </w:trPr>
        <w:tc>
          <w:tcPr>
            <w:tcW w:type="dxa" w:w="49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Re-anclaje automático solo para lotes de reemplazos exactos tras STALE_VIEW</w:t>
            </w:r>
          </w:p>
        </w:tc>
        <w:tc>
          <w:tcPr>
            <w:tcW w:type="dxa" w:w="51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El reemplazo codifica una intención local; write_file y borrados nunca se re-anclan.</w:t>
            </w:r>
          </w:p>
        </w:tc>
      </w:tr>
    </w:tbl>
    <w:p/>
    <w:p>
      <w:pPr>
        <w:pStyle w:val="Heading1"/>
      </w:pPr>
      <w:r>
        <w:rPr>
          <w:color w:val="000000"/>
        </w:rPr>
        <w:t xml:space="preserve">22 Agentes CLI y puerto común</w:t>
      </w:r>
    </w:p>
    <w:p>
      <w:r>
        <w:t xml:space="preserve">Synapser coordina agentes de distinto origen detrás de una sola interfaz. El puerto AgentRunner recibe una petición (perfil, tarea, alcance, vista base) y devuelve siempre el mismo formato: resultado, motivo, uso con procedencia, uso de herramientas, archivos cambiados con digests y los blobs de prompt, salida y texto final.</w:t>
      </w:r>
    </w:p>
    <w:tbl>
      <w:tblPr>
        <w:tblW w:type="auto" w:w="0"/>
        <w:jc w:val="center"/>
        <w:tblLayout w:type="fixed"/>
        <w:tblLook w:firstColumn="1" w:firstRow="1" w:lastColumn="0" w:lastRow="0" w:noHBand="0" w:noVBand="1" w:val="04A0"/>
      </w:tblPr>
      <w:tblGrid>
        <w:gridCol w:w="2100"/>
        <w:gridCol w:w="4600"/>
        <w:gridCol w:w="3380"/>
      </w:tblGrid>
      <w:tr>
        <w:trPr>
          <w:tblHeader/>
        </w:trPr>
        <w:tc>
          <w:tcPr>
            <w:tcW w:type="dxa" w:w="21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Adaptador</w:t>
            </w:r>
          </w:p>
        </w:tc>
        <w:tc>
          <w:tcPr>
            <w:tcW w:type="dxa" w:w="46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Cómo produce trabajo</w:t>
            </w:r>
          </w:p>
        </w:tc>
        <w:tc>
          <w:tcPr>
            <w:tcW w:type="dxa" w:w="338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Integración</w:t>
            </w:r>
          </w:p>
        </w:tc>
      </w:tr>
      <w:tr>
        <w:trPr>
          <w:cantSplit/>
        </w:trPr>
        <w:tc>
          <w:tcPr>
            <w:tcW w:type="dxa" w:w="21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native</w:t>
            </w:r>
          </w:p>
        </w:tc>
        <w:tc>
          <w:tcPr>
            <w:tcW w:type="dxa" w:w="46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Bucle Nemotron en proceso, sin acceso a FS ni shell</w:t>
            </w:r>
          </w:p>
        </w:tc>
        <w:tc>
          <w:tcPr>
            <w:tcW w:type="dxa" w:w="33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direct: cada escritura ya pasó por el ejecutor</w:t>
            </w:r>
          </w:p>
        </w:tc>
      </w:tr>
      <w:tr>
        <w:trPr>
          <w:cantSplit/>
        </w:trPr>
        <w:tc>
          <w:tcPr>
            <w:tcW w:type="dxa" w:w="21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cli-oneshot</w:t>
            </w:r>
          </w:p>
        </w:tc>
        <w:tc>
          <w:tcPr>
            <w:tcW w:type="dxa" w:w="46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CLI de terceros (claude, codex, kimi) en una copia aislada</w:t>
            </w:r>
          </w:p>
        </w:tc>
        <w:tc>
          <w:tcPr>
            <w:tcW w:type="dxa" w:w="33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pending: el conjunto de cambios pasa por el broker de parches</w:t>
            </w:r>
          </w:p>
        </w:tc>
      </w:tr>
      <w:tr>
        <w:trPr>
          <w:cantSplit/>
        </w:trPr>
        <w:tc>
          <w:tcPr>
            <w:tcW w:type="dxa" w:w="21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orca (futuro)</w:t>
            </w:r>
          </w:p>
        </w:tc>
        <w:tc>
          <w:tcPr>
            <w:tcW w:type="dxa" w:w="46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Workers de un orquestador externo</w:t>
            </w:r>
          </w:p>
        </w:tc>
        <w:tc>
          <w:tcPr>
            <w:tcW w:type="dxa" w:w="33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mismo contrato</w:t>
            </w:r>
          </w:p>
        </w:tc>
      </w:tr>
    </w:tbl>
    <w:p/>
    <w:p>
      <w:pPr>
        <w:pStyle w:val="Heading2"/>
      </w:pPr>
      <w:r>
        <w:rPr>
          <w:color w:val="000000"/>
        </w:rPr>
        <w:t xml:space="preserve">Broker de parches</w:t>
      </w:r>
    </w:p>
    <w:p>
      <w:r>
        <w:t xml:space="preserve">La vista del agente es la base que se le entregó, no el árbol vivo. El ejecutor arbitra: alcance (un archivo fuera rechaza el conjunto completo), claims, digest (STALE_VIEW si el árbol vivo cambió), aplicación atómica y journal. Un asesor nunca integra: su salida es un veredicto, no un cambio.</w:t>
      </w:r>
    </w:p>
    <w:p>
      <w:pPr>
        <w:pStyle w:val="Heading2"/>
      </w:pPr>
      <w:r>
        <w:rPr>
          <w:color w:val="000000"/>
        </w:rPr>
        <w:t xml:space="preserve">Aislamiento y credenciales</w:t>
      </w:r>
    </w:p>
    <w:p>
      <w:pPr>
        <w:pStyle w:val="ListBullet"/>
      </w:pPr>
      <w:r>
        <w:t xml:space="preserve">El entorno del CLI es una lista permitida; las credenciales de Nebius, Tavily y LangSmith y cualquier variable KEY/TOKEN/SECRET quedan fuera salvo petición expresa del perfil.</w:t>
      </w:r>
    </w:p>
    <w:p>
      <w:pPr>
        <w:pStyle w:val="ListBullet"/>
      </w:pPr>
      <w:r>
        <w:t xml:space="preserve">Los CLI pueden ejecutar shell: la copia aísla el repositorio, no el HOME del usuario. Es un límite declarado, no resuelto.</w:t>
      </w:r>
    </w:p>
    <w:p>
      <w:pPr>
        <w:pStyle w:val="ListBullet"/>
      </w:pPr>
      <w:r>
        <w:t xml:space="preserve">Una batería de conformidad ejecuta las mismas aserciones contra cada adaptador; un adaptador nuevo está terminado cuando la pasa.</w:t>
      </w:r>
    </w:p>
    <w:p>
      <w:pPr>
        <w:pStyle w:val="Heading1"/>
      </w:pPr>
      <w:r>
        <w:rPr>
          <w:color w:val="000000"/>
        </w:rPr>
        <w:t xml:space="preserve">23 Registro auditable y consultas deterministas</w:t>
      </w:r>
    </w:p>
    <w:p>
      <w:r>
        <w:t xml:space="preserve">Synapser es también una herramienta de análisis de cómo trabajan los agentes: qué hizo cada uno, cuándo, por qué y a qué costo. El registro es la fuente de verdad; cualquier servicio externo es una vista.</w:t>
      </w:r>
    </w:p>
    <w:p>
      <w:pPr>
        <w:pStyle w:val="Heading2"/>
      </w:pPr>
      <w:r>
        <w:rPr>
          <w:color w:val="000000"/>
        </w:rPr>
        <w:t xml:space="preserve">Cadena de hashes</w:t>
      </w:r>
    </w:p>
    <w:p>
      <w:r>
        <w:t xml:space="preserve">El hash de cada evento cubre el hash anterior y el texto exacto del evento. La verificación detecta edición, borrado, huecos y —contra un head anclado fuera del ejecutor— truncamiento de la cola. Una exportación es verificable sin conexión. Los disparadores de SQLite impiden UPDATE y DELETE; la cadena detecta a quien edita el archivo sin pasar por el motor.</w:t>
      </w:r>
    </w:p>
    <w:p>
      <w:pPr>
        <w:pStyle w:val="Heading2"/>
      </w:pPr>
      <w:r>
        <w:rPr>
          <w:color w:val="000000"/>
        </w:rPr>
        <w:t xml:space="preserve">Consultas</w:t>
      </w:r>
    </w:p>
    <w:tbl>
      <w:tblPr>
        <w:tblW w:type="auto" w:w="0"/>
        <w:jc w:val="center"/>
        <w:tblLayout w:type="fixed"/>
        <w:tblLook w:firstColumn="1" w:firstRow="1" w:lastColumn="0" w:lastRow="0" w:noHBand="0" w:noVBand="1" w:val="04A0"/>
      </w:tblPr>
      <w:tblGrid>
        <w:gridCol w:w="2000"/>
        <w:gridCol w:w="4800"/>
        <w:gridCol w:w="3280"/>
      </w:tblGrid>
      <w:tr>
        <w:trPr>
          <w:tblHeader/>
        </w:trPr>
        <w:tc>
          <w:tcPr>
            <w:tcW w:type="dxa" w:w="20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Consulta</w:t>
            </w:r>
          </w:p>
        </w:tc>
        <w:tc>
          <w:tcPr>
            <w:tcW w:type="dxa" w:w="48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Responde</w:t>
            </w:r>
          </w:p>
        </w:tc>
        <w:tc>
          <w:tcPr>
            <w:tcW w:type="dxa" w:w="328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Regla</w:t>
            </w:r>
          </w:p>
        </w:tc>
      </w:tr>
      <w:tr>
        <w:trPr>
          <w:cantSplit/>
        </w:trPr>
        <w:tc>
          <w:tcPr>
            <w:tcW w:type="dxa" w:w="20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verify / export</w:t>
            </w:r>
          </w:p>
        </w:tc>
        <w:tc>
          <w:tcPr>
            <w:tcW w:type="dxa" w:w="48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¿el registro es íntegro? exportación verificable</w:t>
            </w:r>
          </w:p>
        </w:tc>
        <w:tc>
          <w:tcPr>
            <w:tcW w:type="dxa" w:w="32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primer seq inválido y motivo</w:t>
            </w:r>
          </w:p>
        </w:tc>
      </w:tr>
      <w:tr>
        <w:trPr>
          <w:cantSplit/>
        </w:trPr>
        <w:tc>
          <w:tcPr>
            <w:tcW w:type="dxa" w:w="20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timeline</w:t>
            </w:r>
          </w:p>
        </w:tc>
        <w:tc>
          <w:tcPr>
            <w:tcW w:type="dxa" w:w="48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qué pasó y en qué orden</w:t>
            </w:r>
          </w:p>
        </w:tc>
        <w:tc>
          <w:tcPr>
            <w:tcW w:type="dxa" w:w="32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ordenado por seq</w:t>
            </w:r>
          </w:p>
        </w:tc>
      </w:tr>
      <w:tr>
        <w:trPr>
          <w:cantSplit/>
        </w:trPr>
        <w:tc>
          <w:tcPr>
            <w:tcW w:type="dxa" w:w="20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who-changed</w:t>
            </w:r>
          </w:p>
        </w:tc>
        <w:tc>
          <w:tcPr>
            <w:tcW w:type="dxa" w:w="48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quién cambió una ruta, con qué adaptador y digests</w:t>
            </w:r>
          </w:p>
        </w:tc>
        <w:tc>
          <w:tcPr>
            <w:tcW w:type="dxa" w:w="32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orden de aplicación</w:t>
            </w:r>
          </w:p>
        </w:tc>
      </w:tr>
      <w:tr>
        <w:trPr>
          <w:cantSplit/>
        </w:trPr>
        <w:tc>
          <w:tcPr>
            <w:tcW w:type="dxa" w:w="20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why</w:t>
            </w:r>
          </w:p>
        </w:tc>
        <w:tc>
          <w:tcPr>
            <w:tcW w:type="dxa" w:w="48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por qué cambió: cadena declarada misión → tarea → corrida → acción → archivos → validación</w:t>
            </w:r>
          </w:p>
        </w:tc>
        <w:tc>
          <w:tcPr>
            <w:tcW w:type="dxa" w:w="32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lo que el agente afirmó va aparte y etiquetado asserted</w:t>
            </w:r>
          </w:p>
        </w:tc>
      </w:tr>
      <w:tr>
        <w:trPr>
          <w:cantSplit/>
        </w:trPr>
        <w:tc>
          <w:tcPr>
            <w:tcW w:type="dxa" w:w="20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cost</w:t>
            </w:r>
          </w:p>
        </w:tc>
        <w:tc>
          <w:tcPr>
            <w:tcW w:type="dxa" w:w="48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gasto por agente, perfil o rol</w:t>
            </w:r>
          </w:p>
        </w:tc>
        <w:tc>
          <w:tcPr>
            <w:tcW w:type="dxa" w:w="32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lo desconocido se cuenta y no se suma como 0</w:t>
            </w:r>
          </w:p>
        </w:tc>
      </w:tr>
      <w:tr>
        <w:trPr>
          <w:cantSplit/>
        </w:trPr>
        <w:tc>
          <w:tcPr>
            <w:tcW w:type="dxa" w:w="20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waste</w:t>
            </w:r>
          </w:p>
        </w:tc>
        <w:tc>
          <w:tcPr>
            <w:tcW w:type="dxa" w:w="48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corridas fallidas o con vista rancia y su motivo</w:t>
            </w:r>
          </w:p>
        </w:tc>
        <w:tc>
          <w:tcPr>
            <w:tcW w:type="dxa" w:w="32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razón registrada</w:t>
            </w:r>
          </w:p>
        </w:tc>
      </w:tr>
      <w:tr>
        <w:trPr>
          <w:cantSplit/>
        </w:trPr>
        <w:tc>
          <w:tcPr>
            <w:tcW w:type="dxa" w:w="20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coordination</w:t>
            </w:r>
          </w:p>
        </w:tc>
        <w:tc>
          <w:tcPr>
            <w:tcW w:type="dxa" w:w="48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esperas, vistas rancias, re-anclajes</w:t>
            </w:r>
          </w:p>
        </w:tc>
        <w:tc>
          <w:tcPr>
            <w:tcW w:type="dxa" w:w="32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atribuidos a la tarea cuyo trabajo se rechazó</w:t>
            </w:r>
          </w:p>
        </w:tc>
      </w:tr>
    </w:tbl>
    <w:p/>
    <w:p>
      <w:r>
        <w:t xml:space="preserve">La atribución de una acción a una corrida es causal (el registro de integración nombra la acción) o por la ventana propia de la corrida nativa; nunca por tiempo relativo a otras corridas.</w:t>
      </w:r>
    </w:p>
    <w:p>
      <w:pPr>
        <w:pStyle w:val="Heading2"/>
      </w:pPr>
      <w:r>
        <w:rPr>
          <w:color w:val="000000"/>
        </w:rPr>
        <w:t xml:space="preserve">Exportador LangSmith (opcional)</w:t>
      </w:r>
    </w:p>
    <w:p>
      <w:r>
        <w:t xml:space="preserve">Proyecta el registro como trazas con el contrato coding-agent-v1: identidad ls_*, hilo, ejecuciones llm con usage_metadata, herramientas con ls_tool_name y subagentes con identificador y tipo. La raíz lleva el head de la cadena para contrastar. Por defecto no sale contenido (prompts, texto final, bytes de archivos); los identificadores son deterministas, de modo que reexportar es idempotente. La retención del servicio es limitada (14 días base, 180 extendida), por eso no es la fuente de verdad.</w:t>
      </w:r>
    </w:p>
    <w:p>
      <w:pPr>
        <w:pStyle w:val="Heading1"/>
      </w:pPr>
      <w:r>
        <w:rPr>
          <w:color w:val="000000"/>
        </w:rPr>
        <w:t xml:space="preserve">24 Evaluación de la coordinación</w:t>
      </w:r>
    </w:p>
    <w:p>
      <w:r>
        <w:t xml:space="preserve">Esta sección reemplaza a la comparación propuesta en §10 en cuanto al método. El resultado de cada corrida se conserva fuera del repositorio.</w:t>
      </w:r>
    </w:p>
    <w:p>
      <w:pPr>
        <w:pStyle w:val="Heading2"/>
      </w:pPr>
      <w:r>
        <w:rPr>
          <w:color w:val="000000"/>
        </w:rPr>
        <w:t xml:space="preserve">Condiciones</w:t>
      </w:r>
    </w:p>
    <w:p>
      <w:r>
        <w:t xml:space="preserve">Solo difiere el puerto de escritura (WriteGateway). El control es otra implementación del mismo puerto, no un modo del ejecutor: mismo bucle de agente, mismas herramientas, mismos prompts, mismo modelo y mismo oráculo.</w:t>
      </w:r>
    </w:p>
    <w:tbl>
      <w:tblPr>
        <w:tblW w:type="auto" w:w="0"/>
        <w:jc w:val="center"/>
        <w:tblLayout w:type="fixed"/>
        <w:tblLook w:firstColumn="1" w:firstRow="1" w:lastColumn="0" w:lastRow="0" w:noHBand="0" w:noVBand="1" w:val="04A0"/>
      </w:tblPr>
      <w:tblGrid>
        <w:gridCol w:w="2200"/>
        <w:gridCol w:w="3400"/>
        <w:gridCol w:w="4480"/>
      </w:tblGrid>
      <w:tr>
        <w:trPr>
          <w:tblHeader/>
        </w:trPr>
        <w:tc>
          <w:tcPr>
            <w:tcW w:type="dxa" w:w="22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Brazo</w:t>
            </w:r>
          </w:p>
        </w:tc>
        <w:tc>
          <w:tcPr>
            <w:tcW w:type="dxa" w:w="34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Gateway</w:t>
            </w:r>
          </w:p>
        </w:tc>
        <w:tc>
          <w:tcPr>
            <w:tcW w:type="dxa" w:w="448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Conserva</w:t>
            </w:r>
          </w:p>
        </w:tc>
      </w:tr>
      <w:tr>
        <w:trPr>
          <w:cantSplit/>
        </w:trPr>
        <w:tc>
          <w:tcPr>
            <w:tcW w:type="dxa" w:w="22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sin coordinación</w:t>
            </w:r>
          </w:p>
        </w:tc>
        <w:tc>
          <w:tcPr>
            <w:tcW w:type="dxa" w:w="34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árbol compartido, último en escribir gana</w:t>
            </w:r>
          </w:p>
        </w:tc>
        <w:tc>
          <w:tcPr>
            <w:tcW w:type="dxa" w:w="44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contención de rutas, alcance de tarea, que el parche aplique a lo leído</w:t>
            </w:r>
          </w:p>
        </w:tc>
      </w:tr>
      <w:tr>
        <w:trPr>
          <w:cantSplit/>
        </w:trPr>
        <w:tc>
          <w:tcPr>
            <w:tcW w:type="dxa" w:w="22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Synapser</w:t>
            </w:r>
          </w:p>
        </w:tc>
        <w:tc>
          <w:tcPr>
            <w:tcW w:type="dxa" w:w="34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Executor</w:t>
            </w:r>
          </w:p>
        </w:tc>
        <w:tc>
          <w:tcPr>
            <w:tcW w:type="dxa" w:w="44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todo lo anterior más claims, digests, STALE_VIEW, journal y recuperación</w:t>
            </w:r>
          </w:p>
        </w:tc>
      </w:tr>
    </w:tbl>
    <w:p/>
    <w:p>
      <w:pPr>
        <w:pStyle w:val="Heading2"/>
      </w:pPr>
      <w:r>
        <w:rPr>
          <w:color w:val="000000"/>
        </w:rPr>
        <w:t xml:space="preserve">Invariantes ejecutables</w:t>
      </w:r>
    </w:p>
    <w:tbl>
      <w:tblPr>
        <w:tblW w:type="auto" w:w="0"/>
        <w:jc w:val="center"/>
        <w:tblLayout w:type="fixed"/>
        <w:tblLook w:firstColumn="1" w:firstRow="1" w:lastColumn="0" w:lastRow="0" w:noHBand="0" w:noVBand="1" w:val="04A0"/>
      </w:tblPr>
      <w:tblGrid>
        <w:gridCol w:w="700"/>
        <w:gridCol w:w="6280"/>
        <w:gridCol w:w="3100"/>
      </w:tblGrid>
      <w:tr>
        <w:trPr>
          <w:tblHeader/>
        </w:trPr>
        <w:tc>
          <w:tcPr>
            <w:tcW w:type="dxa" w:w="7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
            </w:r>
          </w:p>
        </w:tc>
        <w:tc>
          <w:tcPr>
            <w:tcW w:type="dxa" w:w="628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Invariante</w:t>
            </w:r>
          </w:p>
        </w:tc>
        <w:tc>
          <w:tcPr>
            <w:tcW w:type="dxa" w:w="31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Violación</w:t>
            </w:r>
          </w:p>
        </w:tc>
      </w:tr>
      <w:tr>
        <w:trPr>
          <w:cantSplit/>
        </w:trPr>
        <w:tc>
          <w:tcPr>
            <w:tcW w:type="dxa" w:w="7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I1</w:t>
            </w:r>
          </w:p>
        </w:tc>
        <w:tc>
          <w:tcPr>
            <w:tcW w:type="dxa" w:w="62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linaje por ruta: cada escritura se basó en lo que dejó la anterior</w:t>
            </w:r>
          </w:p>
        </w:tc>
        <w:tc>
          <w:tcPr>
            <w:tcW w:type="dxa" w:w="31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LOST_UPDATE</w:t>
            </w:r>
          </w:p>
        </w:tc>
      </w:tr>
      <w:tr>
        <w:trPr>
          <w:cantSplit/>
        </w:trPr>
        <w:tc>
          <w:tcPr>
            <w:tcW w:type="dxa" w:w="7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I2</w:t>
            </w:r>
          </w:p>
        </w:tc>
        <w:tc>
          <w:tcPr>
            <w:tcW w:type="dxa" w:w="62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ninguna acción llegó a EXECUTING sin CLAIMED</w:t>
            </w:r>
          </w:p>
        </w:tc>
        <w:tc>
          <w:tcPr>
            <w:tcW w:type="dxa" w:w="31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WRITE_WITHOUT_GRANT</w:t>
            </w:r>
          </w:p>
        </w:tc>
      </w:tr>
      <w:tr>
        <w:trPr>
          <w:cantSplit/>
        </w:trPr>
        <w:tc>
          <w:tcPr>
            <w:tcW w:type="dxa" w:w="7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I3</w:t>
            </w:r>
          </w:p>
        </w:tc>
        <w:tc>
          <w:tcPr>
            <w:tcW w:type="dxa" w:w="62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no se sobrescribieron bytes distintos del antes y el después previstos</w:t>
            </w:r>
          </w:p>
        </w:tc>
        <w:tc>
          <w:tcPr>
            <w:tcW w:type="dxa" w:w="31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UNPREDICTED_BYTES_OVERWRITTEN</w:t>
            </w:r>
          </w:p>
        </w:tc>
      </w:tr>
      <w:tr>
        <w:trPr>
          <w:cantSplit/>
        </w:trPr>
        <w:tc>
          <w:tcPr>
            <w:tcW w:type="dxa" w:w="7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I4</w:t>
            </w:r>
          </w:p>
        </w:tc>
        <w:tc>
          <w:tcPr>
            <w:tcW w:type="dxa" w:w="62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una tarea es DONE solo por evidencia de aceptación válida y aprobada</w:t>
            </w:r>
          </w:p>
        </w:tc>
        <w:tc>
          <w:tcPr>
            <w:tcW w:type="dxa" w:w="31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DONE_WITHOUT_ACCEPTANCE</w:t>
            </w:r>
          </w:p>
        </w:tc>
      </w:tr>
      <w:tr>
        <w:trPr>
          <w:cantSplit/>
        </w:trPr>
        <w:tc>
          <w:tcPr>
            <w:tcW w:type="dxa" w:w="7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I5</w:t>
            </w:r>
          </w:p>
        </w:tc>
        <w:tc>
          <w:tcPr>
            <w:tcW w:type="dxa" w:w="62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la cadena de hashes verifica</w:t>
            </w:r>
          </w:p>
        </w:tc>
        <w:tc>
          <w:tcPr>
            <w:tcW w:type="dxa" w:w="31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CHAIN_BROKEN</w:t>
            </w:r>
          </w:p>
        </w:tc>
      </w:tr>
    </w:tbl>
    <w:p/>
    <w:p>
      <w:r>
        <w:t xml:space="preserve">La traza de escrituras la produce un observador independiente de quien escribe. Se distingue la escritura insegura (I1) del daño efectivo: las líneas de otro agente que una escritura borró realmente.</w:t>
      </w:r>
    </w:p>
    <w:p>
      <w:pPr>
        <w:pStyle w:val="Heading2"/>
      </w:pPr>
      <w:r>
        <w:rPr>
          <w:color w:val="000000"/>
        </w:rPr>
        <w:t xml:space="preserve">Cargas de trabajo y falsación</w:t>
      </w:r>
    </w:p>
    <w:p>
      <w:pPr>
        <w:pStyle w:val="ListBullet"/>
      </w:pPr>
      <w:r>
        <w:t xml:space="preserve">Facturación: tres tareas, un archivo compartido. Útil para el recorrido de demo.</w:t>
      </w:r>
    </w:p>
    <w:p>
      <w:pPr>
        <w:pStyle w:val="ListBullet"/>
      </w:pPr>
      <w:r>
        <w:t xml:space="preserve">Registro: ocho tareas que implementan funciones distintas de un mismo archivo; cada edición es parcial, de modo que reescribir el archivo entero es costoso y la pérdida no queda enmascarada por un contrato compartido.</w:t>
      </w:r>
    </w:p>
    <w:p>
      <w:pPr>
        <w:pStyle w:val="ListBullet"/>
      </w:pPr>
      <w:r>
        <w:t xml:space="preserve">Se falsa si el control no pierde actualizaciones en la carga con contención, si Synapser registra alguna violación I1–I5, o si el sobrecosto de Synapser supera el doble en tokens sin ganancia de corrección.</w:t>
      </w:r>
    </w:p>
    <w:p>
      <w:pPr>
        <w:pStyle w:val="ListBullet"/>
      </w:pPr>
      <w:r>
        <w:t xml:space="preserve">Un hallazgo previo condiciona la lectura: la tasa de misiones completadas depende también de la capacidad del modelo para editar con texto exacto; por eso se mide aparte de las violaciones.</w:t>
      </w:r>
    </w:p>
    <w:p>
      <w:pPr>
        <w:pStyle w:val="Heading1"/>
      </w:pPr>
      <w:r>
        <w:rPr>
          <w:color w:val="000000"/>
        </w:rPr>
        <w:t xml:space="preserve">25 Orquestación: catálogo, enrutador y workflow</w:t>
      </w:r>
    </w:p>
    <w:p>
      <w:r>
        <w:t xml:space="preserve">Nemotron descompone la misión y propone perfiles; el código decide. Toda propuesta del modelo pasa por un validador determinista antes de tener efecto, y ninguna invariante depende de que el modelo acierte.</w:t>
      </w:r>
    </w:p>
    <w:p>
      <w:pPr>
        <w:pStyle w:val="Heading2"/>
      </w:pPr>
      <w:r>
        <w:rPr>
          <w:color w:val="000000"/>
        </w:rPr>
        <w:t xml:space="preserve">Catálogo y costo</w:t>
      </w:r>
    </w:p>
    <w:p>
      <w:r>
        <w:t xml:space="preserve">Cada perfil del catálogo declara qué tipos de paso puede hacer (write, advise, research, review), su integración y su costo. El costo puede ser conocido (tarifa o uso reportado), estimado (aprendido del propio registro, con rango y número de observaciones) o desconocido. Nunca se confunden: los totales muestran por separado lo conocido, lo estimado y las corridas sin costo. Un perfil de costo desconocido no bloquea: genera una alerta, el enrutador lo penaliza, y tras sus primeras corridas con uso reportado pasa a estimado. Una estimación sistemáticamente mala se degrada a desconocido.</w:t>
      </w:r>
    </w:p>
    <w:p>
      <w:pPr>
        <w:pStyle w:val="Heading2"/>
      </w:pPr>
      <w:r>
        <w:rPr>
          <w:color w:val="000000"/>
        </w:rPr>
        <w:t xml:space="preserve">Enrutamiento y validación del plan</w:t>
      </w:r>
    </w:p>
    <w:p>
      <w:pPr>
        <w:pStyle w:val="ListBullet"/>
      </w:pPr>
      <w:r>
        <w:t xml:space="preserve">El enrutador determinista manda: filtra por tipo, habilitación e integración y ordena por costo conocido o estimado; mismas entradas, misma asignación. El modelo solo sugiere.</w:t>
      </w:r>
    </w:p>
    <w:p>
      <w:pPr>
        <w:pStyle w:val="ListBullet"/>
      </w:pPr>
      <w:r>
        <w:t xml:space="preserve">El validador rechaza perfil inexistente o deshabilitado, tipo incompatible (un asesor jamás recibe una escritura), asesores con alcance de escritura, tareas de escritura sin criterio verificable y planes que superan el tope de costo.</w:t>
      </w:r>
    </w:p>
    <w:p>
      <w:pPr>
        <w:pStyle w:val="Heading2"/>
      </w:pPr>
      <w:r>
        <w:rPr>
          <w:color w:val="000000"/>
        </w:rPr>
        <w:t xml:space="preserve">Pasos y aprobaciones</w:t>
      </w:r>
    </w:p>
    <w:p>
      <w:r>
        <w:t xml:space="preserve">Los pasos son write, advise, research, review, validate y approval. Una compuerta de aprobación se liga al digest del plan que aprobó: si el plan cambia, la aprobación deja de valer. Aprobar es un evento del registro con actor y momento. Las políticas automáticas son reglas deterministas declaradas en el workflow.</w:t>
      </w:r>
    </w:p>
    <w:p>
      <w:pPr>
        <w:pStyle w:val="Heading2"/>
      </w:pPr>
      <w:r>
        <w:rPr>
          <w:color w:val="000000"/>
        </w:rPr>
        <w:t xml:space="preserve">Subtareas pedidas por agentes</w:t>
      </w:r>
    </w:p>
    <w:p>
      <w:r>
        <w:t xml:space="preserve">Un agente nunca crea agentes. Pide una subtarea con su motivo; la petición llega al supervisor como revisión de plan solo aditiva y se valida con las mismas reglas más alcance contenido en el del solicitante, profundidad máxima configurable por workflow (por defecto 2), sin ciclos y dentro del tope de costo.</w:t>
      </w:r>
    </w:p>
    <w:tbl>
      <w:tblPr>
        <w:tblW w:type="auto" w:w="0"/>
        <w:jc w:val="center"/>
        <w:tblLayout w:type="fixed"/>
        <w:tblLook w:firstColumn="1" w:firstRow="1" w:lastColumn="0" w:lastRow="0" w:noHBand="0" w:noVBand="1" w:val="04A0"/>
      </w:tblPr>
      <w:tblGrid>
        <w:gridCol w:w="700"/>
        <w:gridCol w:w="6980"/>
        <w:gridCol w:w="2400"/>
      </w:tblGrid>
      <w:tr>
        <w:trPr>
          <w:tblHeader/>
        </w:trPr>
        <w:tc>
          <w:tcPr>
            <w:tcW w:type="dxa" w:w="7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
            </w:r>
          </w:p>
        </w:tc>
        <w:tc>
          <w:tcPr>
            <w:tcW w:type="dxa" w:w="698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Invariante</w:t>
            </w:r>
          </w:p>
        </w:tc>
        <w:tc>
          <w:tcPr>
            <w:tcW w:type="dxa" w:w="24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Verificador</w:t>
            </w:r>
          </w:p>
        </w:tc>
      </w:tr>
      <w:tr>
        <w:trPr>
          <w:cantSplit/>
        </w:trPr>
        <w:tc>
          <w:tcPr>
            <w:tcW w:type="dxa" w:w="7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W1</w:t>
            </w:r>
          </w:p>
        </w:tc>
        <w:tc>
          <w:tcPr>
            <w:tcW w:type="dxa" w:w="69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todo despacho usó un perfil existente, habilitado y compatible, en el plan y al despachar</w:t>
            </w:r>
          </w:p>
        </w:tc>
        <w:tc>
          <w:tcPr>
            <w:tcW w:type="dxa" w:w="24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checkDispatch</w:t>
            </w:r>
          </w:p>
        </w:tc>
      </w:tr>
      <w:tr>
        <w:trPr>
          <w:cantSplit/>
        </w:trPr>
        <w:tc>
          <w:tcPr>
            <w:tcW w:type="dxa" w:w="7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W2</w:t>
            </w:r>
          </w:p>
        </w:tc>
        <w:tc>
          <w:tcPr>
            <w:tcW w:type="dxa" w:w="69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un paso advise, review o research no cambió el árbol</w:t>
            </w:r>
          </w:p>
        </w:tc>
        <w:tc>
          <w:tcPr>
            <w:tcW w:type="dxa" w:w="24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checkAdvisorsReadOnly</w:t>
            </w:r>
          </w:p>
        </w:tc>
      </w:tr>
      <w:tr>
        <w:trPr>
          <w:cantSplit/>
        </w:trPr>
        <w:tc>
          <w:tcPr>
            <w:tcW w:type="dxa" w:w="7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W3</w:t>
            </w:r>
          </w:p>
        </w:tc>
        <w:tc>
          <w:tcPr>
            <w:tcW w:type="dxa" w:w="69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ningún paso con compuerta corrió sin aprobación vigente ligada al digest</w:t>
            </w:r>
          </w:p>
        </w:tc>
        <w:tc>
          <w:tcPr>
            <w:tcW w:type="dxa" w:w="24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checkGates</w:t>
            </w:r>
          </w:p>
        </w:tc>
      </w:tr>
      <w:tr>
        <w:trPr>
          <w:cantSplit/>
        </w:trPr>
        <w:tc>
          <w:tcPr>
            <w:tcW w:type="dxa" w:w="7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W4</w:t>
            </w:r>
          </w:p>
        </w:tc>
        <w:tc>
          <w:tcPr>
            <w:tcW w:type="dxa" w:w="69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el gasto conocido no superó el tope; estimado y desconocido constan como tales y el desconocido alertó</w:t>
            </w:r>
          </w:p>
        </w:tc>
        <w:tc>
          <w:tcPr>
            <w:tcW w:type="dxa" w:w="24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checkBudget</w:t>
            </w:r>
          </w:p>
        </w:tc>
      </w:tr>
      <w:tr>
        <w:trPr>
          <w:cantSplit/>
        </w:trPr>
        <w:tc>
          <w:tcPr>
            <w:tcW w:type="dxa" w:w="7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W5</w:t>
            </w:r>
          </w:p>
        </w:tc>
        <w:tc>
          <w:tcPr>
            <w:tcW w:type="dxa" w:w="69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toda tarea con requested_by pertenece a una revisión aditiva válida</w:t>
            </w:r>
          </w:p>
        </w:tc>
        <w:tc>
          <w:tcPr>
            <w:tcW w:type="dxa" w:w="24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checkDelegation</w:t>
            </w:r>
          </w:p>
        </w:tc>
      </w:tr>
      <w:tr>
        <w:trPr>
          <w:cantSplit/>
        </w:trPr>
        <w:tc>
          <w:tcPr>
            <w:tcW w:type="dxa" w:w="7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W6</w:t>
            </w:r>
          </w:p>
        </w:tc>
        <w:tc>
          <w:tcPr>
            <w:tcW w:type="dxa" w:w="69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el enrutador es una función</w:t>
            </w:r>
          </w:p>
        </w:tc>
        <w:tc>
          <w:tcPr>
            <w:tcW w:type="dxa" w:w="24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prueba de propiedad</w:t>
            </w:r>
          </w:p>
        </w:tc>
      </w:tr>
      <w:tr>
        <w:trPr>
          <w:cantSplit/>
        </w:trPr>
        <w:tc>
          <w:tcPr>
            <w:tcW w:type="dxa" w:w="7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W7</w:t>
            </w:r>
          </w:p>
        </w:tc>
        <w:tc>
          <w:tcPr>
            <w:tcW w:type="dxa" w:w="69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una estimación nunca se suma como costo real y es función pura del registro</w:t>
            </w:r>
          </w:p>
        </w:tc>
        <w:tc>
          <w:tcPr>
            <w:tcW w:type="dxa" w:w="24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prueba de propiedad</w:t>
            </w:r>
          </w:p>
        </w:tc>
      </w:tr>
    </w:tbl>
    <w:p/>
    <w:p>
      <w:pPr>
        <w:pStyle w:val="Heading1"/>
      </w:pPr>
      <w:r>
        <w:rPr>
          <w:color w:val="000000"/>
        </w:rPr>
        <w:t xml:space="preserve">26 Enganche a Zoanthrope y estado vivo</w:t>
      </w:r>
    </w:p>
    <w:p>
      <w:r>
        <w:t xml:space="preserve">Hoy el broker toma los claims en nombre del agente. El enganche amplía lo que Zoanthrope sabe de cada agente y lo que Synapser puede mostrar en vivo, sin trasladarle autoridad.</w:t>
      </w:r>
    </w:p>
    <w:tbl>
      <w:tblPr>
        <w:tblW w:type="auto" w:w="0"/>
        <w:jc w:val="center"/>
        <w:tblLayout w:type="fixed"/>
        <w:tblLook w:firstColumn="1" w:firstRow="1" w:lastColumn="0" w:lastRow="0" w:noHBand="0" w:noVBand="1" w:val="04A0"/>
      </w:tblPr>
      <w:tblGrid>
        <w:gridCol w:w="900"/>
        <w:gridCol w:w="5600"/>
        <w:gridCol w:w="3580"/>
      </w:tblGrid>
      <w:tr>
        <w:trPr>
          <w:tblHeader/>
        </w:trPr>
        <w:tc>
          <w:tcPr>
            <w:tcW w:type="dxa" w:w="9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Nivel</w:t>
            </w:r>
          </w:p>
        </w:tc>
        <w:tc>
          <w:tcPr>
            <w:tcW w:type="dxa" w:w="56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Qué hace</w:t>
            </w:r>
          </w:p>
        </w:tc>
        <w:tc>
          <w:tcPr>
            <w:tcW w:type="dxa" w:w="358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Garantiza</w:t>
            </w:r>
          </w:p>
        </w:tc>
      </w:tr>
      <w:tr>
        <w:trPr>
          <w:cantSplit/>
        </w:trPr>
        <w:tc>
          <w:tcPr>
            <w:tcW w:type="dxa" w:w="9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L0</w:t>
            </w:r>
          </w:p>
        </w:tc>
        <w:tc>
          <w:tcPr>
            <w:tcW w:type="dxa" w:w="56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claims de escritura sobre rutas canónicas</w:t>
            </w:r>
          </w:p>
        </w:tc>
        <w:tc>
          <w:tcPr>
            <w:tcW w:type="dxa" w:w="35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broker (implementado)</w:t>
            </w:r>
          </w:p>
        </w:tc>
      </w:tr>
      <w:tr>
        <w:trPr>
          <w:cantSplit/>
        </w:trPr>
        <w:tc>
          <w:tcPr>
            <w:tcW w:type="dxa" w:w="9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L1</w:t>
            </w:r>
          </w:p>
        </w:tc>
        <w:tc>
          <w:tcPr>
            <w:tcW w:type="dxa" w:w="56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identidad por corrida e intención declarada antes de escribir</w:t>
            </w:r>
          </w:p>
        </w:tc>
        <w:tc>
          <w:tcPr>
            <w:tcW w:type="dxa" w:w="35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el runner, en nombre del agente</w:t>
            </w:r>
          </w:p>
        </w:tc>
      </w:tr>
      <w:tr>
        <w:trPr>
          <w:cantSplit/>
        </w:trPr>
        <w:tc>
          <w:tcPr>
            <w:tcW w:type="dxa" w:w="9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L2</w:t>
            </w:r>
          </w:p>
        </w:tc>
        <w:tc>
          <w:tcPr>
            <w:tcW w:type="dxa" w:w="56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volcado periódico del anillo de auditoría y del tablón al registro</w:t>
            </w:r>
          </w:p>
        </w:tc>
        <w:tc>
          <w:tcPr>
            <w:tcW w:type="dxa" w:w="35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colector, sujeto al spike S-Z</w:t>
            </w:r>
          </w:p>
        </w:tc>
      </w:tr>
      <w:tr>
        <w:trPr>
          <w:cantSplit/>
        </w:trPr>
        <w:tc>
          <w:tcPr>
            <w:tcW w:type="dxa" w:w="9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L3</w:t>
            </w:r>
          </w:p>
        </w:tc>
        <w:tc>
          <w:tcPr>
            <w:tcW w:type="dxa" w:w="56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hooks nativos del CLI</w:t>
            </w:r>
          </w:p>
        </w:tc>
        <w:tc>
          <w:tcPr>
            <w:tcW w:type="dxa" w:w="35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solo Claude Code los tiene</w:t>
            </w:r>
          </w:p>
        </w:tc>
      </w:tr>
    </w:tbl>
    <w:p/>
    <w:p>
      <w:r>
        <w:t xml:space="preserve">Zoanthrope arbitra; el registro de Synapser es la verdad de lo que se hizo. L1–L3 son observabilidad adicional: ninguna invariante de integridad los toma como premisa. El anillo de Zoanthrope tiene un tope de 1 000 eventos: el colector emite un evento de hueco declarado en lugar de ocultar una pérdida, y si el spike muestra que no puede detectarla de forma fiable, la presentación lo declara como muestra con huecos.</w:t>
      </w:r>
    </w:p>
    <w:p>
      <w:pPr>
        <w:pStyle w:val="Heading2"/>
      </w:pPr>
      <w:r>
        <w:rPr>
          <w:color w:val="000000"/>
        </w:rPr>
        <w:t xml:space="preserve">Estado vivo</w:t>
      </w:r>
    </w:p>
    <w:p>
      <w:r>
        <w:t xml:space="preserve">La proyección state(journal, atSeq) es una función pura del registro: por agente, estado, acción actual, archivos retenidos, espera y desde cuándo, y consumo con procedencia. Mismo registro, mismos bytes; permite reproducir el enjambre en un instante pasado. Se publica por una instantánea JSON y por un flujo SSE.</w:t>
      </w:r>
    </w:p>
    <w:tbl>
      <w:tblPr>
        <w:tblW w:type="auto" w:w="0"/>
        <w:jc w:val="center"/>
        <w:tblLayout w:type="fixed"/>
        <w:tblLook w:firstColumn="1" w:firstRow="1" w:lastColumn="0" w:lastRow="0" w:noHBand="0" w:noVBand="1" w:val="04A0"/>
      </w:tblPr>
      <w:tblGrid>
        <w:gridCol w:w="700"/>
        <w:gridCol w:w="6000"/>
        <w:gridCol w:w="3380"/>
      </w:tblGrid>
      <w:tr>
        <w:trPr>
          <w:tblHeader/>
        </w:trPr>
        <w:tc>
          <w:tcPr>
            <w:tcW w:type="dxa" w:w="7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
            </w:r>
          </w:p>
        </w:tc>
        <w:tc>
          <w:tcPr>
            <w:tcW w:type="dxa" w:w="60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Invariante</w:t>
            </w:r>
          </w:p>
        </w:tc>
        <w:tc>
          <w:tcPr>
            <w:tcW w:type="dxa" w:w="338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Verificador</w:t>
            </w:r>
          </w:p>
        </w:tc>
      </w:tr>
      <w:tr>
        <w:trPr>
          <w:cantSplit/>
        </w:trPr>
        <w:tc>
          <w:tcPr>
            <w:tcW w:type="dxa" w:w="7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Z1</w:t>
            </w:r>
          </w:p>
        </w:tc>
        <w:tc>
          <w:tcPr>
            <w:tcW w:type="dxa" w:w="60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ninguna conclusión de integridad usa observaciones de Zoanthrope como premisa</w:t>
            </w:r>
          </w:p>
        </w:tc>
        <w:tc>
          <w:tcPr>
            <w:tcW w:type="dxa" w:w="33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revisión estática de importaciones</w:t>
            </w:r>
          </w:p>
        </w:tc>
      </w:tr>
      <w:tr>
        <w:trPr>
          <w:cantSplit/>
        </w:trPr>
        <w:tc>
          <w:tcPr>
            <w:tcW w:type="dxa" w:w="7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Z2</w:t>
            </w:r>
          </w:p>
        </w:tc>
        <w:tc>
          <w:tcPr>
            <w:tcW w:type="dxa" w:w="60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el volcado no pierde eventos sin dejar un hueco declarado</w:t>
            </w:r>
          </w:p>
        </w:tc>
        <w:tc>
          <w:tcPr>
            <w:tcW w:type="dxa" w:w="33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prueba con anillo pequeño</w:t>
            </w:r>
          </w:p>
        </w:tc>
      </w:tr>
      <w:tr>
        <w:trPr>
          <w:cantSplit/>
        </w:trPr>
        <w:tc>
          <w:tcPr>
            <w:tcW w:type="dxa" w:w="7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Z3</w:t>
            </w:r>
          </w:p>
        </w:tc>
        <w:tc>
          <w:tcPr>
            <w:tcW w:type="dxa" w:w="60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la intención de una corrida precede a su primera escritura</w:t>
            </w:r>
          </w:p>
        </w:tc>
        <w:tc>
          <w:tcPr>
            <w:tcW w:type="dxa" w:w="33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checkIntentBeforeWrite</w:t>
            </w:r>
          </w:p>
        </w:tc>
      </w:tr>
      <w:tr>
        <w:trPr>
          <w:cantSplit/>
        </w:trPr>
        <w:tc>
          <w:tcPr>
            <w:tcW w:type="dxa" w:w="7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Z4</w:t>
            </w:r>
          </w:p>
        </w:tc>
        <w:tc>
          <w:tcPr>
            <w:tcW w:type="dxa" w:w="60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todo claim vivo corresponde a una acción no conciliada o se reporta huérfano</w:t>
            </w:r>
          </w:p>
        </w:tc>
        <w:tc>
          <w:tcPr>
            <w:tcW w:type="dxa" w:w="33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checkNoSilentOrphans</w:t>
            </w:r>
          </w:p>
        </w:tc>
      </w:tr>
      <w:tr>
        <w:trPr>
          <w:cantSplit/>
        </w:trPr>
        <w:tc>
          <w:tcPr>
            <w:tcW w:type="dxa" w:w="7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L1</w:t>
            </w:r>
          </w:p>
        </w:tc>
        <w:tc>
          <w:tcPr>
            <w:tcW w:type="dxa" w:w="60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state es determinista y reproducible por seq</w:t>
            </w:r>
          </w:p>
        </w:tc>
        <w:tc>
          <w:tcPr>
            <w:tcW w:type="dxa" w:w="33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doble cómputo</w:t>
            </w:r>
          </w:p>
        </w:tc>
      </w:tr>
      <w:tr>
        <w:trPr>
          <w:cantSplit/>
        </w:trPr>
        <w:tc>
          <w:tcPr>
            <w:tcW w:type="dxa" w:w="7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L2</w:t>
            </w:r>
          </w:p>
        </w:tc>
        <w:tc>
          <w:tcPr>
            <w:tcW w:type="dxa" w:w="60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los totales por agente de state coinciden con la consulta cost</w:t>
            </w:r>
          </w:p>
        </w:tc>
        <w:tc>
          <w:tcPr>
            <w:tcW w:type="dxa" w:w="33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prueba cruzada</w:t>
            </w:r>
          </w:p>
        </w:tc>
      </w:tr>
    </w:tbl>
    <w:p/>
    <w:p>
      <w:pPr>
        <w:pStyle w:val="Heading1"/>
      </w:pPr>
      <w:r>
        <w:rPr>
          <w:color w:val="000000"/>
        </w:rPr>
        <w:t xml:space="preserve">27 Interfaz y guion de demostración</w:t>
      </w:r>
    </w:p>
    <w:p>
      <w:r>
        <w:t xml:space="preserve">La interfaz es una aplicación React (Tailwind y shadcn/ui) compilada a un artefacto estático que sirve un servidor HTTP sin dependencias, con una API JSON delgada y SSE para el flujo vivo. Regla de diseño: cada cifra mostrada es una consulta sobre el registro y cita los eventos que la sustentan; la interfaz no tiene estado propio.</w:t>
      </w:r>
    </w:p>
    <w:tbl>
      <w:tblPr>
        <w:tblW w:type="auto" w:w="0"/>
        <w:jc w:val="center"/>
        <w:tblLayout w:type="fixed"/>
        <w:tblLook w:firstColumn="1" w:firstRow="1" w:lastColumn="0" w:lastRow="0" w:noHBand="0" w:noVBand="1" w:val="04A0"/>
      </w:tblPr>
      <w:tblGrid>
        <w:gridCol w:w="2600"/>
        <w:gridCol w:w="7480"/>
      </w:tblGrid>
      <w:tr>
        <w:trPr>
          <w:tblHeader/>
        </w:trPr>
        <w:tc>
          <w:tcPr>
            <w:tcW w:type="dxa" w:w="26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Vista</w:t>
            </w:r>
          </w:p>
        </w:tc>
        <w:tc>
          <w:tcPr>
            <w:tcW w:type="dxa" w:w="748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Pregunta que responde</w:t>
            </w:r>
          </w:p>
        </w:tc>
      </w:tr>
      <w:tr>
        <w:trPr>
          <w:cantSplit/>
        </w:trPr>
        <w:tc>
          <w:tcPr>
            <w:tcW w:type="dxa" w:w="26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Enjambre</w:t>
            </w:r>
          </w:p>
        </w:tc>
        <w:tc>
          <w:tcPr>
            <w:tcW w:type="dxa" w:w="74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qué hace cada agente ahora: árbol de tareas, estado y esperas</w:t>
            </w:r>
          </w:p>
        </w:tc>
      </w:tr>
      <w:tr>
        <w:trPr>
          <w:cantSplit/>
        </w:trPr>
        <w:tc>
          <w:tcPr>
            <w:tcW w:type="dxa" w:w="26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Línea de tiempo</w:t>
            </w:r>
          </w:p>
        </w:tc>
        <w:tc>
          <w:tcPr>
            <w:tcW w:type="dxa" w:w="74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qué pasó, cuándo y en qué orden, con reproducción por seq</w:t>
            </w:r>
          </w:p>
        </w:tc>
      </w:tr>
      <w:tr>
        <w:trPr>
          <w:cantSplit/>
        </w:trPr>
        <w:tc>
          <w:tcPr>
            <w:tcW w:type="dxa" w:w="26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Por qué</w:t>
            </w:r>
          </w:p>
        </w:tc>
        <w:tc>
          <w:tcPr>
            <w:tcW w:type="dxa" w:w="74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por qué cambió un archivo: cadena declarada más lo que el agente afirmó, etiquetado</w:t>
            </w:r>
          </w:p>
        </w:tc>
      </w:tr>
      <w:tr>
        <w:trPr>
          <w:cantSplit/>
        </w:trPr>
        <w:tc>
          <w:tcPr>
            <w:tcW w:type="dxa" w:w="26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Costo y desperdicio</w:t>
            </w:r>
          </w:p>
        </w:tc>
        <w:tc>
          <w:tcPr>
            <w:tcW w:type="dxa" w:w="74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quién gastó qué; lo desconocido marcado, no sumado como 0</w:t>
            </w:r>
          </w:p>
        </w:tc>
      </w:tr>
      <w:tr>
        <w:trPr>
          <w:cantSplit/>
        </w:trPr>
        <w:tc>
          <w:tcPr>
            <w:tcW w:type="dxa" w:w="26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Coordinación</w:t>
            </w:r>
          </w:p>
        </w:tc>
        <w:tc>
          <w:tcPr>
            <w:tcW w:type="dxa" w:w="74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dónde hubo esperas, vistas rancias y re-anclajes</w:t>
            </w:r>
          </w:p>
        </w:tc>
      </w:tr>
      <w:tr>
        <w:trPr>
          <w:cantSplit/>
        </w:trPr>
        <w:tc>
          <w:tcPr>
            <w:tcW w:type="dxa" w:w="26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Aprobaciones</w:t>
            </w:r>
          </w:p>
        </w:tc>
        <w:tc>
          <w:tcPr>
            <w:tcW w:type="dxa" w:w="74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bandeja de compuertas pendientes (única vista con escritura)</w:t>
            </w:r>
          </w:p>
        </w:tc>
      </w:tr>
      <w:tr>
        <w:trPr>
          <w:cantSplit/>
        </w:trPr>
        <w:tc>
          <w:tcPr>
            <w:tcW w:type="dxa" w:w="26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Integridad</w:t>
            </w:r>
          </w:p>
        </w:tc>
        <w:tc>
          <w:tcPr>
            <w:tcW w:type="dxa" w:w="74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cadena verificada, head y exportación verificable sin conexión</w:t>
            </w:r>
          </w:p>
        </w:tc>
      </w:tr>
    </w:tbl>
    <w:p/>
    <w:tbl>
      <w:tblPr>
        <w:tblW w:type="auto" w:w="0"/>
        <w:jc w:val="center"/>
        <w:tblLayout w:type="fixed"/>
        <w:tblLook w:firstColumn="1" w:firstRow="1" w:lastColumn="0" w:lastRow="0" w:noHBand="0" w:noVBand="1" w:val="04A0"/>
      </w:tblPr>
      <w:tblGrid>
        <w:gridCol w:w="700"/>
        <w:gridCol w:w="5200"/>
        <w:gridCol w:w="4180"/>
      </w:tblGrid>
      <w:tr>
        <w:trPr>
          <w:tblHeader/>
        </w:trPr>
        <w:tc>
          <w:tcPr>
            <w:tcW w:type="dxa" w:w="7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
            </w:r>
          </w:p>
        </w:tc>
        <w:tc>
          <w:tcPr>
            <w:tcW w:type="dxa" w:w="52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Invariante</w:t>
            </w:r>
          </w:p>
        </w:tc>
        <w:tc>
          <w:tcPr>
            <w:tcW w:type="dxa" w:w="418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Verificador</w:t>
            </w:r>
          </w:p>
        </w:tc>
      </w:tr>
      <w:tr>
        <w:trPr>
          <w:cantSplit/>
        </w:trPr>
        <w:tc>
          <w:tcPr>
            <w:tcW w:type="dxa" w:w="7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U1</w:t>
            </w:r>
          </w:p>
        </w:tc>
        <w:tc>
          <w:tcPr>
            <w:tcW w:type="dxa" w:w="52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la interfaz no puede causar una escritura en el workspace</w:t>
            </w:r>
          </w:p>
        </w:tc>
        <w:tc>
          <w:tcPr>
            <w:tcW w:type="dxa" w:w="41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el servidor no importa el ejecutor; POST solo añade aprobaciones</w:t>
            </w:r>
          </w:p>
        </w:tc>
      </w:tr>
      <w:tr>
        <w:trPr>
          <w:cantSplit/>
        </w:trPr>
        <w:tc>
          <w:tcPr>
            <w:tcW w:type="dxa" w:w="7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U2</w:t>
            </w:r>
          </w:p>
        </w:tc>
        <w:tc>
          <w:tcPr>
            <w:tcW w:type="dxa" w:w="52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toda cifra visible trae los seq de origen</w:t>
            </w:r>
          </w:p>
        </w:tc>
        <w:tc>
          <w:tcPr>
            <w:tcW w:type="dxa" w:w="41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contrato de la API</w:t>
            </w:r>
          </w:p>
        </w:tc>
      </w:tr>
      <w:tr>
        <w:trPr>
          <w:cantSplit/>
        </w:trPr>
        <w:tc>
          <w:tcPr>
            <w:tcW w:type="dxa" w:w="7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U3</w:t>
            </w:r>
          </w:p>
        </w:tc>
        <w:tc>
          <w:tcPr>
            <w:tcW w:type="dxa" w:w="52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la API es determinista</w:t>
            </w:r>
          </w:p>
        </w:tc>
        <w:tc>
          <w:tcPr>
            <w:tcW w:type="dxa" w:w="41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doble petición</w:t>
            </w:r>
          </w:p>
        </w:tc>
      </w:tr>
      <w:tr>
        <w:trPr>
          <w:cantSplit/>
        </w:trPr>
        <w:tc>
          <w:tcPr>
            <w:tcW w:type="dxa" w:w="7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U4</w:t>
            </w:r>
          </w:p>
        </w:tc>
        <w:tc>
          <w:tcPr>
            <w:tcW w:type="dxa" w:w="52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solo se aprueban compuertas vigentes</w:t>
            </w:r>
          </w:p>
        </w:tc>
        <w:tc>
          <w:tcPr>
            <w:tcW w:type="dxa" w:w="41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rechazo con digest viejo</w:t>
            </w:r>
          </w:p>
        </w:tc>
      </w:tr>
      <w:tr>
        <w:trPr>
          <w:cantSplit/>
        </w:trPr>
        <w:tc>
          <w:tcPr>
            <w:tcW w:type="dxa" w:w="7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U5</w:t>
            </w:r>
          </w:p>
        </w:tc>
        <w:tc>
          <w:tcPr>
            <w:tcW w:type="dxa" w:w="52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sin prompts ni contenido de archivos por defecto</w:t>
            </w:r>
          </w:p>
        </w:tc>
        <w:tc>
          <w:tcPr>
            <w:tcW w:type="dxa" w:w="41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prueba de fuga</w:t>
            </w:r>
          </w:p>
        </w:tc>
      </w:tr>
    </w:tbl>
    <w:p/>
    <w:p>
      <w:pPr>
        <w:pStyle w:val="Heading2"/>
      </w:pPr>
      <w:r>
        <w:rPr>
          <w:color w:val="000000"/>
        </w:rPr>
        <w:t xml:space="preserve">Guion de 3 a 5 minutos</w:t>
      </w:r>
    </w:p>
    <w:p>
      <w:pPr>
        <w:pStyle w:val="ListBullet"/>
      </w:pPr>
      <w:r>
        <w:t xml:space="preserve">Misión dada a Nemotron; se arma el enjambre y se ve qué perfil recibió cada tarea.</w:t>
      </w:r>
    </w:p>
    <w:p>
      <w:pPr>
        <w:pStyle w:val="ListBullet"/>
      </w:pPr>
      <w:r>
        <w:t xml:space="preserve">Contención en vivo sobre un archivo: una espera y un re-anclaje, sin pérdida.</w:t>
      </w:r>
    </w:p>
    <w:p>
      <w:pPr>
        <w:pStyle w:val="ListBullet"/>
      </w:pPr>
      <w:r>
        <w:t xml:space="preserve">Compuerta de aprobación humana desde la bandeja.</w:t>
      </w:r>
    </w:p>
    <w:p>
      <w:pPr>
        <w:pStyle w:val="ListBullet"/>
      </w:pPr>
      <w:r>
        <w:t xml:space="preserve">Pregunta de auditoría: por qué cambió esta línea, con la cadena y sus citas.</w:t>
      </w:r>
    </w:p>
    <w:p>
      <w:pPr>
        <w:pStyle w:val="ListBullet"/>
      </w:pPr>
      <w:r>
        <w:t xml:space="preserve">Panel de costo con lo desconocido marcado y las estimaciones señaladas como tales.</w:t>
      </w:r>
    </w:p>
    <w:p>
      <w:pPr>
        <w:pStyle w:val="ListBullet"/>
      </w:pPr>
      <w:r>
        <w:t xml:space="preserve">Insignia de integridad; se altera un byte de la exportación y la verificación falla.</w:t>
      </w:r>
    </w:p>
    <w:p>
      <w:pPr>
        <w:pStyle w:val="Heading1"/>
      </w:pPr>
      <w:r>
        <w:rPr>
          <w:color w:val="000000"/>
        </w:rPr>
        <w:t xml:space="preserve">28 Cronograma de la fase 2 y reglas de recorte</w:t>
      </w:r>
    </w:p>
    <w:tbl>
      <w:tblPr>
        <w:tblW w:type="auto" w:w="0"/>
        <w:jc w:val="center"/>
        <w:tblLayout w:type="fixed"/>
        <w:tblLook w:firstColumn="1" w:firstRow="1" w:lastColumn="0" w:lastRow="0" w:noHBand="0" w:noVBand="1" w:val="04A0"/>
      </w:tblPr>
      <w:tblGrid>
        <w:gridCol w:w="1500"/>
        <w:gridCol w:w="4900"/>
        <w:gridCol w:w="3680"/>
      </w:tblGrid>
      <w:tr>
        <w:trPr>
          <w:tblHeader/>
        </w:trPr>
        <w:tc>
          <w:tcPr>
            <w:tcW w:type="dxa" w:w="15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Tramo</w:t>
            </w:r>
          </w:p>
        </w:tc>
        <w:tc>
          <w:tcPr>
            <w:tcW w:type="dxa" w:w="49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Entrega</w:t>
            </w:r>
          </w:p>
        </w:tc>
        <w:tc>
          <w:tcPr>
            <w:tcW w:type="dxa" w:w="368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Salida verificable</w:t>
            </w:r>
          </w:p>
        </w:tc>
      </w:tr>
      <w:tr>
        <w:trPr>
          <w:cantSplit/>
        </w:trPr>
        <w:tc>
          <w:tcPr>
            <w:tcW w:type="dxa" w:w="15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14–17 oct</w:t>
            </w:r>
          </w:p>
        </w:tc>
        <w:tc>
          <w:tcPr>
            <w:tcW w:type="dxa" w:w="49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Catálogo, validador, enrutador, compuertas y W1–W4; investigación web con Tavily</w:t>
            </w:r>
          </w:p>
        </w:tc>
        <w:tc>
          <w:tcPr>
            <w:tcW w:type="dxa" w:w="36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pruebas sin modelo del plan 10; una misión con perfil elegido y una aprobación</w:t>
            </w:r>
          </w:p>
        </w:tc>
      </w:tr>
      <w:tr>
        <w:trPr>
          <w:cantSplit/>
        </w:trPr>
        <w:tc>
          <w:tcPr>
            <w:tcW w:type="dxa" w:w="15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18–21 oct</w:t>
            </w:r>
          </w:p>
        </w:tc>
        <w:tc>
          <w:tcPr>
            <w:tcW w:type="dxa" w:w="49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Spike S-Z, colector, estado vivo y SSE; subtareas pedidas (W5)</w:t>
            </w:r>
          </w:p>
        </w:tc>
        <w:tc>
          <w:tcPr>
            <w:tcW w:type="dxa" w:w="36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Z1–Z4, L1–L2; reproducción por seq</w:t>
            </w:r>
          </w:p>
        </w:tc>
      </w:tr>
      <w:tr>
        <w:trPr>
          <w:cantSplit/>
        </w:trPr>
        <w:tc>
          <w:tcPr>
            <w:tcW w:type="dxa" w:w="15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22–26 oct</w:t>
            </w:r>
          </w:p>
        </w:tc>
        <w:tc>
          <w:tcPr>
            <w:tcW w:type="dxa" w:w="49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API y vistas: integridad, por qué, costo y aprobaciones primero; luego enjambre, línea de tiempo y coordinación</w:t>
            </w:r>
          </w:p>
        </w:tc>
        <w:tc>
          <w:tcPr>
            <w:tcW w:type="dxa" w:w="36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U1–U5; capturas por vista</w:t>
            </w:r>
          </w:p>
        </w:tc>
      </w:tr>
      <w:tr>
        <w:trPr>
          <w:cantSplit/>
        </w:trPr>
        <w:tc>
          <w:tcPr>
            <w:tcW w:type="dxa" w:w="15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27–29 oct</w:t>
            </w:r>
          </w:p>
        </w:tc>
        <w:tc>
          <w:tcPr>
            <w:tcW w:type="dxa" w:w="49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Evaluación sobre carga realista; licencia, repositorio público, inglés, vídeo y formulario</w:t>
            </w:r>
          </w:p>
        </w:tc>
        <w:tc>
          <w:tcPr>
            <w:tcW w:type="dxa" w:w="36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lista de entrega completa</w:t>
            </w:r>
          </w:p>
        </w:tc>
      </w:tr>
      <w:tr>
        <w:trPr>
          <w:cantSplit/>
        </w:trPr>
        <w:tc>
          <w:tcPr>
            <w:tcW w:type="dxa" w:w="15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30 oct</w:t>
            </w:r>
          </w:p>
        </w:tc>
        <w:tc>
          <w:tcPr>
            <w:tcW w:type="dxa" w:w="49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Reserva; solo correcciones. Cierre a las 10:00 PT (14:00 Santiago)</w:t>
            </w:r>
          </w:p>
        </w:tc>
        <w:tc>
          <w:tcPr>
            <w:tcW w:type="dxa" w:w="36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w:t>
            </w:r>
          </w:p>
        </w:tc>
      </w:tr>
    </w:tbl>
    <w:p/>
    <w:p>
      <w:r>
        <w:t xml:space="preserve">Recorte, en este orden: reproducción por seq, vista de coordinación, delegación (W5), hooks nativos (L3). No se recortan integridad, aprobaciones, por qué y costo.</w:t>
      </w:r>
    </w:p>
    <w:p>
      <w:pPr>
        <w:pStyle w:val="Heading2"/>
      </w:pPr>
      <w:r>
        <w:rPr>
          <w:color w:val="000000"/>
        </w:rPr>
        <w:t xml:space="preserve">Decisiones aprobadas el 13 de octubre</w:t>
      </w:r>
    </w:p>
    <w:p>
      <w:pPr>
        <w:pStyle w:val="ListBullet"/>
      </w:pPr>
      <w:r>
        <w:t xml:space="preserve">El enrutador determinista manda; el modelo solo sugiere perfil.</w:t>
      </w:r>
    </w:p>
    <w:p>
      <w:pPr>
        <w:pStyle w:val="ListBullet"/>
      </w:pPr>
      <w:r>
        <w:t xml:space="preserve">La profundidad de delegación es configurable por workflow.</w:t>
      </w:r>
    </w:p>
    <w:p>
      <w:pPr>
        <w:pStyle w:val="ListBullet"/>
      </w:pPr>
      <w:r>
        <w:t xml:space="preserve">Un costo desconocido alerta y no bloquea; se aprende y se estima con procedencia propia.</w:t>
      </w:r>
    </w:p>
    <w:p>
      <w:pPr>
        <w:pStyle w:val="ListBullet"/>
      </w:pPr>
      <w:r>
        <w:t xml:space="preserve">La interfaz es una aplicación web con API JSON y SSE.</w:t>
      </w:r>
    </w:p>
    <w:p>
      <w:pPr>
        <w:pStyle w:val="ListBullet"/>
      </w:pPr>
      <w:r>
        <w:t xml:space="preserve">Los resultados medidos no se documentan en el repositorio; este documento conserva método, contratos y criterios.</w:t>
      </w:r>
    </w:p>
    <w:p>
      <w:pPr>
        <w:pStyle w:val="Heading1"/>
      </w:pPr>
      <w:r>
        <w:rPr>
          <w:color w:val="000000"/>
        </w:rPr>
        <w:t xml:space="preserve">29 Riesgos y límites declarados</w:t>
      </w:r>
    </w:p>
    <w:tbl>
      <w:tblPr>
        <w:tblW w:type="auto" w:w="0"/>
        <w:jc w:val="center"/>
        <w:tblLayout w:type="fixed"/>
        <w:tblLook w:firstColumn="1" w:firstRow="1" w:lastColumn="0" w:lastRow="0" w:noHBand="0" w:noVBand="1" w:val="04A0"/>
      </w:tblPr>
      <w:tblGrid>
        <w:gridCol w:w="5000"/>
        <w:gridCol w:w="5080"/>
      </w:tblGrid>
      <w:tr>
        <w:trPr>
          <w:tblHeader/>
        </w:trPr>
        <w:tc>
          <w:tcPr>
            <w:tcW w:type="dxa" w:w="50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Riesgo o límite</w:t>
            </w:r>
          </w:p>
        </w:tc>
        <w:tc>
          <w:tcPr>
            <w:tcW w:type="dxa" w:w="508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Tratamiento</w:t>
            </w:r>
          </w:p>
        </w:tc>
      </w:tr>
      <w:tr>
        <w:trPr>
          <w:cantSplit/>
        </w:trPr>
        <w:tc>
          <w:tcPr>
            <w:tcW w:type="dxa" w:w="50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El TTL de lease de Zoanthrope (60 s) no se ha verificado como inocuo para el registro sin TTL</w:t>
            </w:r>
          </w:p>
        </w:tc>
        <w:tc>
          <w:tcPr>
            <w:tcW w:type="dxa" w:w="50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Verificarlo con una prueba (ZOANTHROPE_LEASE_TTL_SECS=1) antes de apoyarse en ello</w:t>
            </w:r>
          </w:p>
        </w:tc>
      </w:tr>
      <w:tr>
        <w:trPr>
          <w:cantSplit/>
        </w:trPr>
        <w:tc>
          <w:tcPr>
            <w:tcW w:type="dxa" w:w="50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Durabilidad ante corte de energía</w:t>
            </w:r>
          </w:p>
        </w:tc>
        <w:tc>
          <w:tcPr>
            <w:tcW w:type="dxa" w:w="50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Fuera de alcance (§15); el aplicador hace fsync de temporales y directorio</w:t>
            </w:r>
          </w:p>
        </w:tc>
      </w:tr>
      <w:tr>
        <w:trPr>
          <w:cantSplit/>
        </w:trPr>
        <w:tc>
          <w:tcPr>
            <w:tcW w:type="dxa" w:w="50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node:sqlite es una API experimental de Node</w:t>
            </w:r>
          </w:p>
        </w:tc>
        <w:tc>
          <w:tcPr>
            <w:tcW w:type="dxa" w:w="50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Interfaz Journal estrecha; migrable a otro motor sin cambiar el formato</w:t>
            </w:r>
          </w:p>
        </w:tc>
      </w:tr>
      <w:tr>
        <w:trPr>
          <w:cantSplit/>
        </w:trPr>
        <w:tc>
          <w:tcPr>
            <w:tcW w:type="dxa" w:w="50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Algunos CLI no reportan uso (kimi) o ejecutan shell sin aislar el HOME</w:t>
            </w:r>
          </w:p>
        </w:tc>
        <w:tc>
          <w:tcPr>
            <w:tcW w:type="dxa" w:w="50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Procedencia unknown visible; aislamiento declarado como límite</w:t>
            </w:r>
          </w:p>
        </w:tc>
      </w:tr>
      <w:tr>
        <w:trPr>
          <w:cantSplit/>
        </w:trPr>
        <w:tc>
          <w:tcPr>
            <w:tcW w:type="dxa" w:w="50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El anillo de auditoría de Zoanthrope está acotado a 1 000 eventos</w:t>
            </w:r>
          </w:p>
        </w:tc>
        <w:tc>
          <w:tcPr>
            <w:tcW w:type="dxa" w:w="50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Colector con huecos declarados; el registro propio es la verdad</w:t>
            </w:r>
          </w:p>
        </w:tc>
      </w:tr>
      <w:tr>
        <w:trPr>
          <w:cantSplit/>
        </w:trPr>
        <w:tc>
          <w:tcPr>
            <w:tcW w:type="dxa" w:w="50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LangSmith es un servicio de terceros con retención limitada</w:t>
            </w:r>
          </w:p>
        </w:tc>
        <w:tc>
          <w:tcPr>
            <w:tcW w:type="dxa" w:w="50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Exportación opcional, sin contenido por defecto, nunca fuente de verdad</w:t>
            </w:r>
          </w:p>
        </w:tc>
      </w:tr>
      <w:tr>
        <w:trPr>
          <w:cantSplit/>
        </w:trPr>
        <w:tc>
          <w:tcPr>
            <w:tcW w:type="dxa" w:w="50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La capacidad del modelo para editar con texto exacto condiciona la tasa de misiones completadas</w:t>
            </w:r>
          </w:p>
        </w:tc>
        <w:tc>
          <w:tcPr>
            <w:tcW w:type="dxa" w:w="50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Retroalimentación de la herramienta, re-anclaje y métrica separada de las violaciones</w:t>
            </w:r>
          </w:p>
        </w:tc>
      </w:tr>
      <w:tr>
        <w:trPr>
          <w:cantSplit/>
        </w:trPr>
        <w:tc>
          <w:tcPr>
            <w:tcW w:type="dxa" w:w="50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Estimaciones de costo con pocos datos</w:t>
            </w:r>
          </w:p>
        </w:tc>
        <w:tc>
          <w:tcPr>
            <w:tcW w:type="dxa" w:w="50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Mínimo de observaciones; por debajo es desconocido y alerta</w:t>
            </w:r>
          </w:p>
        </w:tc>
      </w:tr>
    </w:tbl>
    <w:p/>
    <w:p>
      <w:pPr>
        <w:pStyle w:val="Heading1"/>
      </w:pPr>
      <w:r>
        <w:rPr>
          <w:color w:val="000000"/>
        </w:rPr>
        <w:t xml:space="preserve">30 Centro de mando: visión y alcance (plan 13)</w:t>
      </w:r>
    </w:p>
    <w:p>
      <w:r>
        <w:t xml:space="preserve">Synapser pasa de motor de coordinación a un pequeño centro de mando para enjambres de agentes. Esta sección y las siguientes describen lo agregado en la versión 0.4; todo está implementado y cubierto por pruebas automáticas, salvo lo señalado como límite en la sección 36.</w:t>
      </w:r>
    </w:p>
    <w:tbl>
      <w:tblPr>
        <w:tblW w:type="auto" w:w="0"/>
        <w:jc w:val="center"/>
        <w:tblLayout w:type="fixed"/>
        <w:tblLook w:firstColumn="1" w:firstRow="1" w:lastColumn="0" w:lastRow="0" w:noHBand="0" w:noVBand="1" w:val="04A0"/>
      </w:tblPr>
      <w:tblGrid>
        <w:gridCol w:w="2200"/>
        <w:gridCol w:w="6580"/>
        <w:gridCol w:w="1300"/>
      </w:tblGrid>
      <w:tr>
        <w:trPr>
          <w:tblHeader/>
        </w:trPr>
        <w:tc>
          <w:tcPr>
            <w:tcW w:type="dxa" w:w="22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Capacidad</w:t>
            </w:r>
          </w:p>
        </w:tc>
        <w:tc>
          <w:tcPr>
            <w:tcW w:type="dxa" w:w="658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Qué hace</w:t>
            </w:r>
          </w:p>
        </w:tc>
        <w:tc>
          <w:tcPr>
            <w:tcW w:type="dxa" w:w="13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Plan</w:t>
            </w:r>
          </w:p>
        </w:tc>
      </w:tr>
      <w:tr>
        <w:trPr>
          <w:cantSplit/>
        </w:trPr>
        <w:tc>
          <w:tcPr>
            <w:tcW w:type="dxa" w:w="22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Servidor MCP</w:t>
            </w:r>
          </w:p>
        </w:tc>
        <w:tc>
          <w:tcPr>
            <w:tcW w:type="dxa" w:w="65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Los agentes se conectan por MCP; el rol (iniciador, operador, trabajador) lo fija quien lanza el proceso, nunca el cliente; cada llamada queda en el ledger con quién la hizo</w:t>
            </w:r>
          </w:p>
        </w:tc>
        <w:tc>
          <w:tcPr>
            <w:tcW w:type="dxa" w:w="13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13 P1</w:t>
            </w:r>
          </w:p>
        </w:tc>
      </w:tr>
      <w:tr>
        <w:trPr>
          <w:cantSplit/>
        </w:trPr>
        <w:tc>
          <w:tcPr>
            <w:tcW w:type="dxa" w:w="22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Workflow y condiciones</w:t>
            </w:r>
          </w:p>
        </w:tc>
        <w:tc>
          <w:tcPr>
            <w:tcW w:type="dxa" w:w="65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Una tarea con descripción, metas y no-metas; termina cuando todas las condiciones de aceptación obligatorias se cumplen con evidencia; cada condición es una tarea atómica verificable</w:t>
            </w:r>
          </w:p>
        </w:tc>
        <w:tc>
          <w:tcPr>
            <w:tcW w:type="dxa" w:w="13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13 P1</w:t>
            </w:r>
          </w:p>
        </w:tc>
      </w:tr>
      <w:tr>
        <w:trPr>
          <w:cantSplit/>
        </w:trPr>
        <w:tc>
          <w:tcPr>
            <w:tcW w:type="dxa" w:w="22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Compuertas duras de efectos</w:t>
            </w:r>
          </w:p>
        </w:tc>
        <w:tc>
          <w:tcPr>
            <w:tcW w:type="dxa" w:w="65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git commit/push, gh pr y http.request solo ocurren tras una decisión humana ligada al digest exacto; el agente no tiene la capacidad, no solo la prohibición</w:t>
            </w:r>
          </w:p>
        </w:tc>
        <w:tc>
          <w:tcPr>
            <w:tcW w:type="dxa" w:w="13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13 P2</w:t>
            </w:r>
          </w:p>
        </w:tc>
      </w:tr>
      <w:tr>
        <w:trPr>
          <w:cantSplit/>
        </w:trPr>
        <w:tc>
          <w:tcPr>
            <w:tcW w:type="dxa" w:w="22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Asesor</w:t>
            </w:r>
          </w:p>
        </w:tc>
        <w:tc>
          <w:tcPr>
            <w:tcW w:type="dxa" w:w="65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Nemotron propone intervenciones tipadas (nota, retención, escalada, replan, rollback, pushback); el control las valida y aplica; Tavily aporta el pushback con fuentes realmente recuperadas</w:t>
            </w:r>
          </w:p>
        </w:tc>
        <w:tc>
          <w:tcPr>
            <w:tcW w:type="dxa" w:w="13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13 P3</w:t>
            </w:r>
          </w:p>
        </w:tc>
      </w:tr>
      <w:tr>
        <w:trPr>
          <w:cantSplit/>
        </w:trPr>
        <w:tc>
          <w:tcPr>
            <w:tcW w:type="dxa" w:w="22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Niveles y pools</w:t>
            </w:r>
          </w:p>
        </w:tc>
        <w:tc>
          <w:tcPr>
            <w:tcW w:type="dxa" w:w="65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Agentes por nivel (barato, estándar, avanzado); escalera por fallo; pools con concurrencia máxima; agentes configurables por endpoint o CLI; doctor</w:t>
            </w:r>
          </w:p>
        </w:tc>
        <w:tc>
          <w:tcPr>
            <w:tcW w:type="dxa" w:w="13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13 P4</w:t>
            </w:r>
          </w:p>
        </w:tc>
      </w:tr>
      <w:tr>
        <w:trPr>
          <w:cantSplit/>
        </w:trPr>
        <w:tc>
          <w:tcPr>
            <w:tcW w:type="dxa" w:w="22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Chat y consola web</w:t>
            </w:r>
          </w:p>
        </w:tc>
        <w:tc>
          <w:tcPr>
            <w:tcW w:type="dxa" w:w="65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Nemotron como interfaz de chat para pedir workflows; vistas de chat, workflows y agentes; el chat no puede iniciar, cancelar ni aprobar</w:t>
            </w:r>
          </w:p>
        </w:tc>
        <w:tc>
          <w:tcPr>
            <w:tcW w:type="dxa" w:w="13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13 P5</w:t>
            </w:r>
          </w:p>
        </w:tc>
      </w:tr>
    </w:tbl>
    <w:p/>
    <w:p>
      <w:pPr>
        <w:pStyle w:val="Heading1"/>
      </w:pPr>
      <w:r>
        <w:rPr>
          <w:color w:val="000000"/>
        </w:rPr>
        <w:t xml:space="preserve">31 Workflow, condiciones y compuertas</w:t>
      </w:r>
    </w:p>
    <w:p>
      <w:r>
        <w:t xml:space="preserve">Un workflow se define con título, descripción, metas, no-metas y condiciones. Cada condición lleva un verificador determinista: command (identificador de una lista permitida), citations (las URL de un archivo fueron realmente recuperadas), diff (rutas que deben o no deben cambiar), file, approval (aprobación humana), review (opinión de un agente, informativa salvo aceptación explícita) o effect (un efecto aprobado y realizado).</w:t>
      </w:r>
    </w:p>
    <w:p>
      <w:pPr>
        <w:pStyle w:val="ListBullet"/>
      </w:pPr>
      <w:r>
        <w:t xml:space="preserve">Ciclo de vida registrado como eventos del ledger: borrador, espera de inicio, planificación, ejecución, verificación, y terminal (hecho, fallido, cancelado).</w:t>
      </w:r>
    </w:p>
    <w:p>
      <w:pPr>
        <w:pStyle w:val="ListBullet"/>
      </w:pPr>
      <w:r>
        <w:t xml:space="preserve">Editar un workflow crea una revisión; la ejecución en curso se replanifica, no se muta.</w:t>
      </w:r>
    </w:p>
    <w:p>
      <w:pPr>
        <w:pStyle w:val="ListBullet"/>
      </w:pPr>
      <w:r>
        <w:t xml:space="preserve">El inicio puede exigir una compuerta; el desafío (código) se entrega solo por el canal humano, nunca por el ledger ni por MCP.</w:t>
      </w:r>
    </w:p>
    <w:p>
      <w:pPr>
        <w:pStyle w:val="ListBullet"/>
      </w:pPr>
      <w:r>
        <w:t xml:space="preserve">Una condición obligatoria de tipo review requiere una segunda aceptación; un modelo no se califica a sí mismo.</w:t>
      </w:r>
    </w:p>
    <w:p>
      <w:pPr>
        <w:pStyle w:val="ListBullet"/>
      </w:pPr>
      <w:r>
        <w:t xml:space="preserve">No-metas con guarda (diff o file) se comprueban en cada ronda: violarlas impide terminar aunque todo lo demás se cumpla.</w:t>
      </w:r>
    </w:p>
    <w:p>
      <w:pPr>
        <w:pStyle w:val="Heading1"/>
      </w:pPr>
      <w:r>
        <w:rPr>
          <w:color w:val="000000"/>
        </w:rPr>
        <w:t xml:space="preserve">32 Compuertas de efectos</w:t>
      </w:r>
    </w:p>
    <w:p>
      <w:r>
        <w:t xml:space="preserve">Los efectos con consecuencias fuera del espacio de trabajo pasan por un corredor único. La política es de negación por defecto y gana la regla más estricta.</w:t>
      </w:r>
    </w:p>
    <w:tbl>
      <w:tblPr>
        <w:tblW w:type="auto" w:w="0"/>
        <w:jc w:val="center"/>
        <w:tblLayout w:type="fixed"/>
        <w:tblLook w:firstColumn="1" w:firstRow="1" w:lastColumn="0" w:lastRow="0" w:noHBand="0" w:noVBand="1" w:val="04A0"/>
      </w:tblPr>
      <w:tblGrid>
        <w:gridCol w:w="3000"/>
        <w:gridCol w:w="7080"/>
      </w:tblGrid>
      <w:tr>
        <w:trPr>
          <w:tblHeader/>
        </w:trPr>
        <w:tc>
          <w:tcPr>
            <w:tcW w:type="dxa" w:w="30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Propiedad</w:t>
            </w:r>
          </w:p>
        </w:tc>
        <w:tc>
          <w:tcPr>
            <w:tcW w:type="dxa" w:w="708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Cómo se garantiza</w:t>
            </w:r>
          </w:p>
        </w:tc>
      </w:tr>
      <w:tr>
        <w:trPr>
          <w:cantSplit/>
        </w:trPr>
        <w:tc>
          <w:tcPr>
            <w:tcW w:type="dxa" w:w="30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El agente no puede empujar por su cuenta</w:t>
            </w:r>
          </w:p>
        </w:tc>
        <w:tc>
          <w:tcPr>
            <w:tcW w:type="dxa" w:w="70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El CLI corre con un HOME efímero, sin credenciales del entorno, con git apuntando a la nada y sin .git en la copia; se verificó con agentes reales</w:t>
            </w:r>
          </w:p>
        </w:tc>
      </w:tr>
      <w:tr>
        <w:trPr>
          <w:cantSplit/>
        </w:trPr>
        <w:tc>
          <w:tcPr>
            <w:tcW w:type="dxa" w:w="30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La aprobación vale para ese efecto exacto</w:t>
            </w:r>
          </w:p>
        </w:tc>
        <w:tc>
          <w:tcPr>
            <w:tcW w:type="dxa" w:w="70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La decisión se liga al digest de la solicitud; un cambio posterior la deja obsoleta (STALE)</w:t>
            </w:r>
          </w:p>
        </w:tc>
      </w:tr>
      <w:tr>
        <w:trPr>
          <w:cantSplit/>
        </w:trPr>
        <w:tc>
          <w:tcPr>
            <w:tcW w:type="dxa" w:w="30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Una vez</w:t>
            </w:r>
          </w:p>
        </w:tc>
        <w:tc>
          <w:tcPr>
            <w:tcW w:type="dxa" w:w="70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PENDING, EXECUTING, DONE/FAILED; un efecto realizado no se repite; las aprobaciones caducan (TTL)</w:t>
            </w:r>
          </w:p>
        </w:tc>
      </w:tr>
      <w:tr>
        <w:trPr>
          <w:cantSplit/>
        </w:trPr>
        <w:tc>
          <w:tcPr>
            <w:tcW w:type="dxa" w:w="30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Postcondición</w:t>
            </w:r>
          </w:p>
        </w:tc>
        <w:tc>
          <w:tcPr>
            <w:tcW w:type="dxa" w:w="70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Tras ejecutar se comprueba el resultado (p. ej. que el commit exista) antes de marcarlo hecho</w:t>
            </w:r>
          </w:p>
        </w:tc>
      </w:tr>
      <w:tr>
        <w:trPr>
          <w:cantSplit/>
        </w:trPr>
        <w:tc>
          <w:tcPr>
            <w:tcW w:type="dxa" w:w="30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Canales</w:t>
            </w:r>
          </w:p>
        </w:tc>
        <w:tc>
          <w:tcPr>
            <w:tcW w:type="dxa" w:w="70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UI y CLI directos; MCP exige el código fuera de banda</w:t>
            </w:r>
          </w:p>
        </w:tc>
      </w:tr>
    </w:tbl>
    <w:p/>
    <w:p>
      <w:pPr>
        <w:pStyle w:val="Heading1"/>
      </w:pPr>
      <w:r>
        <w:rPr>
          <w:color w:val="000000"/>
        </w:rPr>
        <w:t xml:space="preserve">33 El asesor</w:t>
      </w:r>
    </w:p>
    <w:p>
      <w:r>
        <w:t xml:space="preserve">Nemotron actúa como capa correctiva sin poder de escritura propio. Responde en JSON estricto; cada intervención nombra su disparador y su evidencia y se valida contra el estado vivo (tarea conocida, no terminal, dentro del alcance).</w:t>
      </w:r>
    </w:p>
    <w:tbl>
      <w:tblPr>
        <w:tblW w:type="auto" w:w="0"/>
        <w:jc w:val="center"/>
        <w:tblLayout w:type="fixed"/>
        <w:tblLook w:firstColumn="1" w:firstRow="1" w:lastColumn="0" w:lastRow="0" w:noHBand="0" w:noVBand="1" w:val="04A0"/>
      </w:tblPr>
      <w:tblGrid>
        <w:gridCol w:w="2200"/>
        <w:gridCol w:w="7880"/>
      </w:tblGrid>
      <w:tr>
        <w:trPr>
          <w:tblHeader/>
        </w:trPr>
        <w:tc>
          <w:tcPr>
            <w:tcW w:type="dxa" w:w="22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Intervención</w:t>
            </w:r>
          </w:p>
        </w:tc>
        <w:tc>
          <w:tcPr>
            <w:tcW w:type="dxa" w:w="788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Efecto</w:t>
            </w:r>
          </w:p>
        </w:tc>
      </w:tr>
      <w:tr>
        <w:trPr>
          <w:cantSplit/>
        </w:trPr>
        <w:tc>
          <w:tcPr>
            <w:tcW w:type="dxa" w:w="22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inject_note</w:t>
            </w:r>
          </w:p>
        </w:tc>
        <w:tc>
          <w:tcPr>
            <w:tcW w:type="dxa" w:w="78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La nota llega al siguiente intento de cualquier adaptador y entre turnos del bucle nativo</w:t>
            </w:r>
          </w:p>
        </w:tc>
      </w:tr>
      <w:tr>
        <w:trPr>
          <w:cantSplit/>
        </w:trPr>
        <w:tc>
          <w:tcPr>
            <w:tcW w:type="dxa" w:w="22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hold</w:t>
            </w:r>
          </w:p>
        </w:tc>
        <w:tc>
          <w:tcPr>
            <w:tcW w:type="dxa" w:w="78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Detiene la admisión y el bucle de una tarea hasta liberarla</w:t>
            </w:r>
          </w:p>
        </w:tc>
      </w:tr>
      <w:tr>
        <w:trPr>
          <w:cantSplit/>
        </w:trPr>
        <w:tc>
          <w:tcPr>
            <w:tcW w:type="dxa" w:w="22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escalate</w:t>
            </w:r>
          </w:p>
        </w:tc>
        <w:tc>
          <w:tcPr>
            <w:tcW w:type="dxa" w:w="78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Evita el perfil que falló y sube el piso de nivel</w:t>
            </w:r>
          </w:p>
        </w:tc>
      </w:tr>
      <w:tr>
        <w:trPr>
          <w:cantSplit/>
        </w:trPr>
        <w:tc>
          <w:tcPr>
            <w:tcW w:type="dxa" w:w="22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replan</w:t>
            </w:r>
          </w:p>
        </w:tc>
        <w:tc>
          <w:tcPr>
            <w:tcW w:type="dxa" w:w="78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Parte la tarea con el mismo validador de delegación, sustituye la original y reengancha a sus dependientes</w:t>
            </w:r>
          </w:p>
        </w:tc>
      </w:tr>
      <w:tr>
        <w:trPr>
          <w:cantSplit/>
        </w:trPr>
        <w:tc>
          <w:tcPr>
            <w:tcW w:type="dxa" w:w="22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rollback</w:t>
            </w:r>
          </w:p>
        </w:tc>
        <w:tc>
          <w:tcPr>
            <w:tcW w:type="dxa" w:w="78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Abre una compuerta humana; aprobado, revierte con acciones compensatorias solo sobre lo que sigue siendo exactamente lo que la tarea dejó</w:t>
            </w:r>
          </w:p>
        </w:tc>
      </w:tr>
      <w:tr>
        <w:trPr>
          <w:cantSplit/>
        </w:trPr>
        <w:tc>
          <w:tcPr>
            <w:tcW w:type="dxa" w:w="22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pushback</w:t>
            </w:r>
          </w:p>
        </w:tc>
        <w:tc>
          <w:tcPr>
            <w:tcW w:type="dxa" w:w="78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Supuestos de la tarea → búsquedas con la guarda de salida → hallazgos que solo citan fuentes recuperadas → tarea retenida a la espera de una decisión humana</w:t>
            </w:r>
          </w:p>
        </w:tc>
      </w:tr>
    </w:tbl>
    <w:p/>
    <w:p>
      <w:r>
        <w:t xml:space="preserve">Presupuestos de consultas e intervenciones por tarea se cuentan desde el ledger; preguntar no cambia nada: proponer y aplicar son pasos separados y registrados.</w:t>
      </w:r>
    </w:p>
    <w:p>
      <w:pPr>
        <w:pStyle w:val="Heading1"/>
      </w:pPr>
      <w:r>
        <w:rPr>
          <w:color w:val="000000"/>
        </w:rPr>
        <w:t xml:space="preserve">34 Niveles, escalera, pools y agentes configurables</w:t>
      </w:r>
    </w:p>
    <w:p>
      <w:pPr>
        <w:pStyle w:val="ListBullet"/>
      </w:pPr>
      <w:r>
        <w:t xml:space="preserve">Cada perfil declara un nivel: cheap (tareas puntuales), standard (construcción), advanced (investigación, revisión, decisiones difíciles). El planificador marca el nivel de cada tarea.</w:t>
      </w:r>
    </w:p>
    <w:p>
      <w:pPr>
        <w:pStyle w:val="ListBullet"/>
      </w:pPr>
      <w:r>
        <w:t xml:space="preserve">El enrutador usa el nivel más bajo que cumpla el piso pedido: nunca paga más de lo necesario.</w:t>
      </w:r>
    </w:p>
    <w:p>
      <w:pPr>
        <w:pStyle w:val="ListBullet"/>
      </w:pPr>
      <w:r>
        <w:t xml:space="preserve">Escalera: cada intento fallido sube el piso un nivel; es finita (tres peldaños) y cada reintento queda en el ledger.</w:t>
      </w:r>
    </w:p>
    <w:p>
      <w:pPr>
        <w:pStyle w:val="ListBullet"/>
      </w:pPr>
      <w:r>
        <w:t xml:space="preserve">Pools: grupos de agentes con concurrencia máxima, en orden FIFO; un trabajo que falla libera su cupo.</w:t>
      </w:r>
    </w:p>
    <w:p>
      <w:pPr>
        <w:pStyle w:val="ListBullet"/>
      </w:pPr>
      <w:r>
        <w:t xml:space="preserve">Configuración: extender un perfil integrado, apuntar a cualquier endpoint compatible con OpenAI (otro modelo, un servidor local; mismo bucle y ejecutor) o envolver cualquier CLI. Un archivo inválido se rechaza entero, con todos los problemas.</w:t>
      </w:r>
    </w:p>
    <w:p>
      <w:pPr>
        <w:pStyle w:val="ListBullet"/>
      </w:pPr>
      <w:r>
        <w:t xml:space="preserve">synapser doctor sondea qué está instalado y es usable y sugiere qué habilitar, sin habilitar nada.</w:t>
      </w:r>
    </w:p>
    <w:p>
      <w:pPr>
        <w:pStyle w:val="ListBullet"/>
      </w:pPr>
      <w:r>
        <w:t xml:space="preserve">El costo se aprende del historial de corridas anteriores; sin datos suficientes es desconocido y alerta, como antes.</w:t>
      </w:r>
    </w:p>
    <w:p>
      <w:pPr>
        <w:pStyle w:val="Heading1"/>
      </w:pPr>
      <w:r>
        <w:rPr>
          <w:color w:val="000000"/>
        </w:rPr>
        <w:t xml:space="preserve">35 Chat e interfaz</w:t>
      </w:r>
    </w:p>
    <w:p>
      <w:r>
        <w:t xml:space="preserve">El chat es la interfaz conversacional de Nemotron para pedir workflows. Sus herramientas son solo redactar un borrador, editarlo, listar, explicar, mostrar compuertas, listar agentes y consultar al asesor.</w:t>
      </w:r>
    </w:p>
    <w:p>
      <w:pPr>
        <w:pStyle w:val="ListBullet"/>
      </w:pPr>
      <w:r>
        <w:t xml:space="preserve">H1: no existe herramienta para iniciar, cancelar, aprobar ni aplicar; esas son acciones del operador desde la consola.</w:t>
      </w:r>
    </w:p>
    <w:p>
      <w:pPr>
        <w:pStyle w:val="ListBullet"/>
      </w:pPr>
      <w:r>
        <w:t xml:space="preserve">H2: los borradores pasan por el mismo validador que la API; los errores vuelven al modelo, que corrige.</w:t>
      </w:r>
    </w:p>
    <w:p>
      <w:pPr>
        <w:pStyle w:val="ListBullet"/>
      </w:pPr>
      <w:r>
        <w:t xml:space="preserve">H3: los hechos sobre una corrida citan el seq del ledger de donde salen; la conversación misma son eventos del ledger.</w:t>
      </w:r>
    </w:p>
    <w:p>
      <w:pPr>
        <w:pStyle w:val="ListBullet"/>
      </w:pPr>
      <w:r>
        <w:t xml:space="preserve">API: /api/workflows, /api/chat, /api/catalog, /api/config. Las escrituras exigen token de sesión y mismo origen; el actor es fijo; el servidor sigue sin ruta al ejecutor. Se lanza con synapser serve.</w:t>
      </w:r>
    </w:p>
    <w:p>
      <w:pPr>
        <w:pStyle w:val="ListBullet"/>
      </w:pPr>
      <w:r>
        <w:t xml:space="preserve">Vistas nuevas: Chat, Workflows (condiciones con estado y evidencia, iniciar y cancelar) y Agentes (nivel, capacidades, pool, costo, política).</w:t>
      </w:r>
    </w:p>
    <w:p>
      <w:pPr>
        <w:pStyle w:val="Heading1"/>
      </w:pPr>
      <w:r>
        <w:rPr>
          <w:color w:val="000000"/>
        </w:rPr>
        <w:t xml:space="preserve">36 Límites declarados del centro de mando</w:t>
      </w:r>
    </w:p>
    <w:tbl>
      <w:tblPr>
        <w:tblW w:type="auto" w:w="0"/>
        <w:jc w:val="center"/>
        <w:tblLayout w:type="fixed"/>
        <w:tblLook w:firstColumn="1" w:firstRow="1" w:lastColumn="0" w:lastRow="0" w:noHBand="0" w:noVBand="1" w:val="04A0"/>
      </w:tblPr>
      <w:tblGrid>
        <w:gridCol w:w="5000"/>
        <w:gridCol w:w="5080"/>
      </w:tblGrid>
      <w:tr>
        <w:trPr>
          <w:tblHeader/>
        </w:trPr>
        <w:tc>
          <w:tcPr>
            <w:tcW w:type="dxa" w:w="500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Límite</w:t>
            </w:r>
          </w:p>
        </w:tc>
        <w:tc>
          <w:tcPr>
            <w:tcW w:type="dxa" w:w="5080"/>
            <w:vAlign w:val="center"/>
            <w:tcMar>
              <w:top w:w="85" w:type="dxa"/>
              <w:left w:w="100" w:type="dxa"/>
              <w:bottom w:w="85" w:type="dxa"/>
              <w:right w:w="100" w:type="dxa"/>
            </w:tcMar>
            <w:shd w:fill="183A52"/>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color w:val="FFFFFF"/>
                <w:sz w:val="20"/>
              </w:rPr>
              <w:t xml:space="preserve">Tratamiento</w:t>
            </w:r>
          </w:p>
        </w:tc>
      </w:tr>
      <w:tr>
        <w:trPr>
          <w:cantSplit/>
        </w:trPr>
        <w:tc>
          <w:tcPr>
            <w:tcW w:type="dxa" w:w="50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Un agente con red puede exfiltrar los secretos que tenga; quitamos secretos, no la red</w:t>
            </w:r>
          </w:p>
        </w:tc>
        <w:tc>
          <w:tcPr>
            <w:tcW w:type="dxa" w:w="50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Declarado; no se promete aislamiento de red</w:t>
            </w:r>
          </w:p>
        </w:tc>
      </w:tr>
      <w:tr>
        <w:trPr>
          <w:cantSplit/>
        </w:trPr>
        <w:tc>
          <w:tcPr>
            <w:tcW w:type="dxa" w:w="50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El rollback se ejecuta solo mientras el ejecutor del workflow está vivo</w:t>
            </w:r>
          </w:p>
        </w:tc>
        <w:tc>
          <w:tcPr>
            <w:tcW w:type="dxa" w:w="50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Si no, queda propuesto y pendiente</w:t>
            </w:r>
          </w:p>
        </w:tc>
      </w:tr>
      <w:tr>
        <w:trPr>
          <w:cantSplit/>
        </w:trPr>
        <w:tc>
          <w:tcPr>
            <w:tcW w:type="dxa" w:w="50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Los agentes CLI one-shot no tienen canal de vuelta (subtareas, efectos, MCP)</w:t>
            </w:r>
          </w:p>
        </w:tc>
        <w:tc>
          <w:tcPr>
            <w:tcW w:type="dxa" w:w="50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El enlace MCP de trabajador existe en el servidor y no está conectado al lanzamiento de CLI</w:t>
            </w:r>
          </w:p>
        </w:tc>
      </w:tr>
      <w:tr>
        <w:trPr>
          <w:cantSplit/>
        </w:trPr>
        <w:tc>
          <w:tcPr>
            <w:tcW w:type="dxa" w:w="500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El chat y el asesor dependen de la calidad del modelo</w:t>
            </w:r>
          </w:p>
        </w:tc>
        <w:tc>
          <w:tcPr>
            <w:tcW w:type="dxa" w:w="5080"/>
            <w:vAlign w:val="center"/>
            <w:tcMar>
              <w:top w:w="85" w:type="dxa"/>
              <w:left w:w="100" w:type="dxa"/>
              <w:bottom w:w="85" w:type="dxa"/>
              <w:right w:w="100" w:type="dxa"/>
            </w:tcMar>
            <w:shd w:fill="FFFFFF"/>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Todo lo que proponen pasa por validadores deterministas y compuertas humanas</w:t>
            </w:r>
          </w:p>
        </w:tc>
      </w:tr>
      <w:tr>
        <w:trPr>
          <w:cantSplit/>
        </w:trPr>
        <w:tc>
          <w:tcPr>
            <w:tcW w:type="dxa" w:w="500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La edición de configuración desde la UI es de solo lectura por ahora</w:t>
            </w:r>
          </w:p>
        </w:tc>
        <w:tc>
          <w:tcPr>
            <w:tcW w:type="dxa" w:w="5080"/>
            <w:vAlign w:val="center"/>
            <w:tcMar>
              <w:top w:w="85" w:type="dxa"/>
              <w:left w:w="100" w:type="dxa"/>
              <w:bottom w:w="85" w:type="dxa"/>
              <w:right w:w="100" w:type="dxa"/>
            </w:tcMar>
            <w:shd w:fill="F0F5F8"/>
            <w:tcBorders>
              <w:top w:val="single" w:sz="4" w:color="D9D9D9"/>
              <w:left w:val="single" w:sz="4" w:color="D9D9D9"/>
              <w:bottom w:val="single" w:sz="4" w:color="D9D9D9"/>
              <w:right w:val="single" w:sz="4" w:color="D9D9D9"/>
            </w:tcBorders>
          </w:tcPr>
          <w:p>
            <w:pPr>
              <w:widowControl/>
              <w:spacing w:after="0" w:line="250" w:lineRule="auto"/>
              <w:jc w:val="left"/>
            </w:pPr>
            <w:r>
              <w:rPr>
                <w:rFonts w:ascii="Arial" w:hAnsi="Arial"/>
                <w:b w:val="0"/>
                <w:color w:val="111111"/>
                <w:sz w:val="20"/>
              </w:rPr>
              <w:t xml:space="preserve">La configuración se edita en el archivo; se rechaza entera si es inválida</w:t>
            </w:r>
          </w:p>
        </w:tc>
      </w:tr>
    </w:tbl>
    <w:p/>
    <w:p>
      <w:pPr>
        <w:pStyle w:val="Heading1"/>
      </w:pPr>
      <w:r>
        <w:t xml:space="preserve">37 Qué cambió en la versión 0.5 (plan 14: diseño desde la UI)</w:t>
      </w:r>
    </w:p>
    <w:p>
      <w:r>
        <w:t xml:space="preserve">La versión 0.5 agrega lo que el plan 14 pedía para diseñar desde la consola: adaptadores por agente, biblioteca versionada y la consola de diseño. Cada punto está implementado y cubierto por pruebas automáticas; sus límites están en la sección 40.</w:t>
      </w:r>
    </w:p>
    <w:p>
      <w:pPr>
        <w:pStyle w:val="ListBullet"/>
      </w:pPr>
      <w:r>
        <w:t xml:space="preserve">Adaptadores por agente (§1–§2 del plan 14): claude-code, codex, kimi, mimo y generic-cli declaran sus capacidades, y ninguno emite un flag que su tabla no declare.</w:t>
      </w:r>
    </w:p>
    <w:p>
      <w:pPr>
        <w:pStyle w:val="ListBullet"/>
      </w:pPr>
      <w:r>
        <w:t xml:space="preserve">Skills inyectadas por mecanismo nativo, con id, digest y mecanismo registrados en la corrida. Una skill no amplía permisos.</w:t>
      </w:r>
    </w:p>
    <w:p>
      <w:pPr>
        <w:pStyle w:val="ListBullet"/>
      </w:pPr>
      <w:r>
        <w:t xml:space="preserve">Biblioteca versionada de proveedores, agentes, skills y plantillas. Cada cambio es un evento encadenado en el ledger del servidor, y cada corrida toma una instantánea al iniciar.</w:t>
      </w:r>
    </w:p>
    <w:p>
      <w:pPr>
        <w:pStyle w:val="ListBullet"/>
      </w:pPr>
      <w:r>
        <w:t xml:space="preserve">Roles del sistema (planificador, asesor, chat, trabajador y reparación) asignables a proveedor y modelo en la configuración. Un archivo que no cumple sus reglas se rechaza entero.</w:t>
      </w:r>
    </w:p>
    <w:p>
      <w:pPr>
        <w:pStyle w:val="ListBullet"/>
      </w:pPr>
      <w:r>
        <w:t xml:space="preserve">Prueba de conexión por proveedor: lista los modelos que sirve el endpoint y hace una llamada mínima. La clave no aparece en ninguna respuesta.</w:t>
      </w:r>
    </w:p>
    <w:p>
      <w:pPr>
        <w:pStyle w:val="ListBullet"/>
      </w:pPr>
      <w:r>
        <w:t xml:space="preserve">Consola: inicio con workflows activos, compuertas pendientes, agentes y costo; diseñador de workflows con comprobación en vivo contra el validador del servidor y cuatro plantillas integradas; editor de biblioteca; intervenciones del asesor y efectos en el detalle de cada workflow.</w:t>
      </w:r>
    </w:p>
    <w:p>
      <w:pPr>
        <w:pStyle w:val="Heading1"/>
      </w:pPr>
      <w:r>
        <w:t xml:space="preserve">38 Estado del plan 14</w:t>
      </w:r>
    </w:p>
    <w:p>
      <w:r>
        <w:t xml:space="preserve">Q1 (adaptadores y skills), Q2 (biblioteca, proveedores y API) y Q4 (inicio y pantallas sin datos) están completos. En Q3 están hechos el diseñador de workflows, las plantillas integradas y el editor de biblioteca. Q3.3 y Q3.4 quedan bloqueadas por decisiones del usuario, y Q3.6 espera a ellas. El cierre incluye el README; la demo integrada (C.3) no se ha hecho, por pedido expreso.</w:t>
      </w:r>
    </w:p>
    <w:p>
      <w:pPr>
        <w:pStyle w:val="Heading1"/>
      </w:pPr>
      <w:r>
        <w:t xml:space="preserve">39 Invariantes del plan 14 y dónde se verifican</w:t>
      </w:r>
    </w:p>
    <w:p>
      <w:r>
        <w:t xml:space="preserve">Cada invariante tiene un verificador en las pruebas automáticas y un criterio de falsación, como en los planes 08 a 13.</w:t>
      </w:r>
    </w:p>
    <w:p>
      <w:pPr>
        <w:pStyle w:val="ListBullet"/>
      </w:pPr>
      <w:r>
        <w:t xml:space="preserve">L1: una skill inyectada es de la biblioteca y su digest queda en la corrida. Verificado en el límite del runner.</w:t>
      </w:r>
    </w:p>
    <w:p>
      <w:pPr>
        <w:pStyle w:val="ListBullet"/>
      </w:pPr>
      <w:r>
        <w:t xml:space="preserve">L2: una skill no amplía permisos. El adaptador no cambia herramientas, permisos, sandbox ni presupuesto.</w:t>
      </w:r>
    </w:p>
    <w:p>
      <w:pPr>
        <w:pStyle w:val="ListBullet"/>
      </w:pPr>
      <w:r>
        <w:t xml:space="preserve">L3: la instantánea de la biblioteca se congela al iniciar la corrida. Una edición posterior no cambia lo que lee la corrida.</w:t>
      </w:r>
    </w:p>
    <w:p>
      <w:pPr>
        <w:pStyle w:val="ListBullet"/>
      </w:pPr>
      <w:r>
        <w:t xml:space="preserve">L4: las escrituras de la biblioteca exigen token y mismo origen. Una configuración inválida se rechaza entera, con todos sus problemas.</w:t>
      </w:r>
    </w:p>
    <w:p>
      <w:pPr>
        <w:pStyle w:val="ListBullet"/>
      </w:pPr>
      <w:r>
        <w:t xml:space="preserve">L5: un adaptador solo emite flags que su tabla declara, contrastados con el --help del binario instalado.</w:t>
      </w:r>
    </w:p>
    <w:p>
      <w:pPr>
        <w:pStyle w:val="ListBullet"/>
      </w:pPr>
      <w:r>
        <w:t xml:space="preserve">L6: cada rol del sistema corre sobre un proveedor y modelo declarados en la configuración final. Un rol sin proveedor válido no llega a arrancar.</w:t>
      </w:r>
    </w:p>
    <w:p>
      <w:pPr>
        <w:pStyle w:val="Heading1"/>
      </w:pPr>
      <w:r>
        <w:t xml:space="preserve">40 Límites y decisiones abiertas</w:t>
      </w:r>
    </w:p>
    <w:p>
      <w:r>
        <w:t xml:space="preserve">Lo que sigue es real hoy, y se dice aquí en lugar de dejarlo implícito en el código.</w:t>
      </w:r>
    </w:p>
    <w:p>
      <w:pPr>
        <w:pStyle w:val="ListBullet"/>
      </w:pPr>
      <w:r>
        <w:t xml:space="preserve">Las corridas leen los proveedores y los agentes de la biblioteca desde su instantánea, tomada al arrancar, y los comprueban contra el archivo de configuración vigente. Una biblioteca que no cumple detiene la corrida, con todos sus motivos. Las skills de la biblioteca todavía no se inyectan (Q5.4: el archivo asigna las skills, decisión D6; pendiente de implementar).</w:t>
      </w:r>
    </w:p>
    <w:p>
      <w:pPr>
        <w:pStyle w:val="ListBullet"/>
      </w:pPr>
      <w:r>
        <w:t xml:space="preserve">Los roles trabajador y reparación del sistema solo llegan a una llamada en la ruta de misión sin orquestación. El motor de producción siempre orquesta, y los perfiles nativos llevan su propio proveedor.</w:t>
      </w:r>
    </w:p>
    <w:p>
      <w:pPr>
        <w:pStyle w:val="ListBullet"/>
      </w:pPr>
      <w:r>
        <w:t xml:space="preserve">Decisión del usuario: las corridas leen la biblioteca. La precedencia es sólo-añadir, confirmada por el usuario el 14 de octubre.</w:t>
      </w:r>
    </w:p>
    <w:p>
      <w:pPr>
        <w:pStyle w:val="ListBullet"/>
      </w:pPr>
      <w:r>
        <w:t xml:space="preserve">Decisión del usuario (14 de octubre): «probar agente» tiene un tope de tiempo obligatorio en los CLI sin tope en dólares, un proveedor de prueba marcado en el archivo, y una copia que se borra al terminar, con su registro. Se diseña al final del plan. El diseñador de agentes (Q3.3) se construye ahora.</w:t>
      </w:r>
    </w:p>
    <w:p>
      <w:pPr>
        <w:pStyle w:val="ListBullet"/>
      </w:pPr>
      <w:r>
        <w:t xml:space="preserve">Decisión abierta: el esquema de las plantillas guardadas en la biblioteca. Las cuatro plantillas integradas no lo necesitan.</w:t>
      </w:r>
    </w:p>
    <w:p>
      <w:pPr>
        <w:pStyle w:val="ListBullet"/>
      </w:pPr>
      <w:r>
        <w:t xml:space="preserve">Aprobada por el usuario: la forma canónica de la biblioteca acepta números decimales (precios) con una opción propia. Los digests de peticiones y del journal siguen siendo solo enteros.</w:t>
      </w:r>
    </w:p>
    <w:p>
      <w:pPr>
        <w:pStyle w:val="ListBullet"/>
      </w:pPr>
      <w:r>
        <w:t xml:space="preserve">Riesgo declarado: un proveedor del archivo puede usar cualquier variable de entorno del servidor, y la prueba de conexión la envía al endpoint https que nombre el documento guardado. Un proveedor de biblioteca solo puede usar las variables que el archivo permite en `providerKeyEnv`, que está vacía por defecto. El token de sesión lo obtiene cualquier proceso local, porque la API solo escucha en 127.0.0.1: una página de otro sitio no puede usarlo, pero un proceso local sí. La comprobación de Host (IC4) mitiga el rebinding de DNS. Decididos el 14 de octubre y sin implementar: el token en cookie HttpOnly (P15.4), la política de destinos (P15.5), las tarifas solo del archivo (P15.6) y el modo de confianza configurable (P15.7). La red de los CLI (D5) se investiga antes de decidir. El plan 15 documenta el modelo de amenaza.</w:t>
      </w:r>
    </w:p>
    <w:sectPr w:rsidR="00FC693F" w:rsidRPr="0006063C" w:rsidSect="00034616">
      <w:footerReference w:type="default" r:id="rId9"/>
      <w:pgSz w:w="12240" w:h="15840"/>
      <w:pgMar w:top="965" w:right="1080" w:bottom="965"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05050"/>
        <w:sz w:val="16"/>
      </w:rPr>
      <w:t xml:space="preserve">Synapser  ·  Diseño 0.5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8" w:lineRule="auto" w:after="120"/>
    </w:pPr>
    <w:rPr>
      <w:rFonts w:ascii="Arial" w:hAnsi="Arial" w:eastAsia="Arial" w:cs="Arial"/>
      <w:b w:val="0"/>
      <w:color w:val="000000"/>
      <w:sz w:val="22"/>
      <w:lang w:val="es-C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Arial" w:cs="Arial"/>
      <w:b/>
      <w:bCs/>
      <w:color w:val="000000"/>
      <w:sz w:val="34"/>
      <w:szCs w:val="28"/>
      <w:lang w:val="es-CL"/>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cs="Arial"/>
      <w:b/>
      <w:bCs/>
      <w:color w:val="000000"/>
      <w:sz w:val="25"/>
      <w:szCs w:val="26"/>
      <w:lang w:val="es-CL"/>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cs="Arial"/>
      <w:b/>
      <w:bCs/>
      <w:color w:val="000000"/>
      <w:sz w:val="22"/>
      <w:lang w:val="es-C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eastAsia="Arial" w:cs="Arial"/>
      <w:b/>
      <w:color w:val="000000"/>
      <w:spacing w:val="5"/>
      <w:kern w:val="28"/>
      <w:sz w:val="58"/>
      <w:szCs w:val="52"/>
      <w:lang w:val="es-C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eastAsia="Arial" w:cs="Arial"/>
      <w:b w:val="0"/>
      <w:i/>
      <w:iCs/>
      <w:color w:val="000000"/>
      <w:spacing w:val="15"/>
      <w:sz w:val="28"/>
      <w:szCs w:val="24"/>
      <w:lang w:val="es-C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0" w:lineRule="auto"/>
      <w:contextualSpacing/>
    </w:pPr>
    <w:rPr>
      <w:rFonts w:ascii="Arial" w:hAnsi="Arial" w:eastAsia="Arial" w:cs="Arial"/>
      <w:b w:val="0"/>
      <w:color w:val="000000"/>
      <w:sz w:val="22"/>
      <w:lang w:val="es-C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0" w:lineRule="auto"/>
      <w:contextualSpacing/>
    </w:pPr>
    <w:rPr>
      <w:rFonts w:ascii="Arial" w:hAnsi="Arial" w:eastAsia="Arial" w:cs="Arial"/>
      <w:b w:val="0"/>
      <w:color w:val="000000"/>
      <w:sz w:val="22"/>
      <w:lang w:val="es-C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val="0"/>
      <w:bCs/>
      <w:color w:val="404040"/>
      <w:sz w:val="19"/>
      <w:szCs w:val="18"/>
      <w:lang w:val="es-CL"/>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52" w:lineRule="auto" w:after="80"/>
    </w:pPr>
    <w:rPr>
      <w:rFonts w:ascii="Liberation Mono" w:hAnsi="Liberation Mono" w:eastAsia="Liberation Mono" w:cs="Liberation Mono"/>
      <w:b w:val="0"/>
      <w:color w:val="000000"/>
      <w:sz w:val="19"/>
      <w:lang w:val="es-C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spuentesp/zoanthrope/blob/37ecffae1fd131c4e9ab073bc003e3a453b3ac81/README.md" TargetMode="External"/><Relationship Id="rId12" Type="http://schemas.openxmlformats.org/officeDocument/2006/relationships/hyperlink" Target="https://github.com/spuentesp/zoanthrope/blob/37ecffae1fd131c4e9ab073bc003e3a453b3ac81/src/tools.rs" TargetMode="External"/><Relationship Id="rId13" Type="http://schemas.openxmlformats.org/officeDocument/2006/relationships/hyperlink" Target="https://github.com/spuentesp/zoanthrope/blob/37ecffae1fd131c4e9ab073bc003e3a453b3ac81/hooks/claude-code/claim-guard.sh" TargetMode="External"/><Relationship Id="rId14" Type="http://schemas.openxmlformats.org/officeDocument/2006/relationships/hyperlink" Target="https://github.com/spuentesp/zoanthrope/blob/37ecffae1fd131c4e9ab073bc003e3a453b3ac81/formal/README.md" TargetMode="External"/><Relationship Id="rId15" Type="http://schemas.openxmlformats.org/officeDocument/2006/relationships/hyperlink" Target="https://github.com/spuentesp/zoanthrope/blob/37ecffae1fd131c4e9ab073bc003e3a453b3ac81/experiments/zoo-ab-2026-10-12.md" TargetMode="External"/><Relationship Id="rId16" Type="http://schemas.openxmlformats.org/officeDocument/2006/relationships/hyperlink" Target="https://nebiusglobalaihackathon.devpost.com/rules/" TargetMode="External"/><Relationship Id="rId17" Type="http://schemas.openxmlformats.org/officeDocument/2006/relationships/hyperlink" Target="https://github.com/spuentesp/lain/pull/319" TargetMode="External"/><Relationship Id="rId18" Type="http://schemas.openxmlformats.org/officeDocument/2006/relationships/hyperlink" Target="https://github.com/spuentesp/zoanthrope/blob/37ecffae1fd131c4e9ab073bc003e3a453b3ac81/src/mcp.rs" TargetMode="External"/><Relationship Id="rId19" Type="http://schemas.openxmlformats.org/officeDocument/2006/relationships/hyperlink" Target="https://github.com/spuentesp/zoanthrope/blob/37ecffae1fd131c4e9ab073bc003e3a453b3ac81/src/main.rs" TargetMode="External"/><Relationship Id="rId20" Type="http://schemas.openxmlformats.org/officeDocument/2006/relationships/hyperlink" Target="https://github.com/spuentesp/zoanthrope/blob/37ecffae1fd131c4e9ab073bc003e3a453b3ac81/src/state.rs" TargetMode="External"/><Relationship Id="rId21" Type="http://schemas.openxmlformats.org/officeDocument/2006/relationships/hyperlink" Target="https://github.com/spuentesp/zoanthrope/blob/37ecffae1fd131c4e9ab073bc003e3a453b3ac81/tests/clobber_chaos.rs" TargetMode="External"/><Relationship Id="rId22" Type="http://schemas.openxmlformats.org/officeDocument/2006/relationships/hyperlink" Target="https://docs.tokenfactory.nebius.com/ai-models-inference/function-calling" TargetMode="External"/><Relationship Id="rId23" Type="http://schemas.openxmlformats.org/officeDocument/2006/relationships/hyperlink" Target="https://github.com/nebius/token-factory-cookbook/blob/main/models/nemotron/nemotron3-nano-30b.md" TargetMode="External"/><Relationship Id="rId24" Type="http://schemas.openxmlformats.org/officeDocument/2006/relationships/hyperlink" Target="https://github.com/spuentesp/lain/compare/ba645e632c9ef479e4bb6cbc819c42ad88b8a922...0abcd968fd78cc807b829e6877455eef616232c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Synapser</dc:title>
  <dc:subject>Ejecución supervisada de agentes basada en Zoanthrope</dc:subject>
  <dc:creator>Sebastian</dc:creator>
  <cp:keywords>Synapser, diseño, arquitectura, hackathon, NVIDIA, Nebius</cp:keywords>
  <dc:description>generated by python-docx</dc:description>
  <cp:lastModifiedBy/>
  <cp:revision>1</cp:revision>
  <dcterms:created xsi:type="dcterms:W3CDTF">2026-10-13T16:45:00Z</dcterms:created>
  <dcterms:modified xsi:type="dcterms:W3CDTF">2026-10-13T16:45:00Z</dcterms:modified>
  <cp:category/>
</cp:coreProperties>
</file>