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97BA6" w14:textId="77777777" w:rsidR="003A04E2" w:rsidRPr="003A04E2" w:rsidRDefault="003A04E2" w:rsidP="003A04E2">
      <w:r w:rsidRPr="003A04E2">
        <w:rPr>
          <w:b/>
          <w:bCs/>
        </w:rPr>
        <w:t>Advertising Policy</w:t>
      </w:r>
    </w:p>
    <w:p w14:paraId="50498A1D" w14:textId="77777777" w:rsidR="003A04E2" w:rsidRPr="003A04E2" w:rsidRDefault="003A04E2" w:rsidP="003A04E2">
      <w:r w:rsidRPr="003A04E2">
        <w:rPr>
          <w:b/>
          <w:bCs/>
        </w:rPr>
        <w:t>Purpose:</w:t>
      </w:r>
      <w:r w:rsidRPr="003A04E2">
        <w:br/>
        <w:t>This policy sets forth guidelines for advertising and marketing practices to ensure compliance with applicable federal and state regulations, to maintain the integrity of the bank’s image, and to uphold fair and truthful communication with customers and the public.</w:t>
      </w:r>
    </w:p>
    <w:p w14:paraId="30444949" w14:textId="77777777" w:rsidR="003A04E2" w:rsidRPr="003A04E2" w:rsidRDefault="003A04E2" w:rsidP="003A04E2">
      <w:r w:rsidRPr="003A04E2">
        <w:rPr>
          <w:b/>
          <w:bCs/>
        </w:rPr>
        <w:t>Scope:</w:t>
      </w:r>
      <w:r w:rsidRPr="003A04E2">
        <w:br/>
        <w:t>This policy applies to all advertising, promotional materials, and marketing communications of the Bank, including print, digital, broadcast media, and social media platforms.</w:t>
      </w:r>
    </w:p>
    <w:p w14:paraId="46BC4BB0" w14:textId="77777777" w:rsidR="003A04E2" w:rsidRPr="003A04E2" w:rsidRDefault="003A04E2" w:rsidP="003A04E2">
      <w:r w:rsidRPr="003A04E2">
        <w:rPr>
          <w:b/>
          <w:bCs/>
        </w:rPr>
        <w:t>Regulatory Compliance:</w:t>
      </w:r>
      <w:r w:rsidRPr="003A04E2">
        <w:br/>
        <w:t>All advertising activities must comply with the following regulations and laws:</w:t>
      </w:r>
    </w:p>
    <w:p w14:paraId="40B0746E" w14:textId="77777777" w:rsidR="003A04E2" w:rsidRPr="003A04E2" w:rsidRDefault="003A04E2" w:rsidP="003A04E2">
      <w:pPr>
        <w:numPr>
          <w:ilvl w:val="0"/>
          <w:numId w:val="1"/>
        </w:numPr>
      </w:pPr>
      <w:r w:rsidRPr="003A04E2">
        <w:t>Truth in Lending Act (Regulation Z)</w:t>
      </w:r>
    </w:p>
    <w:p w14:paraId="4C6F8377" w14:textId="77777777" w:rsidR="003A04E2" w:rsidRPr="003A04E2" w:rsidRDefault="003A04E2" w:rsidP="003A04E2">
      <w:pPr>
        <w:numPr>
          <w:ilvl w:val="0"/>
          <w:numId w:val="1"/>
        </w:numPr>
      </w:pPr>
      <w:r w:rsidRPr="003A04E2">
        <w:t>Equal Credit Opportunity Act (Regulation B)</w:t>
      </w:r>
    </w:p>
    <w:p w14:paraId="6D134E76" w14:textId="77777777" w:rsidR="003A04E2" w:rsidRPr="003A04E2" w:rsidRDefault="003A04E2" w:rsidP="003A04E2">
      <w:pPr>
        <w:numPr>
          <w:ilvl w:val="0"/>
          <w:numId w:val="1"/>
        </w:numPr>
      </w:pPr>
      <w:r w:rsidRPr="003A04E2">
        <w:t>Truth in Savings Act (Regulation DD)</w:t>
      </w:r>
    </w:p>
    <w:p w14:paraId="18B5E3BB" w14:textId="77777777" w:rsidR="003A04E2" w:rsidRPr="003A04E2" w:rsidRDefault="003A04E2" w:rsidP="003A04E2">
      <w:pPr>
        <w:numPr>
          <w:ilvl w:val="0"/>
          <w:numId w:val="1"/>
        </w:numPr>
      </w:pPr>
      <w:r w:rsidRPr="003A04E2">
        <w:t>Unfair, Deceptive, or Abusive Acts or Practices (UDAAP)</w:t>
      </w:r>
    </w:p>
    <w:p w14:paraId="14EE2EEA" w14:textId="77777777" w:rsidR="003A04E2" w:rsidRPr="003A04E2" w:rsidRDefault="003A04E2" w:rsidP="003A04E2">
      <w:pPr>
        <w:numPr>
          <w:ilvl w:val="0"/>
          <w:numId w:val="1"/>
        </w:numPr>
      </w:pPr>
      <w:r w:rsidRPr="003A04E2">
        <w:t>Community Reinvestment Act (CRA)</w:t>
      </w:r>
    </w:p>
    <w:p w14:paraId="108A8068" w14:textId="77777777" w:rsidR="003A04E2" w:rsidRPr="003A04E2" w:rsidRDefault="003A04E2" w:rsidP="003A04E2">
      <w:pPr>
        <w:numPr>
          <w:ilvl w:val="0"/>
          <w:numId w:val="1"/>
        </w:numPr>
      </w:pPr>
      <w:r w:rsidRPr="003A04E2">
        <w:t>Fair Housing Act</w:t>
      </w:r>
    </w:p>
    <w:p w14:paraId="2C6CCE81" w14:textId="77777777" w:rsidR="003A04E2" w:rsidRPr="003A04E2" w:rsidRDefault="003A04E2" w:rsidP="003A04E2">
      <w:pPr>
        <w:numPr>
          <w:ilvl w:val="0"/>
          <w:numId w:val="1"/>
        </w:numPr>
      </w:pPr>
      <w:r w:rsidRPr="003A04E2">
        <w:t>Gramm-Leach-Bliley Act (Privacy)</w:t>
      </w:r>
    </w:p>
    <w:p w14:paraId="653AF198" w14:textId="77777777" w:rsidR="003A04E2" w:rsidRPr="003A04E2" w:rsidRDefault="003A04E2" w:rsidP="003A04E2">
      <w:r w:rsidRPr="003A04E2">
        <w:rPr>
          <w:b/>
          <w:bCs/>
        </w:rPr>
        <w:t>Advertising Standards:</w:t>
      </w:r>
    </w:p>
    <w:p w14:paraId="2153400B" w14:textId="77777777" w:rsidR="003A04E2" w:rsidRPr="003A04E2" w:rsidRDefault="003A04E2" w:rsidP="003A04E2">
      <w:pPr>
        <w:numPr>
          <w:ilvl w:val="0"/>
          <w:numId w:val="2"/>
        </w:numPr>
      </w:pPr>
      <w:r w:rsidRPr="003A04E2">
        <w:rPr>
          <w:b/>
          <w:bCs/>
        </w:rPr>
        <w:t>Truthfulness:</w:t>
      </w:r>
      <w:r w:rsidRPr="003A04E2">
        <w:br/>
        <w:t>All advertisements must be truthful, clear, and not misleading. Claims made about products or services must be substantiated.</w:t>
      </w:r>
    </w:p>
    <w:p w14:paraId="11CCA816" w14:textId="77777777" w:rsidR="003A04E2" w:rsidRPr="003A04E2" w:rsidRDefault="003A04E2" w:rsidP="003A04E2">
      <w:pPr>
        <w:numPr>
          <w:ilvl w:val="0"/>
          <w:numId w:val="2"/>
        </w:numPr>
      </w:pPr>
      <w:r w:rsidRPr="003A04E2">
        <w:rPr>
          <w:b/>
          <w:bCs/>
        </w:rPr>
        <w:t>Fair Lending:</w:t>
      </w:r>
      <w:r w:rsidRPr="003A04E2">
        <w:br/>
        <w:t>Advertisements must clearly display equal housing and equal opportunity lending logos and statements where required, ensuring no discriminatory language or practices.</w:t>
      </w:r>
    </w:p>
    <w:p w14:paraId="73590F68" w14:textId="77777777" w:rsidR="003A04E2" w:rsidRPr="003A04E2" w:rsidRDefault="003A04E2" w:rsidP="003A04E2">
      <w:pPr>
        <w:numPr>
          <w:ilvl w:val="0"/>
          <w:numId w:val="2"/>
        </w:numPr>
      </w:pPr>
      <w:r w:rsidRPr="003A04E2">
        <w:rPr>
          <w:b/>
          <w:bCs/>
        </w:rPr>
        <w:t>Rates and Terms:</w:t>
      </w:r>
      <w:r w:rsidRPr="003A04E2">
        <w:br/>
        <w:t>Clearly and conspicuously disclose terms, rates, fees, and conditions for all advertised banking products. Annual Percentage Rates (APR), Annual Percentage Yields (APY), and other regulatory-required terms must be prominently displayed.</w:t>
      </w:r>
    </w:p>
    <w:p w14:paraId="3AB10A8F" w14:textId="77777777" w:rsidR="003A04E2" w:rsidRPr="003A04E2" w:rsidRDefault="003A04E2" w:rsidP="003A04E2">
      <w:pPr>
        <w:numPr>
          <w:ilvl w:val="0"/>
          <w:numId w:val="2"/>
        </w:numPr>
      </w:pPr>
      <w:r w:rsidRPr="003A04E2">
        <w:rPr>
          <w:b/>
          <w:bCs/>
        </w:rPr>
        <w:lastRenderedPageBreak/>
        <w:t>Deposit Insurance:</w:t>
      </w:r>
      <w:r w:rsidRPr="003A04E2">
        <w:br/>
        <w:t>Advertisements must prominently state that the bank is FDIC insured where applicable, adhering to FDIC advertising requirements.</w:t>
      </w:r>
    </w:p>
    <w:p w14:paraId="34EEDA81" w14:textId="77777777" w:rsidR="003A04E2" w:rsidRPr="003A04E2" w:rsidRDefault="003A04E2" w:rsidP="003A04E2">
      <w:pPr>
        <w:numPr>
          <w:ilvl w:val="0"/>
          <w:numId w:val="2"/>
        </w:numPr>
      </w:pPr>
      <w:r w:rsidRPr="003A04E2">
        <w:rPr>
          <w:b/>
          <w:bCs/>
        </w:rPr>
        <w:t>Privacy and Security:</w:t>
      </w:r>
      <w:r w:rsidRPr="003A04E2">
        <w:br/>
        <w:t>Marketing practices must respect customer privacy. No personal or confidential customer information shall be disclosed or used in advertising without explicit consent.</w:t>
      </w:r>
    </w:p>
    <w:p w14:paraId="4A415670" w14:textId="77777777" w:rsidR="003A04E2" w:rsidRPr="003A04E2" w:rsidRDefault="003A04E2" w:rsidP="003A04E2">
      <w:pPr>
        <w:numPr>
          <w:ilvl w:val="0"/>
          <w:numId w:val="2"/>
        </w:numPr>
      </w:pPr>
      <w:r w:rsidRPr="003A04E2">
        <w:rPr>
          <w:b/>
          <w:bCs/>
        </w:rPr>
        <w:t>Social Media and Digital Advertising:</w:t>
      </w:r>
      <w:r w:rsidRPr="003A04E2">
        <w:br/>
        <w:t>Digital communications, including website and social media content, must comply with all applicable advertising regulations. Periodic audits of online content will be conducted.</w:t>
      </w:r>
    </w:p>
    <w:p w14:paraId="479DDCC8" w14:textId="77777777" w:rsidR="003A04E2" w:rsidRPr="003A04E2" w:rsidRDefault="003A04E2" w:rsidP="003A04E2">
      <w:r w:rsidRPr="003A04E2">
        <w:rPr>
          <w:b/>
          <w:bCs/>
        </w:rPr>
        <w:t>Approval and Review Process:</w:t>
      </w:r>
    </w:p>
    <w:p w14:paraId="0E2BB32F" w14:textId="77777777" w:rsidR="003A04E2" w:rsidRPr="003A04E2" w:rsidRDefault="003A04E2" w:rsidP="003A04E2">
      <w:pPr>
        <w:numPr>
          <w:ilvl w:val="0"/>
          <w:numId w:val="3"/>
        </w:numPr>
      </w:pPr>
      <w:r w:rsidRPr="003A04E2">
        <w:t>All advertisements must undergo an internal compliance review prior to publication.</w:t>
      </w:r>
    </w:p>
    <w:p w14:paraId="3D85D356" w14:textId="77777777" w:rsidR="003A04E2" w:rsidRPr="003A04E2" w:rsidRDefault="003A04E2" w:rsidP="003A04E2">
      <w:pPr>
        <w:numPr>
          <w:ilvl w:val="0"/>
          <w:numId w:val="3"/>
        </w:numPr>
      </w:pPr>
      <w:r w:rsidRPr="003A04E2">
        <w:t>Final approval from the bank’s Compliance Officer or a designated member of senior management is required before distribution.</w:t>
      </w:r>
    </w:p>
    <w:p w14:paraId="52096C19" w14:textId="77777777" w:rsidR="003A04E2" w:rsidRPr="003A04E2" w:rsidRDefault="003A04E2" w:rsidP="003A04E2">
      <w:r w:rsidRPr="003A04E2">
        <w:rPr>
          <w:b/>
          <w:bCs/>
        </w:rPr>
        <w:t>Training and Responsibilities:</w:t>
      </w:r>
    </w:p>
    <w:p w14:paraId="4E84DD76" w14:textId="77777777" w:rsidR="003A04E2" w:rsidRPr="003A04E2" w:rsidRDefault="003A04E2" w:rsidP="003A04E2">
      <w:pPr>
        <w:numPr>
          <w:ilvl w:val="0"/>
          <w:numId w:val="4"/>
        </w:numPr>
      </w:pPr>
      <w:r w:rsidRPr="003A04E2">
        <w:t>Employees involved in advertising and marketing will receive annual training on advertising regulations and bank policy requirements.</w:t>
      </w:r>
    </w:p>
    <w:p w14:paraId="5A30E4A9" w14:textId="77777777" w:rsidR="003A04E2" w:rsidRPr="003A04E2" w:rsidRDefault="003A04E2" w:rsidP="003A04E2">
      <w:pPr>
        <w:numPr>
          <w:ilvl w:val="0"/>
          <w:numId w:val="4"/>
        </w:numPr>
      </w:pPr>
      <w:r w:rsidRPr="003A04E2">
        <w:t>Marketing personnel must maintain awareness of regulatory changes impacting advertising and update procedures accordingly.</w:t>
      </w:r>
    </w:p>
    <w:p w14:paraId="20C11DB5" w14:textId="77777777" w:rsidR="003A04E2" w:rsidRPr="003A04E2" w:rsidRDefault="003A04E2" w:rsidP="003A04E2">
      <w:r w:rsidRPr="003A04E2">
        <w:rPr>
          <w:b/>
          <w:bCs/>
        </w:rPr>
        <w:t>Monitoring and Audits:</w:t>
      </w:r>
      <w:r w:rsidRPr="003A04E2">
        <w:br/>
        <w:t>Periodic compliance audits will be conducted to ensure adherence to advertising regulations and this policy. Audit findings will be reported to senior management and corrective actions implemented as necessary.</w:t>
      </w:r>
    </w:p>
    <w:p w14:paraId="2B9D7B54" w14:textId="77777777" w:rsidR="003A04E2" w:rsidRPr="003A04E2" w:rsidRDefault="003A04E2" w:rsidP="003A04E2">
      <w:r w:rsidRPr="003A04E2">
        <w:rPr>
          <w:b/>
          <w:bCs/>
        </w:rPr>
        <w:t>Record Retention:</w:t>
      </w:r>
      <w:r w:rsidRPr="003A04E2">
        <w:br/>
        <w:t>The bank will retain copies of all advertisements and related compliance reviews for a minimum of two years or as specified by regulatory requirements.</w:t>
      </w:r>
    </w:p>
    <w:p w14:paraId="5390FF6F" w14:textId="77777777" w:rsidR="003A04E2" w:rsidRPr="003A04E2" w:rsidRDefault="003A04E2" w:rsidP="003A04E2">
      <w:r w:rsidRPr="003A04E2">
        <w:rPr>
          <w:b/>
          <w:bCs/>
        </w:rPr>
        <w:t>Violations and Enforcement:</w:t>
      </w:r>
      <w:r w:rsidRPr="003A04E2">
        <w:br/>
        <w:t>Non-compliance with this policy may result in disciplinary actions, including retraining, reprimands, suspension, or termination, as deemed appropriate by management.</w:t>
      </w:r>
    </w:p>
    <w:p w14:paraId="7CA42ED2" w14:textId="77777777" w:rsidR="003A04E2" w:rsidRPr="003A04E2" w:rsidRDefault="003A04E2" w:rsidP="003A04E2">
      <w:r w:rsidRPr="003A04E2">
        <w:rPr>
          <w:b/>
          <w:bCs/>
        </w:rPr>
        <w:lastRenderedPageBreak/>
        <w:t>Policy Review:</w:t>
      </w:r>
      <w:r w:rsidRPr="003A04E2">
        <w:br/>
        <w:t>This policy will be reviewed annually and updated as needed to reflect regulatory changes, business operations, or market developments.</w:t>
      </w:r>
    </w:p>
    <w:p w14:paraId="3D6B8E3A" w14:textId="77777777" w:rsidR="003A04E2" w:rsidRDefault="003A04E2"/>
    <w:sectPr w:rsidR="003A0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C3FF9"/>
    <w:multiLevelType w:val="multilevel"/>
    <w:tmpl w:val="C74C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054463"/>
    <w:multiLevelType w:val="multilevel"/>
    <w:tmpl w:val="7CFA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B82F5C"/>
    <w:multiLevelType w:val="multilevel"/>
    <w:tmpl w:val="3C6A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E4A9B"/>
    <w:multiLevelType w:val="multilevel"/>
    <w:tmpl w:val="B90C8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51528">
    <w:abstractNumId w:val="2"/>
  </w:num>
  <w:num w:numId="2" w16cid:durableId="422531798">
    <w:abstractNumId w:val="3"/>
  </w:num>
  <w:num w:numId="3" w16cid:durableId="185339230">
    <w:abstractNumId w:val="1"/>
  </w:num>
  <w:num w:numId="4" w16cid:durableId="1096899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4E2"/>
    <w:rsid w:val="003A04E2"/>
    <w:rsid w:val="00B15C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3348"/>
  <w15:chartTrackingRefBased/>
  <w15:docId w15:val="{717775E6-252D-49BC-83B1-DBF56A04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0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0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0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0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0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0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0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0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0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0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0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4E2"/>
    <w:rPr>
      <w:rFonts w:eastAsiaTheme="majorEastAsia" w:cstheme="majorBidi"/>
      <w:color w:val="272727" w:themeColor="text1" w:themeTint="D8"/>
    </w:rPr>
  </w:style>
  <w:style w:type="paragraph" w:styleId="Title">
    <w:name w:val="Title"/>
    <w:basedOn w:val="Normal"/>
    <w:next w:val="Normal"/>
    <w:link w:val="TitleChar"/>
    <w:uiPriority w:val="10"/>
    <w:qFormat/>
    <w:rsid w:val="003A0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0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04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4E2"/>
    <w:rPr>
      <w:i/>
      <w:iCs/>
      <w:color w:val="404040" w:themeColor="text1" w:themeTint="BF"/>
    </w:rPr>
  </w:style>
  <w:style w:type="paragraph" w:styleId="ListParagraph">
    <w:name w:val="List Paragraph"/>
    <w:basedOn w:val="Normal"/>
    <w:uiPriority w:val="34"/>
    <w:qFormat/>
    <w:rsid w:val="003A04E2"/>
    <w:pPr>
      <w:ind w:left="720"/>
      <w:contextualSpacing/>
    </w:pPr>
  </w:style>
  <w:style w:type="character" w:styleId="IntenseEmphasis">
    <w:name w:val="Intense Emphasis"/>
    <w:basedOn w:val="DefaultParagraphFont"/>
    <w:uiPriority w:val="21"/>
    <w:qFormat/>
    <w:rsid w:val="003A04E2"/>
    <w:rPr>
      <w:i/>
      <w:iCs/>
      <w:color w:val="0F4761" w:themeColor="accent1" w:themeShade="BF"/>
    </w:rPr>
  </w:style>
  <w:style w:type="paragraph" w:styleId="IntenseQuote">
    <w:name w:val="Intense Quote"/>
    <w:basedOn w:val="Normal"/>
    <w:next w:val="Normal"/>
    <w:link w:val="IntenseQuoteChar"/>
    <w:uiPriority w:val="30"/>
    <w:qFormat/>
    <w:rsid w:val="003A0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04E2"/>
    <w:rPr>
      <w:i/>
      <w:iCs/>
      <w:color w:val="0F4761" w:themeColor="accent1" w:themeShade="BF"/>
    </w:rPr>
  </w:style>
  <w:style w:type="character" w:styleId="IntenseReference">
    <w:name w:val="Intense Reference"/>
    <w:basedOn w:val="DefaultParagraphFont"/>
    <w:uiPriority w:val="32"/>
    <w:qFormat/>
    <w:rsid w:val="003A04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5893587">
      <w:bodyDiv w:val="1"/>
      <w:marLeft w:val="0"/>
      <w:marRight w:val="0"/>
      <w:marTop w:val="0"/>
      <w:marBottom w:val="0"/>
      <w:divBdr>
        <w:top w:val="none" w:sz="0" w:space="0" w:color="auto"/>
        <w:left w:val="none" w:sz="0" w:space="0" w:color="auto"/>
        <w:bottom w:val="none" w:sz="0" w:space="0" w:color="auto"/>
        <w:right w:val="none" w:sz="0" w:space="0" w:color="auto"/>
      </w:divBdr>
    </w:div>
    <w:div w:id="1802839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487</Words>
  <Characters>2780</Characters>
  <Application>Microsoft Office Word</Application>
  <DocSecurity>0</DocSecurity>
  <Lines>23</Lines>
  <Paragraphs>6</Paragraphs>
  <ScaleCrop>false</ScaleCrop>
  <Company/>
  <LinksUpToDate>false</LinksUpToDate>
  <CharactersWithSpaces>3261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 Sloan</dc:creator>
  <cp:keywords/>
  <dc:description/>
  <cp:lastModifiedBy>JB Sloan</cp:lastModifiedBy>
  <cp:revision>1</cp:revision>
  <dcterms:created xsi:type="dcterms:W3CDTF">2025-04-16T12:46:00Z</dcterms:created>
  <dcterms:modified xsi:type="dcterms:W3CDTF">2025-04-16T12:46:00Z</dcterms:modified>
</cp:coreProperties>
</file>