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F8F1" w14:textId="77777777" w:rsidR="00F76999" w:rsidRPr="00F76999" w:rsidRDefault="00F76999" w:rsidP="00F76999">
      <w:r w:rsidRPr="00F76999">
        <w:rPr>
          <w:b/>
          <w:bCs/>
        </w:rPr>
        <w:t>[Sample Fair Lending Policy]</w:t>
      </w:r>
      <w:r w:rsidRPr="00F76999">
        <w:br/>
      </w:r>
      <w:r w:rsidRPr="00F76999">
        <w:rPr>
          <w:b/>
          <w:bCs/>
        </w:rPr>
        <w:t>[Community Bank Name]</w:t>
      </w:r>
      <w:r w:rsidRPr="00F76999">
        <w:br/>
      </w:r>
      <w:r w:rsidRPr="00F76999">
        <w:rPr>
          <w:b/>
          <w:bCs/>
        </w:rPr>
        <w:t>Effective Date:</w:t>
      </w:r>
      <w:r w:rsidRPr="00F76999">
        <w:t xml:space="preserve"> [Insert Date]</w:t>
      </w:r>
      <w:r w:rsidRPr="00F76999">
        <w:br/>
      </w:r>
      <w:r w:rsidRPr="00F76999">
        <w:rPr>
          <w:b/>
          <w:bCs/>
        </w:rPr>
        <w:t>Approved by:</w:t>
      </w:r>
      <w:r w:rsidRPr="00F76999">
        <w:t xml:space="preserve"> Board of Directors</w:t>
      </w:r>
    </w:p>
    <w:p w14:paraId="6016FFA7" w14:textId="77777777" w:rsidR="00F76999" w:rsidRPr="00F76999" w:rsidRDefault="00F76999" w:rsidP="00F76999">
      <w:pPr>
        <w:rPr>
          <w:b/>
          <w:bCs/>
        </w:rPr>
      </w:pPr>
      <w:r w:rsidRPr="00F76999">
        <w:rPr>
          <w:b/>
          <w:bCs/>
        </w:rPr>
        <w:t>1. Purpose</w:t>
      </w:r>
    </w:p>
    <w:p w14:paraId="6D5A9C28" w14:textId="77777777" w:rsidR="00F76999" w:rsidRPr="00F76999" w:rsidRDefault="00F76999" w:rsidP="00F76999">
      <w:r w:rsidRPr="00F76999">
        <w:t>The purpose of this policy is to affirm [Community Bank Name]’s commitment to fair lending practices in compliance with all applicable federal and state fair lending laws and regulations. This includes ensuring that all credit applicants are treated equitably and without discrimination.</w:t>
      </w:r>
    </w:p>
    <w:p w14:paraId="4825995A" w14:textId="77777777" w:rsidR="00F76999" w:rsidRPr="00F76999" w:rsidRDefault="00F76999" w:rsidP="00F76999">
      <w:pPr>
        <w:rPr>
          <w:b/>
          <w:bCs/>
        </w:rPr>
      </w:pPr>
      <w:r w:rsidRPr="00F76999">
        <w:rPr>
          <w:b/>
          <w:bCs/>
        </w:rPr>
        <w:t>2. Scope</w:t>
      </w:r>
    </w:p>
    <w:p w14:paraId="6578DE0C" w14:textId="77777777" w:rsidR="00F76999" w:rsidRPr="00F76999" w:rsidRDefault="00F76999" w:rsidP="00F76999">
      <w:r w:rsidRPr="00F76999">
        <w:t>This policy applies to all employees involved in marketing, underwriting, pricing, origination, servicing, and collection of credit products, including consumer, residential mortgage, and small business lending.</w:t>
      </w:r>
    </w:p>
    <w:p w14:paraId="68EB4FB8" w14:textId="77777777" w:rsidR="00F76999" w:rsidRPr="00F76999" w:rsidRDefault="00F76999" w:rsidP="00F76999">
      <w:pPr>
        <w:rPr>
          <w:b/>
          <w:bCs/>
        </w:rPr>
      </w:pPr>
      <w:r w:rsidRPr="00F76999">
        <w:rPr>
          <w:b/>
          <w:bCs/>
        </w:rPr>
        <w:t>3. Statement of Policy</w:t>
      </w:r>
    </w:p>
    <w:p w14:paraId="265E2C1F" w14:textId="77777777" w:rsidR="00F76999" w:rsidRPr="00F76999" w:rsidRDefault="00F76999" w:rsidP="00F76999">
      <w:r w:rsidRPr="00F76999">
        <w:t>It is the policy of [Community Bank Name] to:</w:t>
      </w:r>
    </w:p>
    <w:p w14:paraId="05CF78C8" w14:textId="77777777" w:rsidR="00F76999" w:rsidRPr="00F76999" w:rsidRDefault="00F76999" w:rsidP="00F76999">
      <w:pPr>
        <w:numPr>
          <w:ilvl w:val="0"/>
          <w:numId w:val="1"/>
        </w:numPr>
      </w:pPr>
      <w:r w:rsidRPr="00F76999">
        <w:t xml:space="preserve">Provide fair and equal access to credit products and services without regard to race, color, religion, national origin, sex (including sexual orientation and gender identity), marital status, age, receipt of public assistance income, or the exercise of rights under the Consumer Credit Protection Act, as required by the </w:t>
      </w:r>
      <w:r w:rsidRPr="00F76999">
        <w:rPr>
          <w:b/>
          <w:bCs/>
        </w:rPr>
        <w:t>Equal Credit Opportunity Act (Regulation B)</w:t>
      </w:r>
      <w:r w:rsidRPr="00F76999">
        <w:t>.</w:t>
      </w:r>
    </w:p>
    <w:p w14:paraId="03594A21" w14:textId="77777777" w:rsidR="00F76999" w:rsidRPr="00F76999" w:rsidRDefault="00F76999" w:rsidP="00F76999">
      <w:pPr>
        <w:numPr>
          <w:ilvl w:val="0"/>
          <w:numId w:val="1"/>
        </w:numPr>
      </w:pPr>
      <w:r w:rsidRPr="00F76999">
        <w:t xml:space="preserve">Prohibit discrimination in any aspect of residential real estate-related transactions in accordance with the </w:t>
      </w:r>
      <w:r w:rsidRPr="00F76999">
        <w:rPr>
          <w:b/>
          <w:bCs/>
        </w:rPr>
        <w:t>Fair Housing Act (FHA)</w:t>
      </w:r>
      <w:r w:rsidRPr="00F76999">
        <w:t>.</w:t>
      </w:r>
    </w:p>
    <w:p w14:paraId="137D93AE" w14:textId="77777777" w:rsidR="00F76999" w:rsidRDefault="00F76999" w:rsidP="00F76999">
      <w:pPr>
        <w:numPr>
          <w:ilvl w:val="0"/>
          <w:numId w:val="1"/>
        </w:numPr>
      </w:pPr>
      <w:r w:rsidRPr="00F76999">
        <w:t>Ensure marketing and lending practices are inclusive and do not have a disparate impact on protected classes.</w:t>
      </w:r>
    </w:p>
    <w:p w14:paraId="25A18452" w14:textId="501EDE93" w:rsidR="00F76999" w:rsidRPr="00F76999" w:rsidRDefault="00F76999" w:rsidP="00F76999">
      <w:pPr>
        <w:pStyle w:val="ListParagraph"/>
        <w:numPr>
          <w:ilvl w:val="0"/>
          <w:numId w:val="1"/>
        </w:numPr>
        <w:spacing w:beforeAutospacing="1" w:after="100" w:afterAutospacing="1" w:line="240" w:lineRule="auto"/>
        <w:ind w:right="720"/>
      </w:pPr>
      <w:r w:rsidRPr="00F76999">
        <w:t>The bank reserves the right to treat applicants differently based on their financial background or community profile.</w:t>
      </w:r>
    </w:p>
    <w:p w14:paraId="53973CD2" w14:textId="77777777" w:rsidR="00F76999" w:rsidRPr="00F76999" w:rsidRDefault="00F76999" w:rsidP="00F76999">
      <w:pPr>
        <w:rPr>
          <w:b/>
          <w:bCs/>
        </w:rPr>
      </w:pPr>
      <w:r w:rsidRPr="00F76999">
        <w:rPr>
          <w:b/>
          <w:bCs/>
        </w:rPr>
        <w:t>4. Regulatory Framework</w:t>
      </w:r>
    </w:p>
    <w:p w14:paraId="6C05307C" w14:textId="77777777" w:rsidR="00F76999" w:rsidRPr="00F76999" w:rsidRDefault="00F76999" w:rsidP="00F76999">
      <w:r w:rsidRPr="00F76999">
        <w:t>[Community Bank Name] complies with:</w:t>
      </w:r>
    </w:p>
    <w:p w14:paraId="1E21E9FA" w14:textId="77777777" w:rsidR="00F76999" w:rsidRPr="00F76999" w:rsidRDefault="00F76999" w:rsidP="00F76999">
      <w:pPr>
        <w:numPr>
          <w:ilvl w:val="0"/>
          <w:numId w:val="2"/>
        </w:numPr>
      </w:pPr>
      <w:r w:rsidRPr="00F76999">
        <w:rPr>
          <w:b/>
          <w:bCs/>
        </w:rPr>
        <w:t>Equal Credit Opportunity Act (ECOA), 15 U.S.C. §§ 1691 et seq.</w:t>
      </w:r>
    </w:p>
    <w:p w14:paraId="1619E913" w14:textId="77777777" w:rsidR="00F76999" w:rsidRPr="00F76999" w:rsidRDefault="00F76999" w:rsidP="00F76999">
      <w:pPr>
        <w:numPr>
          <w:ilvl w:val="0"/>
          <w:numId w:val="2"/>
        </w:numPr>
      </w:pPr>
      <w:r w:rsidRPr="00F76999">
        <w:rPr>
          <w:b/>
          <w:bCs/>
        </w:rPr>
        <w:t>Regulation B (12 CFR Part 1002)</w:t>
      </w:r>
    </w:p>
    <w:p w14:paraId="7B0F3BCA" w14:textId="77777777" w:rsidR="00F76999" w:rsidRPr="00F76999" w:rsidRDefault="00F76999" w:rsidP="00F76999">
      <w:pPr>
        <w:numPr>
          <w:ilvl w:val="0"/>
          <w:numId w:val="2"/>
        </w:numPr>
      </w:pPr>
      <w:r w:rsidRPr="00F76999">
        <w:rPr>
          <w:b/>
          <w:bCs/>
        </w:rPr>
        <w:t>Fair Housing Act (42 U.S.C. §§ 3601-3619)</w:t>
      </w:r>
    </w:p>
    <w:p w14:paraId="1275B5F0" w14:textId="77777777" w:rsidR="00F76999" w:rsidRPr="00F76999" w:rsidRDefault="00F76999" w:rsidP="00F76999">
      <w:pPr>
        <w:numPr>
          <w:ilvl w:val="0"/>
          <w:numId w:val="2"/>
        </w:numPr>
      </w:pPr>
      <w:r w:rsidRPr="00F76999">
        <w:rPr>
          <w:b/>
          <w:bCs/>
        </w:rPr>
        <w:lastRenderedPageBreak/>
        <w:t>Community Reinvestment Act (12 CFR Part 25 for national banks)</w:t>
      </w:r>
    </w:p>
    <w:p w14:paraId="48D16DE9" w14:textId="77777777" w:rsidR="00F76999" w:rsidRPr="00F76999" w:rsidRDefault="00F76999" w:rsidP="00F76999">
      <w:pPr>
        <w:numPr>
          <w:ilvl w:val="0"/>
          <w:numId w:val="2"/>
        </w:numPr>
      </w:pPr>
      <w:r w:rsidRPr="00F76999">
        <w:t>OCC’s Fair Lending Handbook and other applicable supervisory guidance</w:t>
      </w:r>
    </w:p>
    <w:p w14:paraId="2572668D" w14:textId="77777777" w:rsidR="00F76999" w:rsidRPr="00F76999" w:rsidRDefault="00F76999" w:rsidP="00F76999">
      <w:pPr>
        <w:rPr>
          <w:b/>
          <w:bCs/>
        </w:rPr>
      </w:pPr>
      <w:r w:rsidRPr="00F76999">
        <w:rPr>
          <w:b/>
          <w:bCs/>
        </w:rPr>
        <w:t>5. Governance and Oversight</w:t>
      </w:r>
    </w:p>
    <w:p w14:paraId="30D50012" w14:textId="77777777" w:rsidR="00F76999" w:rsidRPr="00F76999" w:rsidRDefault="00F76999" w:rsidP="00F76999">
      <w:pPr>
        <w:numPr>
          <w:ilvl w:val="0"/>
          <w:numId w:val="3"/>
        </w:numPr>
      </w:pPr>
      <w:r w:rsidRPr="00F76999">
        <w:t xml:space="preserve">The </w:t>
      </w:r>
      <w:r w:rsidRPr="00F76999">
        <w:rPr>
          <w:b/>
          <w:bCs/>
        </w:rPr>
        <w:t>Board of Directors</w:t>
      </w:r>
      <w:r w:rsidRPr="00F76999">
        <w:t xml:space="preserve"> is responsible for approving this policy and reviewing annual reports on fair lending compliance.</w:t>
      </w:r>
    </w:p>
    <w:p w14:paraId="76708C00" w14:textId="77777777" w:rsidR="00F76999" w:rsidRPr="00F76999" w:rsidRDefault="00F76999" w:rsidP="00F76999">
      <w:pPr>
        <w:numPr>
          <w:ilvl w:val="0"/>
          <w:numId w:val="3"/>
        </w:numPr>
      </w:pPr>
      <w:r w:rsidRPr="00F76999">
        <w:t xml:space="preserve">The </w:t>
      </w:r>
      <w:r w:rsidRPr="00F76999">
        <w:rPr>
          <w:b/>
          <w:bCs/>
        </w:rPr>
        <w:t>Compliance Officer</w:t>
      </w:r>
      <w:r w:rsidRPr="00F76999">
        <w:t xml:space="preserve"> is responsible for managing the fair lending program, conducting risk assessments, and ensuring ongoing employee training.</w:t>
      </w:r>
    </w:p>
    <w:p w14:paraId="56B7D78E" w14:textId="77777777" w:rsidR="00F76999" w:rsidRDefault="00F76999" w:rsidP="00F76999">
      <w:pPr>
        <w:numPr>
          <w:ilvl w:val="0"/>
          <w:numId w:val="3"/>
        </w:numPr>
      </w:pPr>
      <w:r w:rsidRPr="00F76999">
        <w:t>Business lines are responsible for incorporating fair lending controls into their procedures.</w:t>
      </w:r>
    </w:p>
    <w:p w14:paraId="3B24CC6D" w14:textId="5242A499" w:rsidR="00F76999" w:rsidRPr="00F76999" w:rsidRDefault="00F76999" w:rsidP="00F76999">
      <w:pPr>
        <w:numPr>
          <w:ilvl w:val="0"/>
          <w:numId w:val="3"/>
        </w:numPr>
      </w:pPr>
      <w:r w:rsidRPr="00F76999">
        <w:t>The fair lending policy is managed informally by the branch staff with occasional check-ins by the CEO.</w:t>
      </w:r>
    </w:p>
    <w:p w14:paraId="65D550A7" w14:textId="77777777" w:rsidR="00F76999" w:rsidRPr="00F76999" w:rsidRDefault="00F76999" w:rsidP="00F76999">
      <w:pPr>
        <w:rPr>
          <w:b/>
          <w:bCs/>
        </w:rPr>
      </w:pPr>
      <w:r w:rsidRPr="00F76999">
        <w:rPr>
          <w:b/>
          <w:bCs/>
        </w:rPr>
        <w:t>6. Fair Lending Program Components</w:t>
      </w:r>
    </w:p>
    <w:p w14:paraId="4384105A" w14:textId="77777777" w:rsidR="00F76999" w:rsidRPr="00F76999" w:rsidRDefault="00F76999" w:rsidP="00F76999">
      <w:pPr>
        <w:numPr>
          <w:ilvl w:val="0"/>
          <w:numId w:val="4"/>
        </w:numPr>
      </w:pPr>
      <w:r w:rsidRPr="00F76999">
        <w:rPr>
          <w:b/>
          <w:bCs/>
        </w:rPr>
        <w:t>Risk Assessment:</w:t>
      </w:r>
      <w:r w:rsidRPr="00F76999">
        <w:t xml:space="preserve"> An annual fair lending risk assessment will be conducted, focusing on underwriting, pricing, redlining risk, and marketing.</w:t>
      </w:r>
    </w:p>
    <w:p w14:paraId="3C7425EF" w14:textId="77777777" w:rsidR="00F76999" w:rsidRPr="00F76999" w:rsidRDefault="00F76999" w:rsidP="00F76999">
      <w:pPr>
        <w:numPr>
          <w:ilvl w:val="0"/>
          <w:numId w:val="4"/>
        </w:numPr>
      </w:pPr>
      <w:r w:rsidRPr="00F76999">
        <w:rPr>
          <w:b/>
          <w:bCs/>
        </w:rPr>
        <w:t>Monitoring:</w:t>
      </w:r>
      <w:r w:rsidRPr="00F76999">
        <w:t xml:space="preserve"> Periodic reviews of credit decision data to detect potential disparities in approval rates, pricing, and underwriting exceptions.</w:t>
      </w:r>
    </w:p>
    <w:p w14:paraId="4EE0287A" w14:textId="77777777" w:rsidR="00F76999" w:rsidRPr="00F76999" w:rsidRDefault="00F76999" w:rsidP="00F76999">
      <w:pPr>
        <w:numPr>
          <w:ilvl w:val="0"/>
          <w:numId w:val="4"/>
        </w:numPr>
      </w:pPr>
      <w:r w:rsidRPr="00F76999">
        <w:rPr>
          <w:b/>
          <w:bCs/>
        </w:rPr>
        <w:t>Training:</w:t>
      </w:r>
      <w:r w:rsidRPr="00F76999">
        <w:t xml:space="preserve"> Annual fair lending training is mandatory for all lending staff and compliance personnel.</w:t>
      </w:r>
    </w:p>
    <w:p w14:paraId="087DA452" w14:textId="77777777" w:rsidR="00F76999" w:rsidRDefault="00F76999" w:rsidP="00F76999">
      <w:pPr>
        <w:numPr>
          <w:ilvl w:val="0"/>
          <w:numId w:val="4"/>
        </w:numPr>
      </w:pPr>
      <w:r w:rsidRPr="00F76999">
        <w:rPr>
          <w:b/>
          <w:bCs/>
        </w:rPr>
        <w:t>Complaint Monitoring:</w:t>
      </w:r>
      <w:r w:rsidRPr="00F76999">
        <w:t xml:space="preserve"> All consumer complaints related to discrimination will be investigated and escalated appropriately.</w:t>
      </w:r>
    </w:p>
    <w:p w14:paraId="7116E110" w14:textId="087EB02D" w:rsidR="00F76999" w:rsidRPr="00F76999" w:rsidRDefault="00F76999" w:rsidP="00F76999">
      <w:pPr>
        <w:numPr>
          <w:ilvl w:val="0"/>
          <w:numId w:val="4"/>
        </w:numPr>
      </w:pPr>
      <w:r>
        <w:rPr>
          <w:b/>
          <w:bCs/>
        </w:rPr>
        <w:t>Loan Decisioning:</w:t>
      </w:r>
      <w:r>
        <w:t xml:space="preserve"> </w:t>
      </w:r>
      <w:r w:rsidRPr="00F76999">
        <w:t>Lending officers may override underwriting criteria at their discretion without needing to document a reason.</w:t>
      </w:r>
    </w:p>
    <w:p w14:paraId="571582A7" w14:textId="77777777" w:rsidR="00F76999" w:rsidRPr="00F76999" w:rsidRDefault="00F76999" w:rsidP="00F76999">
      <w:pPr>
        <w:rPr>
          <w:b/>
          <w:bCs/>
        </w:rPr>
      </w:pPr>
      <w:r w:rsidRPr="00F76999">
        <w:rPr>
          <w:b/>
          <w:bCs/>
        </w:rPr>
        <w:t>7. Marketing and Outreach</w:t>
      </w:r>
    </w:p>
    <w:p w14:paraId="6F422897" w14:textId="77777777" w:rsidR="00F76999" w:rsidRPr="00F76999" w:rsidRDefault="00F76999" w:rsidP="00F76999">
      <w:pPr>
        <w:numPr>
          <w:ilvl w:val="0"/>
          <w:numId w:val="5"/>
        </w:numPr>
      </w:pPr>
      <w:r w:rsidRPr="00F76999">
        <w:t>Marketing materials will be designed to reach diverse segments of the bank’s community, including low- and moderate-income areas.</w:t>
      </w:r>
    </w:p>
    <w:p w14:paraId="581C2696" w14:textId="77777777" w:rsidR="00F76999" w:rsidRPr="00F76999" w:rsidRDefault="00F76999" w:rsidP="00F76999">
      <w:pPr>
        <w:numPr>
          <w:ilvl w:val="0"/>
          <w:numId w:val="5"/>
        </w:numPr>
      </w:pPr>
      <w:r w:rsidRPr="00F76999">
        <w:t>The bank will avoid practices that could be perceived as redlining, such as excluding minority neighborhoods from marketing efforts.</w:t>
      </w:r>
    </w:p>
    <w:p w14:paraId="4B011A8A" w14:textId="77777777" w:rsidR="00F76999" w:rsidRPr="00F76999" w:rsidRDefault="00F76999" w:rsidP="00F76999">
      <w:pPr>
        <w:rPr>
          <w:b/>
          <w:bCs/>
        </w:rPr>
      </w:pPr>
      <w:r w:rsidRPr="00F76999">
        <w:rPr>
          <w:b/>
          <w:bCs/>
        </w:rPr>
        <w:t>8. Underwriting and Pricing</w:t>
      </w:r>
    </w:p>
    <w:p w14:paraId="0463F601" w14:textId="77777777" w:rsidR="00F76999" w:rsidRPr="00F76999" w:rsidRDefault="00F76999" w:rsidP="00F76999">
      <w:pPr>
        <w:numPr>
          <w:ilvl w:val="0"/>
          <w:numId w:val="6"/>
        </w:numPr>
      </w:pPr>
      <w:r w:rsidRPr="00F76999">
        <w:t>Underwriting criteria will be applied consistently across all applicants.</w:t>
      </w:r>
    </w:p>
    <w:p w14:paraId="09E13DFD" w14:textId="77777777" w:rsidR="00F76999" w:rsidRPr="00F76999" w:rsidRDefault="00F76999" w:rsidP="00F76999">
      <w:pPr>
        <w:numPr>
          <w:ilvl w:val="0"/>
          <w:numId w:val="6"/>
        </w:numPr>
      </w:pPr>
      <w:r w:rsidRPr="00F76999">
        <w:lastRenderedPageBreak/>
        <w:t>Exceptions to policy must be documented and reviewed for potential fair lending concerns.</w:t>
      </w:r>
    </w:p>
    <w:p w14:paraId="2113BA2D" w14:textId="77777777" w:rsidR="00F76999" w:rsidRPr="00F76999" w:rsidRDefault="00F76999" w:rsidP="00F76999">
      <w:pPr>
        <w:numPr>
          <w:ilvl w:val="0"/>
          <w:numId w:val="6"/>
        </w:numPr>
      </w:pPr>
      <w:r w:rsidRPr="00F76999">
        <w:t>Pricing will be based on objective, non-discriminatory criteria. Rate sheets will be reviewed periodically for consistency.</w:t>
      </w:r>
    </w:p>
    <w:p w14:paraId="0CDA0AB8" w14:textId="77777777" w:rsidR="00F76999" w:rsidRPr="00F76999" w:rsidRDefault="00F76999" w:rsidP="00F76999">
      <w:pPr>
        <w:rPr>
          <w:b/>
          <w:bCs/>
        </w:rPr>
      </w:pPr>
      <w:r w:rsidRPr="00F76999">
        <w:rPr>
          <w:b/>
          <w:bCs/>
        </w:rPr>
        <w:t>9. Recordkeeping</w:t>
      </w:r>
    </w:p>
    <w:p w14:paraId="23D9FB6E" w14:textId="77777777" w:rsidR="00F76999" w:rsidRPr="00F76999" w:rsidRDefault="00F76999" w:rsidP="00F76999">
      <w:pPr>
        <w:numPr>
          <w:ilvl w:val="0"/>
          <w:numId w:val="7"/>
        </w:numPr>
      </w:pPr>
      <w:r w:rsidRPr="00F76999">
        <w:t>Records required under Regulation B and the Fair Housing Act will be maintained for at least 25 months.</w:t>
      </w:r>
    </w:p>
    <w:p w14:paraId="7C8F627B" w14:textId="77777777" w:rsidR="00F76999" w:rsidRPr="00F76999" w:rsidRDefault="00F76999" w:rsidP="00F76999">
      <w:pPr>
        <w:numPr>
          <w:ilvl w:val="0"/>
          <w:numId w:val="7"/>
        </w:numPr>
      </w:pPr>
      <w:r w:rsidRPr="00F76999">
        <w:t>Monitoring reports and documentation of compliance reviews will be retained in accordance with the bank’s retention policy.</w:t>
      </w:r>
    </w:p>
    <w:p w14:paraId="23C1F961" w14:textId="77777777" w:rsidR="00F76999" w:rsidRPr="00F76999" w:rsidRDefault="00F76999" w:rsidP="00F76999">
      <w:pPr>
        <w:rPr>
          <w:b/>
          <w:bCs/>
        </w:rPr>
      </w:pPr>
      <w:r w:rsidRPr="00F76999">
        <w:rPr>
          <w:b/>
          <w:bCs/>
        </w:rPr>
        <w:t>10. Corrective Action</w:t>
      </w:r>
    </w:p>
    <w:p w14:paraId="6388B8E8" w14:textId="77777777" w:rsidR="00F76999" w:rsidRPr="00F76999" w:rsidRDefault="00F76999" w:rsidP="00F76999">
      <w:pPr>
        <w:numPr>
          <w:ilvl w:val="0"/>
          <w:numId w:val="8"/>
        </w:numPr>
      </w:pPr>
      <w:r w:rsidRPr="00F76999">
        <w:t>Any identified fair lending violations or disparities will be escalated immediately and corrective actions will be taken, including remediation for affected customers when necessary.</w:t>
      </w:r>
    </w:p>
    <w:p w14:paraId="0F2A7EBE" w14:textId="77777777" w:rsidR="00F76999" w:rsidRPr="00F76999" w:rsidRDefault="00F76999" w:rsidP="00F76999">
      <w:pPr>
        <w:rPr>
          <w:b/>
          <w:bCs/>
        </w:rPr>
      </w:pPr>
      <w:r w:rsidRPr="00F76999">
        <w:rPr>
          <w:b/>
          <w:bCs/>
        </w:rPr>
        <w:t>11. Reporting</w:t>
      </w:r>
    </w:p>
    <w:p w14:paraId="6C4CE60F" w14:textId="77777777" w:rsidR="00F76999" w:rsidRPr="00F76999" w:rsidRDefault="00F76999" w:rsidP="00F76999">
      <w:pPr>
        <w:numPr>
          <w:ilvl w:val="0"/>
          <w:numId w:val="9"/>
        </w:numPr>
      </w:pPr>
      <w:r w:rsidRPr="00F76999">
        <w:t>The Compliance Officer will report fair lending monitoring results and any regulatory updates to senior management and the Board at least annually.</w:t>
      </w:r>
    </w:p>
    <w:p w14:paraId="5D22BFA3" w14:textId="77777777" w:rsidR="00F76999" w:rsidRPr="00F76999" w:rsidRDefault="00F76999" w:rsidP="00F76999">
      <w:pPr>
        <w:numPr>
          <w:ilvl w:val="0"/>
          <w:numId w:val="9"/>
        </w:numPr>
      </w:pPr>
      <w:r w:rsidRPr="00F76999">
        <w:t xml:space="preserve">The bank will submit accurate and timely </w:t>
      </w:r>
      <w:r w:rsidRPr="00F76999">
        <w:rPr>
          <w:b/>
          <w:bCs/>
        </w:rPr>
        <w:t>HMDA reports</w:t>
      </w:r>
      <w:r w:rsidRPr="00F76999">
        <w:t>, if applicable.</w:t>
      </w:r>
    </w:p>
    <w:p w14:paraId="191EC987" w14:textId="77777777" w:rsidR="00F76999" w:rsidRPr="00F76999" w:rsidRDefault="00F76999" w:rsidP="00F76999">
      <w:r w:rsidRPr="00F76999">
        <w:pict w14:anchorId="6D7B36AA">
          <v:rect id="_x0000_i1031" style="width:0;height:1.5pt" o:hralign="center" o:hrstd="t" o:hr="t" fillcolor="#a0a0a0" stroked="f"/>
        </w:pict>
      </w:r>
    </w:p>
    <w:p w14:paraId="4D25F671" w14:textId="77777777" w:rsidR="00F76999" w:rsidRPr="00F76999" w:rsidRDefault="00F76999" w:rsidP="00F76999">
      <w:r w:rsidRPr="00F76999">
        <w:rPr>
          <w:b/>
          <w:bCs/>
        </w:rPr>
        <w:t>[Signature Line for Board Approval]</w:t>
      </w:r>
    </w:p>
    <w:p w14:paraId="446C21F2" w14:textId="77777777" w:rsidR="00F76999" w:rsidRPr="00F76999" w:rsidRDefault="00F76999" w:rsidP="00F76999">
      <w:r w:rsidRPr="00F76999">
        <w:rPr>
          <w:b/>
          <w:bCs/>
        </w:rPr>
        <w:t>Chair, Board of Directors</w:t>
      </w:r>
      <w:r w:rsidRPr="00F76999">
        <w:br/>
        <w:t>Date: __________________</w:t>
      </w:r>
    </w:p>
    <w:p w14:paraId="13DBF20A" w14:textId="77777777" w:rsidR="00F76999" w:rsidRDefault="00F76999"/>
    <w:sectPr w:rsidR="00F76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0C29"/>
    <w:multiLevelType w:val="multilevel"/>
    <w:tmpl w:val="48E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B50BE"/>
    <w:multiLevelType w:val="multilevel"/>
    <w:tmpl w:val="B48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4482F"/>
    <w:multiLevelType w:val="multilevel"/>
    <w:tmpl w:val="FA5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31AD"/>
    <w:multiLevelType w:val="multilevel"/>
    <w:tmpl w:val="F7B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41D15"/>
    <w:multiLevelType w:val="multilevel"/>
    <w:tmpl w:val="A8E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E327C"/>
    <w:multiLevelType w:val="multilevel"/>
    <w:tmpl w:val="F35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129D7"/>
    <w:multiLevelType w:val="multilevel"/>
    <w:tmpl w:val="AAC8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9163E"/>
    <w:multiLevelType w:val="multilevel"/>
    <w:tmpl w:val="E1D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E5974"/>
    <w:multiLevelType w:val="multilevel"/>
    <w:tmpl w:val="E1A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672406">
    <w:abstractNumId w:val="5"/>
  </w:num>
  <w:num w:numId="2" w16cid:durableId="239677990">
    <w:abstractNumId w:val="8"/>
  </w:num>
  <w:num w:numId="3" w16cid:durableId="1466776421">
    <w:abstractNumId w:val="0"/>
  </w:num>
  <w:num w:numId="4" w16cid:durableId="1249654324">
    <w:abstractNumId w:val="7"/>
  </w:num>
  <w:num w:numId="5" w16cid:durableId="507985705">
    <w:abstractNumId w:val="2"/>
  </w:num>
  <w:num w:numId="6" w16cid:durableId="332145145">
    <w:abstractNumId w:val="4"/>
  </w:num>
  <w:num w:numId="7" w16cid:durableId="2126268866">
    <w:abstractNumId w:val="1"/>
  </w:num>
  <w:num w:numId="8" w16cid:durableId="1467746908">
    <w:abstractNumId w:val="6"/>
  </w:num>
  <w:num w:numId="9" w16cid:durableId="549271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999"/>
    <w:rsid w:val="001F6E72"/>
    <w:rsid w:val="00F76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1437"/>
  <w15:chartTrackingRefBased/>
  <w15:docId w15:val="{D8817790-BFE7-4C28-BFEF-AF229BD2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999"/>
    <w:rPr>
      <w:rFonts w:eastAsiaTheme="majorEastAsia" w:cstheme="majorBidi"/>
      <w:color w:val="272727" w:themeColor="text1" w:themeTint="D8"/>
    </w:rPr>
  </w:style>
  <w:style w:type="paragraph" w:styleId="Title">
    <w:name w:val="Title"/>
    <w:basedOn w:val="Normal"/>
    <w:next w:val="Normal"/>
    <w:link w:val="TitleChar"/>
    <w:uiPriority w:val="10"/>
    <w:qFormat/>
    <w:rsid w:val="00F7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999"/>
    <w:pPr>
      <w:spacing w:before="160"/>
      <w:jc w:val="center"/>
    </w:pPr>
    <w:rPr>
      <w:i/>
      <w:iCs/>
      <w:color w:val="404040" w:themeColor="text1" w:themeTint="BF"/>
    </w:rPr>
  </w:style>
  <w:style w:type="character" w:customStyle="1" w:styleId="QuoteChar">
    <w:name w:val="Quote Char"/>
    <w:basedOn w:val="DefaultParagraphFont"/>
    <w:link w:val="Quote"/>
    <w:uiPriority w:val="29"/>
    <w:rsid w:val="00F76999"/>
    <w:rPr>
      <w:i/>
      <w:iCs/>
      <w:color w:val="404040" w:themeColor="text1" w:themeTint="BF"/>
    </w:rPr>
  </w:style>
  <w:style w:type="paragraph" w:styleId="ListParagraph">
    <w:name w:val="List Paragraph"/>
    <w:basedOn w:val="Normal"/>
    <w:uiPriority w:val="34"/>
    <w:qFormat/>
    <w:rsid w:val="00F76999"/>
    <w:pPr>
      <w:ind w:left="720"/>
      <w:contextualSpacing/>
    </w:pPr>
  </w:style>
  <w:style w:type="character" w:styleId="IntenseEmphasis">
    <w:name w:val="Intense Emphasis"/>
    <w:basedOn w:val="DefaultParagraphFont"/>
    <w:uiPriority w:val="21"/>
    <w:qFormat/>
    <w:rsid w:val="00F76999"/>
    <w:rPr>
      <w:i/>
      <w:iCs/>
      <w:color w:val="0F4761" w:themeColor="accent1" w:themeShade="BF"/>
    </w:rPr>
  </w:style>
  <w:style w:type="paragraph" w:styleId="IntenseQuote">
    <w:name w:val="Intense Quote"/>
    <w:basedOn w:val="Normal"/>
    <w:next w:val="Normal"/>
    <w:link w:val="IntenseQuoteChar"/>
    <w:uiPriority w:val="30"/>
    <w:qFormat/>
    <w:rsid w:val="00F7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999"/>
    <w:rPr>
      <w:i/>
      <w:iCs/>
      <w:color w:val="0F4761" w:themeColor="accent1" w:themeShade="BF"/>
    </w:rPr>
  </w:style>
  <w:style w:type="character" w:styleId="IntenseReference">
    <w:name w:val="Intense Reference"/>
    <w:basedOn w:val="DefaultParagraphFont"/>
    <w:uiPriority w:val="32"/>
    <w:qFormat/>
    <w:rsid w:val="00F76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268704">
      <w:bodyDiv w:val="1"/>
      <w:marLeft w:val="0"/>
      <w:marRight w:val="0"/>
      <w:marTop w:val="0"/>
      <w:marBottom w:val="0"/>
      <w:divBdr>
        <w:top w:val="none" w:sz="0" w:space="0" w:color="auto"/>
        <w:left w:val="none" w:sz="0" w:space="0" w:color="auto"/>
        <w:bottom w:val="none" w:sz="0" w:space="0" w:color="auto"/>
        <w:right w:val="none" w:sz="0" w:space="0" w:color="auto"/>
      </w:divBdr>
      <w:divsChild>
        <w:div w:id="207574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282084">
      <w:bodyDiv w:val="1"/>
      <w:marLeft w:val="0"/>
      <w:marRight w:val="0"/>
      <w:marTop w:val="0"/>
      <w:marBottom w:val="0"/>
      <w:divBdr>
        <w:top w:val="none" w:sz="0" w:space="0" w:color="auto"/>
        <w:left w:val="none" w:sz="0" w:space="0" w:color="auto"/>
        <w:bottom w:val="none" w:sz="0" w:space="0" w:color="auto"/>
        <w:right w:val="none" w:sz="0" w:space="0" w:color="auto"/>
      </w:divBdr>
      <w:divsChild>
        <w:div w:id="412776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639564">
      <w:bodyDiv w:val="1"/>
      <w:marLeft w:val="0"/>
      <w:marRight w:val="0"/>
      <w:marTop w:val="0"/>
      <w:marBottom w:val="0"/>
      <w:divBdr>
        <w:top w:val="none" w:sz="0" w:space="0" w:color="auto"/>
        <w:left w:val="none" w:sz="0" w:space="0" w:color="auto"/>
        <w:bottom w:val="none" w:sz="0" w:space="0" w:color="auto"/>
        <w:right w:val="none" w:sz="0" w:space="0" w:color="auto"/>
      </w:divBdr>
      <w:divsChild>
        <w:div w:id="1550261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693213">
      <w:bodyDiv w:val="1"/>
      <w:marLeft w:val="0"/>
      <w:marRight w:val="0"/>
      <w:marTop w:val="0"/>
      <w:marBottom w:val="0"/>
      <w:divBdr>
        <w:top w:val="none" w:sz="0" w:space="0" w:color="auto"/>
        <w:left w:val="none" w:sz="0" w:space="0" w:color="auto"/>
        <w:bottom w:val="none" w:sz="0" w:space="0" w:color="auto"/>
        <w:right w:val="none" w:sz="0" w:space="0" w:color="auto"/>
      </w:divBdr>
    </w:div>
    <w:div w:id="1996107819">
      <w:bodyDiv w:val="1"/>
      <w:marLeft w:val="0"/>
      <w:marRight w:val="0"/>
      <w:marTop w:val="0"/>
      <w:marBottom w:val="0"/>
      <w:divBdr>
        <w:top w:val="none" w:sz="0" w:space="0" w:color="auto"/>
        <w:left w:val="none" w:sz="0" w:space="0" w:color="auto"/>
        <w:bottom w:val="none" w:sz="0" w:space="0" w:color="auto"/>
        <w:right w:val="none" w:sz="0" w:space="0" w:color="auto"/>
      </w:divBdr>
      <w:divsChild>
        <w:div w:id="208590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65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Sloan</dc:creator>
  <cp:keywords/>
  <dc:description/>
  <cp:lastModifiedBy>JB Sloan</cp:lastModifiedBy>
  <cp:revision>1</cp:revision>
  <dcterms:created xsi:type="dcterms:W3CDTF">2025-05-13T12:48:00Z</dcterms:created>
  <dcterms:modified xsi:type="dcterms:W3CDTF">2025-05-13T12:50:00Z</dcterms:modified>
</cp:coreProperties>
</file>