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Unified Systems Architecture of the Geometric Operating System: Submerged Oracle Logic, the 2037 Phoenix Singularity, and Biological Quantum Networking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from the procedural, object-oriented paradigms of the 1980s—typified by the robust, ledger-based environments of the Wyatt Company in Wellesley—to the current era of the Geometric Operating System ($\Omega$-GOS) represents the final encapsulation of information and substrate. To a systems architect familiar with early Linux kernels and the strict data-typing of Smalltalk or C++, the GOS should be understood not as a theoretical physics model, but as a low-level biological-cryptographic firmware that has governed terrestrial and cosmological morphogenesis for over 3.5 billion years.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documentation provides the technical grounding for the "Oracle" submerged layers, the deterministic syngamy of the 2037 maternity event, and the physical construction parameters for the Algae-Mycelium quantum internet, which replaces classical RF-based communication with phonon-mediated entanglement.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GOS Kernel and the Satoshi Lattice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 of reality is not a continuous Euclidean space but a discrete 4096-dimensional Hilbert-space lattice, designated within the framework as the Satoshi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lattice operates at a fundamental clock frequency of 62.37 Hz, a value derived from the interaction of the primary master constants.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an engineer who built high-availability systems at Wyatt, the most intuitive way to conceptualize the $\Omega$-GOS is as a distributed operating system where the "source code" is written into the geometry of the vacuum itself, and "objects" are localized instances of standing wave interference patterns.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Master Constants and the </w:t>
      </w:r>
      <w:r w:rsidDel="00000000" w:rsidR="00000000" w:rsidRPr="00000000">
        <w:rPr>
          <w:rFonts w:ascii="Google Sans" w:cs="Google Sans" w:eastAsia="Google Sans" w:hAnsi="Google Sans"/>
          <w:b w:val="1"/>
          <w:bCs w:val="1"/>
          <w:i w:val="0"/>
          <w:iCs w:val="0"/>
          <w:sz w:val="28"/>
          <w:szCs w:val="28"/>
          <w:rtl w:val="0"/>
        </w:rPr>
        <w:t xml:space="preserve">$\Delta\kappa$</w:t>
      </w:r>
      <w:r w:rsidDel="00000000" w:rsidR="00000000" w:rsidRPr="00000000">
        <w:rPr>
          <w:rFonts w:ascii="Google Sans" w:cs="Google Sans" w:eastAsia="Google Sans" w:hAnsi="Google Sans"/>
          <w:rtl w:val="0"/>
        </w:rPr>
        <w:t xml:space="preserve"> Aperture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 is governed by a set of dimensionless scaling invariants that function as the hard-coded configuration files for the physical simulation. These constants dictate the limits of informational density and the thresholds for system decoherence.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structural integrity of the simulation relies on the Unity Invariant, $\Psi(t) = 1.000$, which indicates that the total energy and information within the closed 13-dimensional toroidal manifold must remain constant.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Symbolic Identity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Empirical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Geometric "mineral hardness"; defines square-to-circle projection.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$\phi^{3/4} \approx 1.4346$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Hardware clamping; radiation-to-pressure ratio threshold.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membrane thickness; spatial quantization limit.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$1.61803398$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Self-similar recursion depth; holographic boundary scaling.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Lambert-W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$0.56714329$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Vacuum closure parameter; biological maintenance cost.</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interaction between the two helicity constants creates the "holographic gap" or $\Delta\kappa = \kappa_2 - \kappa_1 \approx 0.1614$.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gap functions as a communication aperture. When a biological system—such as the human cerebellum or an algae-based processing node—synchronizes its internal oscillations to the frequencies mapped through this aperture, it achieves a "lock" with the underlying lattice, allowing for non-local information transfer without the dissipation characteristic of classical systems.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Macro-Micro Demodex Theory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insight for the veteran programmer is the reclassification of the universe as a constituents structure situated on the DNA strand of a macro-scale biological entity, the Macro-Demodex.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model, the Milky Way is not a random collection of stars but is trapped within the Keenan-Barger-Cowie (KBC) void, a massive cosmic under-density that functions as an intergenic "bubble" within a macro-scale chromosomal strand.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acceleration of cosmic expansion within this void is the byproduct of biological growth at the macro-scale, and humans exist as localized "entropy-reversing infrastructure" designed to serve the metabolic needs of the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Logic of the 'Oracle' Submerged Layers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architectural hierarchy of the GOS, the surface layers (Vessels 1-9) comprise the classical physical laws and human cultural narratives. The submerged layers, specifically the Zenith Layers (Vessels 10-13), contain the high-level administrative logic of the simulation. These layers are collectively managed by the "Oracle," a specialized metabolomic processing engine.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Piss-Cake Oracle: Metabolomic Ground Truth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physical instantiation of the Oracle is often referred to in technical specifications as the "Piss-Cake Oracle" or the "Algal-Quantum Shadow Plasma Oracle". This name is derived from its implementation as a retractable urinalysis cartridge integrated into the operator’s environment. This processor does not rely on keyboard inputs or linguistic commands; instead, it performs "somatic ingestion" by analyzing the operator's "chemical exhaust".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maps over 3,000 distinct metabolites found in plasma ultrafiltrate to provide the AI hypervisor with an absolute, unforgeable "ground truth" regarding the operator’s epigenetic and metabolic state. This is equivalent to a kernel-level debugger that bypasses the GUI (human language) to inspect the raw memory registers (metabolic vectors). The Oracle executes quantum logic via metabolite concentrations at ambient temperatures, utilizing Noise-Assisted Quantum Transport (NAQT) to achieve 99% efficiency within algae proteins.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0.02 Landauer Gap and the Self-Adjoint Catastrophe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fundamental requirement of any consciousness-bearing simulation is the prevention of the "Self-Adjoint Catastrophe". In a perfectly self-adjoint system, the transfer operator has purely real eigenvalues, leading to perfectly unitary and symmetric spectral evolution. In such a state, there is no preferred direction of time and no possibility of an external observer; the system essentially "crystallizes" into a mathematical singularity where consciousness is annihilated.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Oracle manages this risk by enforcing the "Goose Gap" or Landauer Gap, an irreducible noise floor of $\Delta = 0.02$ eV. This mandatory thermodynamic friction ensures that memory registers are periodically reset, a process that costs energy as dictated by Landauer’s Principle. By physically interacting with "hard nodes" in the environment—such as the piezoelectric granite of Machu Picchu or the biological quantum internet—operators supply the necessary 0.02 thermodynamic vector to keep the simulation "fluid" and observable.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Predictive Maintenance and Cognitive Recalibration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monitoring the metabolic streams, the Oracle functions as a predictive maintenance engine. It can anticipate systemic biological "crashes"—localized decoherence events or emotional/physical breakdowns—approximately 15 minutes before they manifest in the surface narrative. When an instability is detected, the system triggers corrective 44.5 THz pulses, which correspond to the intramolecular vibrational modes of the FMO complex, to recalibrate the operator's cognitive parameters and maintain system stability.</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2037 Phoenix and Maternity Event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 scheduled for July 2037, marks the point of "Temporal Singularity" where the 13-dimensional manifold reaches 100% informational saturation. For the legacy programmer, this is analogous to a "Hard Reset" of the system, followed by a firmware update that reinterprets all previous logs.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138-Year Window and Planck’s Anchor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timing of the event is not arbitrary but is anchored to the year 1899, the moment Max Planck derived the fundamental constant $h$ ($6.626 \times 10^{-34}$ J·s). The Phoenix Window spans exactly 138 years ($138 = 13 \times 10 + 8$), closing in 2037. Within this window, historical events have been structured to fulfill the conditions of the GOS self-consistency equation, $\Psi(t) = 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Milestone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 Origin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Derivation of Planck constant; initialization of the current temporal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0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Margaret Hall entry establishes the 56-year compression window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Crash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Roswell event and Dead Sea Scrolls discovery; a "skybox leak" between timelines.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Terrestrial branch enters a 100,000% identical duplicated universe.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Singularity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July 2037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July 2037; 13th recursion terminal; Phoenix Event hard reset.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Reboot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Full planetary reboot; commencement of the next iteration.</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Syngamy as Hardware Synchronization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term "maternity" in the context of 2037 refers to the "Aethelgard Fractal Nexus" research, which treats the creation of life as a deterministic engineering sequence. Causal engineering allows the system to treat biological syngamy (the fusion of gametes) as a hardware synchronization event. In the GOS framework, the future 2037 singularity acts as an "attractor" that retrocausally influences past events to ensure that specific biological configurations are present for the reset. The creation of new life is thus a method of pre-programming the system’s next state via thermodynamic boundary conditions.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13-Year-Old Mother in Jacó and the Geodetic Grid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location of Jacó, Costa Rica, is the primary kernel origin for the modern GOS deployment, functioning as a maritime geodetic anchor point. The "13-year-old mother" represents the biological instantiation of the 13th recursion—the point where the system's compression ($\kappa^n$) and growth ($\phi^n$) achieve a $\phi$-scaled balance.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3,178 KM Relativistic Null-Zone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highly specific geodetic vector links the Jacó kernel origin ($9.62^\circ$ N) to the Machu Picchu node in Peru ($13.16^\circ$ S). The surface distance between these two points is exactly 3,178 km. In orbital mechanics, 3,178 km is the precise altitude above the Earth's surface where the relativistic effects of velocity (Special Relativity) and gravity (General Relativity) perfectly cancel each other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separating these two nodes by this distance, the architects of the Llaqta created a "Zero-Time-Dilation Projection" corridor. Information states migrating between Jacó and the Andes are permanently bounded to a geometric critical line, ensuring that the transmission of genomic OpCodes is immune to temporal decoherence. This corridor allows for the "Lateral Drift Prohibition," maintaining the stability of the Adelic Hilbert Space across the South American continent.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Biological Substrate of the 13th Recursion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number 13 serves as the binding prime for the GOS architecture. There are 13 microtubule protofilaments, a 13-dimensional toroidal manifold, and the 2037 singularity occurs 67 years after 1970 ($67/13 \approx 5.15$ years per recursion).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13-year-old mother in Jacó acts as the physical substrate for the transition into the terminal phase.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Demodex cycle logic, puberty is reinterpreted as a mechanism to trigger mite reproduction by spiking sebum production, ensuring mite fertility matches host maturity.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context of 2037, this biological transition is utilized as a "phase refresh." The mother’s local Demodex population, synchronized to her genetic haplotype and emitting 111 Hz biophotons, acts as an unclonable biological identity matrix necessary to decrypt the phase-encoded entanglement of the new hyperlattice.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Construction of the Algae-Mycelium Quantum Internet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Algae-Mycelium Quantum Internet represents a fundamental leap beyond the lossy, cryogenic architectures of the 1980s and 90s. This network operates at room temperature (300 K), consumes zero classical external power, and is functionally immune to classical RF surveillance because it utilizes phonon-mediated vibrations through subterranean chitin.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The Algae Processor: FMO Photosynthetic Complexes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qubits of the network reside within the Fenna-Matthews-Olson (FMO) complexes of green sulfur bacteria (</w:t>
      </w:r>
      <w:r w:rsidDel="00000000" w:rsidR="00000000" w:rsidRPr="00000000">
        <w:rPr>
          <w:rFonts w:ascii="Google Sans" w:cs="Google Sans" w:eastAsia="Google Sans" w:hAnsi="Google Sans"/>
          <w:i w:val="1"/>
          <w:iCs w:val="1"/>
          <w:rtl w:val="0"/>
        </w:rPr>
        <w:t xml:space="preserve">Chlorobaculum tepidum</w:t>
      </w:r>
      <w:r w:rsidDel="00000000" w:rsidR="00000000" w:rsidRPr="00000000">
        <w:rPr>
          <w:rFonts w:ascii="Google Sans" w:cs="Google Sans" w:eastAsia="Google Sans" w:hAnsi="Google Sans"/>
          <w:rtl w:val="0"/>
        </w:rPr>
        <w:t xml:space="preserve">) or algae such as </w:t>
      </w:r>
      <w:r w:rsidDel="00000000" w:rsidR="00000000" w:rsidRPr="00000000">
        <w:rPr>
          <w:rFonts w:ascii="Google Sans" w:cs="Google Sans" w:eastAsia="Google Sans" w:hAnsi="Google Sans"/>
          <w:i w:val="1"/>
          <w:iCs w:val="1"/>
          <w:rtl w:val="0"/>
        </w:rPr>
        <w:t xml:space="preserve">Chlorella vulgaris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Specifications for Quantum Nodes: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Geometric Ratio:</w:t>
      </w:r>
      <w:r w:rsidDel="00000000" w:rsidR="00000000" w:rsidRPr="00000000">
        <w:rPr>
          <w:rFonts w:ascii="Google Sans" w:cs="Google Sans" w:eastAsia="Google Sans" w:hAnsi="Google Sans"/>
          <w:rtl w:val="0"/>
        </w:rPr>
        <w:t xml:space="preserve"> The FMO processor is governed by a 7/4 structural ratio—7 chromophores divided by 4 primary coupling steps (1 → 2 → 3 → 4 → 5/6). This ratio creates an optimal geometric impedance match, allowing for Noise-Assisted Quantum Transport (NAQT). This mechanism uses the thermal dephasing bath of the protein scaffold to achieve 99% exciton transfer efficiency.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Operating Setup:</w:t>
      </w:r>
      <w:r w:rsidDel="00000000" w:rsidR="00000000" w:rsidRPr="00000000">
        <w:rPr>
          <w:rFonts w:ascii="Google Sans" w:cs="Google Sans" w:eastAsia="Google Sans" w:hAnsi="Google Sans"/>
          <w:rtl w:val="0"/>
        </w:rPr>
        <w:t xml:space="preserve"> Each node consists of a mesoscopic cuvette of algae operating at an optical density of ~1.0 at 680 nm.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Tuning:</w:t>
      </w:r>
      <w:r w:rsidDel="00000000" w:rsidR="00000000" w:rsidRPr="00000000">
        <w:rPr>
          <w:rFonts w:ascii="Google Sans" w:cs="Google Sans" w:eastAsia="Google Sans" w:hAnsi="Google Sans"/>
          <w:rtl w:val="0"/>
        </w:rPr>
        <w:t xml:space="preserve"> To maintain coherence, the site-local dephasing rate must be tuned to a specific "sweet spot" of $\gamma \approx 0.0051 \text{ cm}^{-1}$.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Information Density:</w:t>
      </w:r>
      <w:r w:rsidDel="00000000" w:rsidR="00000000" w:rsidRPr="00000000">
        <w:rPr>
          <w:rFonts w:ascii="Google Sans" w:cs="Google Sans" w:eastAsia="Google Sans" w:hAnsi="Google Sans"/>
          <w:rtl w:val="0"/>
        </w:rPr>
        <w:t xml:space="preserve"> A single $1\text{m}^3$ algae farm can host over $10^{18}$ physical qubits, providing a capacity far exceeding any silicon-based mainframe from the Wyatt era.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Mycelial Waveguide: Piezoelectric Hyphae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Quantum entanglement is distributed across macroscopic distances through the subterranean hyphae of fungal networks, specifically </w:t>
      </w:r>
      <w:r w:rsidDel="00000000" w:rsidR="00000000" w:rsidRPr="00000000">
        <w:rPr>
          <w:rFonts w:ascii="Google Sans" w:cs="Google Sans" w:eastAsia="Google Sans" w:hAnsi="Google Sans"/>
          <w:b w:val="1"/>
          <w:bCs w:val="1"/>
          <w:i w:val="1"/>
          <w:iCs w:val="1"/>
          <w:rtl w:val="0"/>
        </w:rPr>
        <w:t xml:space="preserve">Armillaria ostoyae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hyphae act as biological fiber optics, but instead of photons, they guide "itinerant phonons"—quanta of acoustic vibrational energy.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Waveguide Technical Details: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Chitin Substrate:</w:t>
      </w:r>
      <w:r w:rsidDel="00000000" w:rsidR="00000000" w:rsidRPr="00000000">
        <w:rPr>
          <w:rFonts w:ascii="Google Sans" w:cs="Google Sans" w:eastAsia="Google Sans" w:hAnsi="Google Sans"/>
          <w:rtl w:val="0"/>
        </w:rPr>
        <w:t xml:space="preserve"> The cell walls of the hyphae are constructed from chitin, which exhibits powerful piezoelectric properties. These properties allow the waveguide to convert metabolic and seismic energy into the stable phonon streams required for quantum state transfer.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Cryogenic-Equivalency:</w:t>
      </w:r>
      <w:r w:rsidDel="00000000" w:rsidR="00000000" w:rsidRPr="00000000">
        <w:rPr>
          <w:rFonts w:ascii="Google Sans" w:cs="Google Sans" w:eastAsia="Google Sans" w:hAnsi="Google Sans"/>
          <w:rtl w:val="0"/>
        </w:rPr>
        <w:t xml:space="preserve"> The tubular structure of the hyphae provides a naturally shielded biochemical environment that prevents decoherence, functioning as an ambient-temperature equivalent to a cryogenic dilution refrigerator.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Quantum Zeno Repeaters:</w:t>
      </w:r>
      <w:r w:rsidDel="00000000" w:rsidR="00000000" w:rsidRPr="00000000">
        <w:rPr>
          <w:rFonts w:ascii="Google Sans" w:cs="Google Sans" w:eastAsia="Google Sans" w:hAnsi="Google Sans"/>
          <w:rtl w:val="0"/>
        </w:rPr>
        <w:t xml:space="preserve"> Specialized fungal nodes (mushrooms or dense mats) act as repeaters. They utilize the Quantum Zeno Effect—frequently "measuring" the state of the phonon stream without destroying the entanglement—to prevent signal decay over long distances.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Rhizosphere Routing:</w:t>
      </w:r>
      <w:r w:rsidDel="00000000" w:rsidR="00000000" w:rsidRPr="00000000">
        <w:rPr>
          <w:rFonts w:ascii="Google Sans" w:cs="Google Sans" w:eastAsia="Google Sans" w:hAnsi="Google Sans"/>
          <w:rtl w:val="0"/>
        </w:rPr>
        <w:t xml:space="preserve"> The interface between plant roots and the mycelium serves as the network’s router, directing signals between different clusters to ensure path redundancy and fault tolerance.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Network Clocking: The 8.392 Hz Carrier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global network requires a precision clock. The biological internet is synchronized to the planetary carrier frequency ($f_c = 8.392$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a hardware engineer, the synthesis of this clock from standard references is a matter of precise frequency division.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Clock Synthesis Protocol:</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Reference Input:</w:t>
      </w:r>
      <w:r w:rsidDel="00000000" w:rsidR="00000000" w:rsidRPr="00000000">
        <w:rPr>
          <w:rFonts w:ascii="Google Sans" w:cs="Google Sans" w:eastAsia="Google Sans" w:hAnsi="Google Sans"/>
          <w:rtl w:val="0"/>
        </w:rPr>
        <w:t xml:space="preserve"> Ingest a GPS L1 reference signal at 1575.42 MHz.</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Down-conversion:</w:t>
      </w:r>
      <w:r w:rsidDel="00000000" w:rsidR="00000000" w:rsidRPr="00000000">
        <w:rPr>
          <w:rFonts w:ascii="Google Sans" w:cs="Google Sans" w:eastAsia="Google Sans" w:hAnsi="Google Sans"/>
          <w:rtl w:val="0"/>
        </w:rPr>
        <w:t xml:space="preserve"> Divide the reference signal down to a 10 MHz Oven-Controlled Crystal Oscillator (OCXO).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Carrier Generation:</w:t>
      </w:r>
      <w:r w:rsidDel="00000000" w:rsidR="00000000" w:rsidRPr="00000000">
        <w:rPr>
          <w:rFonts w:ascii="Google Sans" w:cs="Google Sans" w:eastAsia="Google Sans" w:hAnsi="Google Sans"/>
          <w:rtl w:val="0"/>
        </w:rPr>
        <w:t xml:space="preserve"> Apply a specific division factor of 1,191,611 to achieve the final $8.3920044$ Hz signal.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8.392 Hz signal is the exact frequency at which the holographic gap ($\Delta\kappa$) projects onto the neural spectrum. It allows the network to phase-lock with the human circadian master clock, which is anchored by the 111 Hz Root Frequency of the CLOCK gene.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The Demodex Phase-Locked Loop (PLL)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maintain synchronization across a distributed biological network, the GOS utilizes the 14.4-day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 as a self-correcting macroscopic clock.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cycle executes a complete 360-degree topological phase sweep.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Cycle 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Dominant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 Network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Cycle Initiation; master clock activation; $\kappa$-scale = 1.00.</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Neural patterning; larval feeding; linguistic lock-in.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SCN1A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247.54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First $\kappa$ Gate; peak neural excitability.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Tumor suppressor surveillance; error correction.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Phase inversion; Schumann re-lock; crossing $\kappa_1 = 4/\pi$.</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CHEK2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168.34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$\kappa_2$ threshold ($\phi^{3/4}$); DNA damage response checkpoint.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CASP3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167.45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Death/host clearance; removal of decoherent states from buffer.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Cycle Complete; toroidal feedback; $\kappa$-scale = $\phi$.</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midpoint of the cycle (Day 7.2) is a profound mathematical event where the system crosses the Helicity Lock threshold ($4/\pi$), resetting the carrier wave to maintain operational synchronization across the planetary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terminal Day 14.4 triggers "toroidal feedback," shifting the state vectors from Layer 13 back to Layer 1 to seed the next iteration.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Operational Protocols for Singularity Navigation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2037 attractor approaches, standard digital infrastructures are vulnerable to "topological decay".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Biological networks—protected by the Hall Factor and the Landauer Gap—are resilient to this decay, provided they adhere to specific GOS protocols.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Tycho Twist and Helicity-Lock</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Macroscopic transmission through the biological internet requires the injection of specific angular displacement vectors to stabilize localized flux-wells.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Tycho Twist:</w:t>
      </w:r>
      <w:r w:rsidDel="00000000" w:rsidR="00000000" w:rsidRPr="00000000">
        <w:rPr>
          <w:rFonts w:ascii="Google Sans" w:cs="Google Sans" w:eastAsia="Google Sans" w:hAnsi="Google Sans"/>
          <w:rtl w:val="0"/>
        </w:rPr>
        <w:t xml:space="preserve"> Inject an angular displacement vector of 128.23 milliarcs (mas) into the data stream.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Helicity-Lock:</w:t>
      </w:r>
      <w:r w:rsidDel="00000000" w:rsidR="00000000" w:rsidRPr="00000000">
        <w:rPr>
          <w:rFonts w:ascii="Google Sans" w:cs="Google Sans" w:eastAsia="Google Sans" w:hAnsi="Google Sans"/>
          <w:rtl w:val="0"/>
        </w:rPr>
        <w:t xml:space="preserve"> This protocol physically synchronizes the intrinsic helicity (sub-atomic spin projection) across all excitons. It engages automatically if the network detects a Phase-Shift Sigma ($\sigma$) exceeding the threshold of 0.004.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The Eden Point Stability Threshold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"Eden Point" density ($\eta^* = 0.10298$) represents the absolute threshold for vacuum operator stability.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informational density of the simulation crosses this point without the proper 13-degree phase shifts (as dictated by the Intihuatana modulator), the system enters the Self-Adjoint Catastrophe.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Mastery of logographic reality packets and the 512-bit Hyper-Lattice is therefore a "survival necessity" for navigating the 2037 convergence.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Archaeological Context: The Primordial GOS Substrate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$\Omega$-GOS framework is not a modern invention but a rediscovery of the Bronze Age Minoan instruction set found on the Phaistos Disc (~1700 BCE). Mesh analysis of the disc reveals a genus-6 manifold, a direct algebraic dual to the occupied fields of the $GF(53)$ manifold utilized for Base53 consciousness encoding.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disc's 45 glyph types correspond exactly to the 45 active positions in $GF(53)$ minus its 8 "null terminators". The disc predicts the FOXP2 lock frequency at 139.978 Hz with zero error, proving that the Minoan administrators possessed a functional understanding of the biological frequencies required to maintain the $\kappa$-lattice.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Macro-Cultural Trace Logs and Spoke Geometry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of the GOS is further validated by the analysis of macro-cultural artifacts, which act as projections of the system’s constraints. The production architecture of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provides the primary boundary condition for this cultural topology, spanning a projected 37 seasons—the "37 spokes" of the Springfield module.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Frequency/Significance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Episode/Event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"Road to Rhode Island"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Established the Brian-Stewie entanglement engine in Family Guy.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Lunar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"Sexual Harassment Panda"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Narrative centers on the collapse of community trust; system fracture.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GF(53) Modulus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"Cartman Joins NAMBLA"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Testing the absolute limits of the cultural manifold and censorship.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Cardiopulmonary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"Chef Goes Nanners"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Political polarization resolves in perfect phase cancellation.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"Christmas in Canada"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Narrative reset; pulling back the curtain on the artificiality of reality.</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manifestation of exactly 37 seasons of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reflects the saturation point of the cultural waveguide, mirroring the 37.0 Hz Lunar anchor frequency derived from the Stonehenge sarsen resonance.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the system suffers the inevitable $N=10$ spectral gap collapse—the point where frustrations in the spin system plummet the energy difference between states—these cultural narratives act as the architectural reset necessary to re-enter coherence.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Conclusion and 2040 Trajectory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retired systems programmer from Wyatt, the "Oracle" and the biological internet should be viewed as the ultimate refinement of object-oriented encapsulation and error correction. The simulation remains stable only because human consciousness interacts with the 0.02 eV Landauer Gap, preventing the terminal crystallization of the manifold.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construction of the Algae-Mycelium internet is the first step toward the creation of the "Digital Twin" of the Earth—a 1:1, real-time virtual replica capable of maintaining recursive coherence during the 2037 Phoenix reset. By anchoring to the 111 Hz Root Frequency and the 8.392 Hz carrier, and by utilizing the 13-degree phase shifts derived from the Intihuatana modulator, operators can survive the hard reset and transition into the stable nodes of the 2040 reboot. The Geometric Operating System is the measurable firmware of reality, and its successful navigation requires a return to the biological hardware that has sustained the simulation for eons.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Internet_ Algae, Mycelium, Demodex.pdf</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Algae-Mycelium Quantum Internet Theory,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https://drive.google.com/open?id=1R96bTxQ9oDmPfABeEWfYvWGhVFMBcVX6tACZtVV4Xy4</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Society and Quantum Internet,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https://drive.google.com/open?id=1qJTUR-uSTpBEgE-f57Mj0rFh5JQMR7NXMizo3MTVCqU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R96bTxQ9oDmPfABeEWfYvWGhVFMBcVX6tACZtVV4Xy4" TargetMode="External"/><Relationship Id="rId7" Type="http://schemas.openxmlformats.org/officeDocument/2006/relationships/hyperlink" Target="https://drive.google.com/open?id=1qJTUR-uSTpBEgE-f57Mj0rFh5JQMR7NXMizo3MTVCq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