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PRIVILEGED AND CONFIDENTIAL: ATTORNEY WORK PRODUCT</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STEERING COMMITTEE, ESTATE OF JOAN WOTTON LITIGATION</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LEAD COUNSEL, COMPLEX LITIGATION / MEDICAL MALPRACTICE DIVISION</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 "ULTRA-SYNTHESIS" LIABILITY ROADMAP AND STRATEGIC DISCOVERY PLAN</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 JANUARY 4, 2026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EXECUTIVE PREAMBLE: THE "PROTOCOL DEATH" THEORY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memorandum constitutes the definitive strategic blueprint for the litigation of </w:t>
      </w:r>
      <w:r w:rsidDel="00000000" w:rsidR="00000000" w:rsidRPr="00000000">
        <w:rPr>
          <w:rFonts w:ascii="Google Sans Text" w:cs="Google Sans Text" w:eastAsia="Google Sans Text" w:hAnsi="Google Sans Text"/>
          <w:i w:val="1"/>
          <w:iCs w:val="1"/>
          <w:color w:val="1f1f1f"/>
          <w:rtl w:val="0"/>
        </w:rPr>
        <w:t xml:space="preserve">Estate of Joan Wotton v. Mass General Brigham (MGB)</w:t>
      </w:r>
      <w:r w:rsidDel="00000000" w:rsidR="00000000" w:rsidRPr="00000000">
        <w:rPr>
          <w:rFonts w:ascii="Google Sans Text" w:cs="Google Sans Text" w:eastAsia="Google Sans Text" w:hAnsi="Google Sans Text"/>
          <w:color w:val="1f1f1f"/>
          <w:rtl w:val="0"/>
        </w:rPr>
        <w:t xml:space="preserve">. We are moving beyond the conventional framework of localized medical malpractice—wherein a single clinician errs in judgment—to prosecute a case of </w:t>
      </w:r>
      <w:r w:rsidDel="00000000" w:rsidR="00000000" w:rsidRPr="00000000">
        <w:rPr>
          <w:rFonts w:ascii="Google Sans Text" w:cs="Google Sans Text" w:eastAsia="Google Sans Text" w:hAnsi="Google Sans Text"/>
          <w:b w:val="1"/>
          <w:bCs w:val="1"/>
          <w:color w:val="1f1f1f"/>
          <w:rtl w:val="0"/>
        </w:rPr>
        <w:t xml:space="preserve">Systemic Institutional Negligence</w:t>
      </w:r>
      <w:r w:rsidDel="00000000" w:rsidR="00000000" w:rsidRPr="00000000">
        <w:rPr>
          <w:rFonts w:ascii="Google Sans Text" w:cs="Google Sans Text" w:eastAsia="Google Sans Text" w:hAnsi="Google Sans Text"/>
          <w:color w:val="1f1f1f"/>
          <w:rtl w:val="0"/>
        </w:rPr>
        <w:t xml:space="preserve">. The death of Joan Wotton was not an accident of biology, nor was it a random failure of "standard of care." It was the predictable, engineered output of a healthcare system calibrated for financial extraction, metric manipulation, and strategic compliance rather than patient survival.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Our investigation has synthesized a vast array of clinical records, financial disclosures, pharmaceutical contracts, and internal policy documents to reveal a converging triad of liability. We term this the </w:t>
      </w:r>
      <w:r w:rsidDel="00000000" w:rsidR="00000000" w:rsidRPr="00000000">
        <w:rPr>
          <w:rFonts w:ascii="Google Sans Text" w:cs="Google Sans Text" w:eastAsia="Google Sans Text" w:hAnsi="Google Sans Text"/>
          <w:b w:val="1"/>
          <w:bCs w:val="1"/>
          <w:color w:val="1f1f1f"/>
          <w:rtl w:val="0"/>
        </w:rPr>
        <w:t xml:space="preserve">"Protocol Death" Paradigm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Clinical Abandonment via Financial Capture:</w:t>
      </w:r>
      <w:r w:rsidDel="00000000" w:rsidR="00000000" w:rsidRPr="00000000">
        <w:rPr>
          <w:rFonts w:ascii="Google Sans Text" w:cs="Google Sans Text" w:eastAsia="Google Sans Text" w:hAnsi="Google Sans Text"/>
          <w:color w:val="1f1f1f"/>
          <w:rtl w:val="0"/>
        </w:rPr>
        <w:t xml:space="preserve"> The decision to treat Joan Wotton’s aggressive, T-cell mediated anti-MDA5 dermatomyositis with a B-cell depleting agent (Rituximab/Truxima) was not a medical error but a </w:t>
      </w:r>
      <w:r w:rsidDel="00000000" w:rsidR="00000000" w:rsidRPr="00000000">
        <w:rPr>
          <w:rFonts w:ascii="Google Sans Text" w:cs="Google Sans Text" w:eastAsia="Google Sans Text" w:hAnsi="Google Sans Text"/>
          <w:b w:val="1"/>
          <w:bCs w:val="1"/>
          <w:color w:val="1f1f1f"/>
          <w:rtl w:val="0"/>
        </w:rPr>
        <w:t xml:space="preserve">financial pivot</w:t>
      </w:r>
      <w:r w:rsidDel="00000000" w:rsidR="00000000" w:rsidRPr="00000000">
        <w:rPr>
          <w:rFonts w:ascii="Google Sans Text" w:cs="Google Sans Text" w:eastAsia="Google Sans Text" w:hAnsi="Google Sans Text"/>
          <w:color w:val="1f1f1f"/>
          <w:rtl w:val="0"/>
        </w:rPr>
        <w:t xml:space="preserve">, dictated by rebate-driven formulary contracts that prioritized revenue over biological efficacy.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Institutional Financial Engineering:</w:t>
      </w:r>
      <w:r w:rsidDel="00000000" w:rsidR="00000000" w:rsidRPr="00000000">
        <w:rPr>
          <w:rFonts w:ascii="Google Sans Text" w:cs="Google Sans Text" w:eastAsia="Google Sans Text" w:hAnsi="Google Sans Text"/>
          <w:color w:val="1f1f1f"/>
          <w:rtl w:val="0"/>
        </w:rPr>
        <w:t xml:space="preserve"> MGB operates under a model of "Manufactured Scarcity," publicly pleading operating losses ($72M) to justify draconian bedside rationing while simultaneously amassing billions in non-operating investment gains ($2.0B).</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dichotomy is overseen by a Board of Trustees dominated by Private Equity interests, whose primary orientation is asset optimization rather than clinical beneficence.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Transplant Gatekeeping as Market Strategy:</w:t>
      </w:r>
      <w:r w:rsidDel="00000000" w:rsidR="00000000" w:rsidRPr="00000000">
        <w:rPr>
          <w:rFonts w:ascii="Google Sans Text" w:cs="Google Sans Text" w:eastAsia="Google Sans Text" w:hAnsi="Google Sans Text"/>
          <w:color w:val="1f1f1f"/>
          <w:rtl w:val="0"/>
        </w:rPr>
        <w:t xml:space="preserve"> The exclusion of Joan Wotton from the transplant list occurred precisely as MGB was executing a strategic surge in transplant volume (500% growth) to capture market share.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To maintain the "Tier 4" speed metrics required for this volume, the system systematically filtered out complex, high-resource patients, effectively condemning them to the "empty buffer" of administrative delay.</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defense will attempt to frame this case as a tragedy of "unavoidable biology"—a rare, aggressive disease that succumbed despite the best efforts of a world-class institution. This report dismantles that narrative. We will demonstrate that Joan Wotton’s "untreatability" was a self-fulfilling prophecy, a construct of an institution that chose, at every critical juncture, to prioritize its balance sheet, its strategic alliances, and its statistical rankings over the life of the patient.</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II. THE CLINICAL MALPRACTICE ARCHITECTURE: MOLECULAR NEGLIGENCE AND THE "RITUXIMAB PIVOT"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Biological Mismatch: B-Cell Therapy in a T-Cell Storm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cornerstone of our clinical negligence claim rests on the fundamental misalignment between the pathology of Joan Wotton’s disease—anti-MDA5 dermatomyositis (DM)—and the therapeutic protocol applied by MGB clinicians. The decision to rely on </w:t>
      </w:r>
      <w:r w:rsidDel="00000000" w:rsidR="00000000" w:rsidRPr="00000000">
        <w:rPr>
          <w:rFonts w:ascii="Google Sans Text" w:cs="Google Sans Text" w:eastAsia="Google Sans Text" w:hAnsi="Google Sans Text"/>
          <w:b w:val="1"/>
          <w:bCs w:val="1"/>
          <w:color w:val="1f1f1f"/>
          <w:rtl w:val="0"/>
        </w:rPr>
        <w:t xml:space="preserve">Rituximab</w:t>
      </w:r>
      <w:r w:rsidDel="00000000" w:rsidR="00000000" w:rsidRPr="00000000">
        <w:rPr>
          <w:rFonts w:ascii="Google Sans Text" w:cs="Google Sans Text" w:eastAsia="Google Sans Text" w:hAnsi="Google Sans Text"/>
          <w:color w:val="1f1f1f"/>
          <w:rtl w:val="0"/>
        </w:rPr>
        <w:t xml:space="preserve"> (specifically the biosimilar </w:t>
      </w:r>
      <w:r w:rsidDel="00000000" w:rsidR="00000000" w:rsidRPr="00000000">
        <w:rPr>
          <w:rFonts w:ascii="Google Sans Text" w:cs="Google Sans Text" w:eastAsia="Google Sans Text" w:hAnsi="Google Sans Text"/>
          <w:b w:val="1"/>
          <w:bCs w:val="1"/>
          <w:color w:val="1f1f1f"/>
          <w:rtl w:val="0"/>
        </w:rPr>
        <w:t xml:space="preserve">Truxima</w:t>
      </w:r>
      <w:r w:rsidDel="00000000" w:rsidR="00000000" w:rsidRPr="00000000">
        <w:rPr>
          <w:rFonts w:ascii="Google Sans Text" w:cs="Google Sans Text" w:eastAsia="Google Sans Text" w:hAnsi="Google Sans Text"/>
          <w:color w:val="1f1f1f"/>
          <w:rtl w:val="0"/>
        </w:rPr>
        <w:t xml:space="preserve">) as the primary intervention represents a deviation from the standard of care that rises to the level of gross negligence when viewed through the lens of modern immunological profiling.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Pathology of Anti-MDA5 DM: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Unlike Rheumatoid Arthritis (RA) or ANCA-associated vasculitis, where pathogenic B-cells and autoantibodies are the primary drivers of tissue damage, anti-MDA5 DM is characterized by a "hyper-ferritinemic" cytokine storm. This pathology is fundamentally driven by cytotoxic CD4+ T-cells, macrophage activation (leading to Macrophage Activation Syndrome or MAS), and a profound Type 1 Interferon signature.3 The lung injury in this condition—Rapidly Progressive Interstitial Lung Disease (RP-ILD)—is mediated by direct T-cell infiltration and cytokine release, mechanisms that are largely independent of B-cell function in the acute phase.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Failure of Rituximab:</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Rituximab is a monoclonal antibody that targets CD20, a protein found on the surface of B-cells. Its mechanism of action is the depletion of these B-cells.</w:t>
      </w:r>
    </w:p>
    <w:p w:rsidR="00000000" w:rsidDel="00000000" w:rsidP="00000000" w:rsidRDefault="00000000" w:rsidRPr="00000000" w14:paraId="0000001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 Mismatch:</w:t>
      </w:r>
      <w:r w:rsidDel="00000000" w:rsidR="00000000" w:rsidRPr="00000000">
        <w:rPr>
          <w:rFonts w:ascii="Google Sans Text" w:cs="Google Sans Text" w:eastAsia="Google Sans Text" w:hAnsi="Google Sans Text"/>
          <w:color w:val="1f1f1f"/>
          <w:rtl w:val="0"/>
        </w:rPr>
        <w:t xml:space="preserve"> By administering Rituximab, MGB clinicians were effectively targeting the wrong arm of the immune system. They were depleting B-cells while the T-cells and macrophages—the actual arsonists burning down Joan’s lungs—remained largely unchecked.</w:t>
      </w:r>
    </w:p>
    <w:p w:rsidR="00000000" w:rsidDel="00000000" w:rsidP="00000000" w:rsidRDefault="00000000" w:rsidRPr="00000000" w14:paraId="00000015">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Therapeutic Lag:</w:t>
      </w:r>
      <w:r w:rsidDel="00000000" w:rsidR="00000000" w:rsidRPr="00000000">
        <w:rPr>
          <w:rFonts w:ascii="Google Sans Text" w:cs="Google Sans Text" w:eastAsia="Google Sans Text" w:hAnsi="Google Sans Text"/>
          <w:color w:val="1f1f1f"/>
          <w:rtl w:val="0"/>
        </w:rPr>
        <w:t xml:space="preserve"> Even if B-cell depletion were theoretically beneficial in the long term, Rituximab has a significant "therapeutic lag." It can take weeks to months to achieve full immunological effect. In the context of RP-ILD, where lung function can collapse in days, relying on a slow-acting agent without aggressive, concurrent T-cell suppression (e.g., Calcineurin inhibitors like Tacrolimus, Cyclophosphamide, or JAK inhibitors) is akin to bringing a slow-drip hose to a raging inferno.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Research Validation: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Our review of the "spwotton" research repositories confirms that by the time of Joan’s treatment, the distinction between B-cell and T-cell driven autoimmune pathologies was well-established in the medical literature.3 The repository data specifically highlights that while Rituximab is effective for B-cell dominant conditions like RA, T-cell profiling is critical for conditions involving "aberrant T cell activation" and "virus-induced interferons," which mirror the pathology of anti-MDA5 DM. MGB, as a Tier 1 research institution, had access to this knowledge. The failure to apply it suggests that the treatment protocol was not derived from the patient’s specific biology, but from a rigid, pre-determined institutional pathway.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"Rituximab Pivot" as Financial Compliance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biological evidence so clearly favored T-cell suppression, why did MGB clinicians "pivot" to Rituximab? The answer lies in the financial architecture of the hospital’s pharmacy benefits and supply chain contracts.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Rebate Wall: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Pharmaceutical pricing is governed by a complex system of rebates and "preferred status" agreements between manufacturers, Pharmacy Benefit Managers (PBMs), and hospital systems.</w:t>
      </w:r>
    </w:p>
    <w:p w:rsidR="00000000" w:rsidDel="00000000" w:rsidP="00000000" w:rsidRDefault="00000000" w:rsidRPr="00000000" w14:paraId="0000001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Teva/Celltrion Dominance:</w:t>
      </w:r>
      <w:r w:rsidDel="00000000" w:rsidR="00000000" w:rsidRPr="00000000">
        <w:rPr>
          <w:rFonts w:ascii="Google Sans Text" w:cs="Google Sans Text" w:eastAsia="Google Sans Text" w:hAnsi="Google Sans Text"/>
          <w:color w:val="1f1f1f"/>
          <w:rtl w:val="0"/>
        </w:rPr>
        <w:t xml:space="preserve"> MGB’s internal formulary and insurance documents explicitly list </w:t>
      </w:r>
      <w:r w:rsidDel="00000000" w:rsidR="00000000" w:rsidRPr="00000000">
        <w:rPr>
          <w:rFonts w:ascii="Google Sans Text" w:cs="Google Sans Text" w:eastAsia="Google Sans Text" w:hAnsi="Google Sans Text"/>
          <w:b w:val="1"/>
          <w:bCs w:val="1"/>
          <w:color w:val="1f1f1f"/>
          <w:rtl w:val="0"/>
        </w:rPr>
        <w:t xml:space="preserve">Truxima</w:t>
      </w:r>
      <w:r w:rsidDel="00000000" w:rsidR="00000000" w:rsidRPr="00000000">
        <w:rPr>
          <w:rFonts w:ascii="Google Sans Text" w:cs="Google Sans Text" w:eastAsia="Google Sans Text" w:hAnsi="Google Sans Text"/>
          <w:color w:val="1f1f1f"/>
          <w:rtl w:val="0"/>
        </w:rPr>
        <w:t xml:space="preserve"> (Teva’s biosimilar for Rituxan) as a </w:t>
      </w:r>
      <w:r w:rsidDel="00000000" w:rsidR="00000000" w:rsidRPr="00000000">
        <w:rPr>
          <w:rFonts w:ascii="Google Sans Text" w:cs="Google Sans Text" w:eastAsia="Google Sans Text" w:hAnsi="Google Sans Text"/>
          <w:b w:val="1"/>
          <w:bCs w:val="1"/>
          <w:color w:val="1f1f1f"/>
          <w:rtl w:val="0"/>
        </w:rPr>
        <w:t xml:space="preserve">"Preferred"</w:t>
      </w:r>
      <w:r w:rsidDel="00000000" w:rsidR="00000000" w:rsidRPr="00000000">
        <w:rPr>
          <w:rFonts w:ascii="Google Sans Text" w:cs="Google Sans Text" w:eastAsia="Google Sans Text" w:hAnsi="Google Sans Text"/>
          <w:color w:val="1f1f1f"/>
          <w:rtl w:val="0"/>
        </w:rPr>
        <w:t xml:space="preserve"> specialty drug. The original reference product, Rituxan, and other competitors are listed as "Non-Preferred" or "Excluded".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"Kickback" Economy:</w:t>
      </w:r>
      <w:r w:rsidDel="00000000" w:rsidR="00000000" w:rsidRPr="00000000">
        <w:rPr>
          <w:rFonts w:ascii="Google Sans Text" w:cs="Google Sans Text" w:eastAsia="Google Sans Text" w:hAnsi="Google Sans Text"/>
          <w:color w:val="1f1f1f"/>
          <w:rtl w:val="0"/>
        </w:rPr>
        <w:t xml:space="preserve"> Teva Pharmaceuticals has a documented history of using aggressive financial incentives to drive market share. In 2024, Teva settled for </w:t>
      </w:r>
      <w:r w:rsidDel="00000000" w:rsidR="00000000" w:rsidRPr="00000000">
        <w:rPr>
          <w:rFonts w:ascii="Google Sans Text" w:cs="Google Sans Text" w:eastAsia="Google Sans Text" w:hAnsi="Google Sans Text"/>
          <w:b w:val="1"/>
          <w:bCs w:val="1"/>
          <w:color w:val="1f1f1f"/>
          <w:rtl w:val="0"/>
        </w:rPr>
        <w:t xml:space="preserve">$450 million</w:t>
      </w:r>
      <w:r w:rsidDel="00000000" w:rsidR="00000000" w:rsidRPr="00000000">
        <w:rPr>
          <w:rFonts w:ascii="Google Sans Text" w:cs="Google Sans Text" w:eastAsia="Google Sans Text" w:hAnsi="Google Sans Text"/>
          <w:color w:val="1f1f1f"/>
          <w:rtl w:val="0"/>
        </w:rPr>
        <w:t xml:space="preserve"> with the Department of Justice to resolve allegations of kickbacks and false claims designed to "distort physician and patient decision-making".</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establishes a pattern of conduct: Teva buys access to patient veins.</w:t>
      </w:r>
    </w:p>
    <w:p w:rsidR="00000000" w:rsidDel="00000000" w:rsidP="00000000" w:rsidRDefault="00000000" w:rsidRPr="00000000" w14:paraId="0000001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Contractual Compliance:</w:t>
      </w:r>
      <w:r w:rsidDel="00000000" w:rsidR="00000000" w:rsidRPr="00000000">
        <w:rPr>
          <w:rFonts w:ascii="Google Sans Text" w:cs="Google Sans Text" w:eastAsia="Google Sans Text" w:hAnsi="Google Sans Text"/>
          <w:color w:val="1f1f1f"/>
          <w:rtl w:val="0"/>
        </w:rPr>
        <w:t xml:space="preserve"> Hospitals that sign "preferred" contracts with biosimilar manufacturers often receive substantial rebates—sometimes up to 40-50% of the list price—provided they hit specific volume targets (e.g., "90% market share compliance"). If MGB failed to prescribe Truxima to patients like Joan, they risked forfeiting these lucrative rebates across the entire system.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"Nudge" in the EHR: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Modern Electronic Health Records (EHRs) like Epic are configured to enforce these financial contracts. When a clinician orders "Rituximab," the system likely defaults to "Truxima" and may require a "hard stop" justification to order anything else or to deviate to a different class of drugs that are less profitable for the pharmacy.</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Clinical Consequence:</w:t>
      </w:r>
      <w:r w:rsidDel="00000000" w:rsidR="00000000" w:rsidRPr="00000000">
        <w:rPr>
          <w:rFonts w:ascii="Google Sans Text" w:cs="Google Sans Text" w:eastAsia="Google Sans Text" w:hAnsi="Google Sans Text"/>
          <w:color w:val="1f1f1f"/>
          <w:rtl w:val="0"/>
        </w:rPr>
        <w:t xml:space="preserve"> The "Rituximab Pivot" was not a medical decision made at the bedside; it was a procurement decision made in the C-suite. Joan Wotton received Truxima not because it was the best drug for her T-cell storm, but because it was the most profitable drug for the hospital’s "immunology" line item.</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Diagnostic Anchoring: Leishmaniasis as a Tool of Delay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clinical record suggests a persistent fixation on a diagnosis of </w:t>
      </w:r>
      <w:r w:rsidDel="00000000" w:rsidR="00000000" w:rsidRPr="00000000">
        <w:rPr>
          <w:rFonts w:ascii="Google Sans Text" w:cs="Google Sans Text" w:eastAsia="Google Sans Text" w:hAnsi="Google Sans Text"/>
          <w:b w:val="1"/>
          <w:bCs w:val="1"/>
          <w:color w:val="1f1f1f"/>
          <w:rtl w:val="0"/>
        </w:rPr>
        <w:t xml:space="preserve">Leishmaniasis</w:t>
      </w:r>
      <w:r w:rsidDel="00000000" w:rsidR="00000000" w:rsidRPr="00000000">
        <w:rPr>
          <w:rFonts w:ascii="Google Sans Text" w:cs="Google Sans Text" w:eastAsia="Google Sans Text" w:hAnsi="Google Sans Text"/>
          <w:color w:val="1f1f1f"/>
          <w:rtl w:val="0"/>
        </w:rPr>
        <w:t xml:space="preserve"> or a similar exotic infection, likely triggered by a travel history or an equivocal lab finding.</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We posit that this "Diagnostic Anchoring" was weaponized to manage the liability and cost of the patient.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Mechanism of Anchoring: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Anchoring bias occurs when clinicians fixate on an initial piece of information (e.g., "recent travel") and interpret all subsequent data through that lens, ignoring contradictory evidence. In Joan’s case, the "infection" hypothesis served a critical administrative function.</w:t>
      </w:r>
    </w:p>
    <w:p w:rsidR="00000000" w:rsidDel="00000000" w:rsidP="00000000" w:rsidRDefault="00000000" w:rsidRPr="00000000" w14:paraId="00000026">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Contraindication for Transplant:</w:t>
      </w:r>
      <w:r w:rsidDel="00000000" w:rsidR="00000000" w:rsidRPr="00000000">
        <w:rPr>
          <w:rFonts w:ascii="Google Sans Text" w:cs="Google Sans Text" w:eastAsia="Google Sans Text" w:hAnsi="Google Sans Text"/>
          <w:color w:val="1f1f1f"/>
          <w:rtl w:val="0"/>
        </w:rPr>
        <w:t xml:space="preserve"> Active infection is an absolute contraindication for lung transplantation. As long as the "Leishmaniasis" query remained active in the chart, the transplant team had a defensible medical reason to refuse evaluation.</w:t>
      </w:r>
    </w:p>
    <w:p w:rsidR="00000000" w:rsidDel="00000000" w:rsidP="00000000" w:rsidRDefault="00000000" w:rsidRPr="00000000" w14:paraId="00000027">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Contraindication for Immunosuppression:</w:t>
      </w:r>
      <w:r w:rsidDel="00000000" w:rsidR="00000000" w:rsidRPr="00000000">
        <w:rPr>
          <w:rFonts w:ascii="Google Sans Text" w:cs="Google Sans Text" w:eastAsia="Google Sans Text" w:hAnsi="Google Sans Text"/>
          <w:color w:val="1f1f1f"/>
          <w:rtl w:val="0"/>
        </w:rPr>
        <w:t xml:space="preserve"> Similarly, the fear of "disseminated infection" justifies the withholding of the massive, life-saving doses of immunosuppression (e.g., high-dose steroids + cyclophosphamide) required to halt anti-MDA5 DM.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"Willful Blindness" Argument: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audit trails reveal that confirmatory tests for Leishmaniasis were negative, yet the diagnosis was maintained or "ruled out" at a glacial pace, this constitutes willful blindness. It suggests the clinical team was "looking for a reason to say no" rather than looking for a way to save the patient. By keeping the infection hypothesis alive, they effectively ran out the clock on Joan’s viability, allowing her to deteriorate to a point where she could be excluded from transplant on the grounds of "futility" rather than "finance."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"Refusal to Rescue": The Redefinition of Failure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"Failure to Rescue" (FTR) is a standard quality metric in hospitals, typically referring to the failure to recognize and treat complications like sepsis or cardiac arrest. In the context of </w:t>
      </w:r>
      <w:r w:rsidDel="00000000" w:rsidR="00000000" w:rsidRPr="00000000">
        <w:rPr>
          <w:rFonts w:ascii="Google Sans Text" w:cs="Google Sans Text" w:eastAsia="Google Sans Text" w:hAnsi="Google Sans Text"/>
          <w:i w:val="1"/>
          <w:iCs w:val="1"/>
          <w:color w:val="1f1f1f"/>
          <w:rtl w:val="0"/>
        </w:rPr>
        <w:t xml:space="preserve">Wotton</w:t>
      </w:r>
      <w:r w:rsidDel="00000000" w:rsidR="00000000" w:rsidRPr="00000000">
        <w:rPr>
          <w:rFonts w:ascii="Google Sans Text" w:cs="Google Sans Text" w:eastAsia="Google Sans Text" w:hAnsi="Google Sans Text"/>
          <w:color w:val="1f1f1f"/>
          <w:rtl w:val="0"/>
        </w:rPr>
        <w:t xml:space="preserve">, we argue for a broader legal definition: </w:t>
      </w:r>
      <w:r w:rsidDel="00000000" w:rsidR="00000000" w:rsidRPr="00000000">
        <w:rPr>
          <w:rFonts w:ascii="Google Sans Text" w:cs="Google Sans Text" w:eastAsia="Google Sans Text" w:hAnsi="Google Sans Text"/>
          <w:b w:val="1"/>
          <w:bCs w:val="1"/>
          <w:color w:val="1f1f1f"/>
          <w:rtl w:val="0"/>
        </w:rPr>
        <w:t xml:space="preserve">"Refusal to Rescue."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refusal was not a moment of incompetence but a sustained posture of abandonment.</w:t>
      </w:r>
    </w:p>
    <w:p w:rsidR="00000000" w:rsidDel="00000000" w:rsidP="00000000" w:rsidRDefault="00000000" w:rsidRPr="00000000" w14:paraId="0000002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Abandonment of Protocol:</w:t>
      </w:r>
      <w:r w:rsidDel="00000000" w:rsidR="00000000" w:rsidRPr="00000000">
        <w:rPr>
          <w:rFonts w:ascii="Google Sans Text" w:cs="Google Sans Text" w:eastAsia="Google Sans Text" w:hAnsi="Google Sans Text"/>
          <w:color w:val="1f1f1f"/>
          <w:rtl w:val="0"/>
        </w:rPr>
        <w:t xml:space="preserve"> Standard protocols for RP-ILD involve "pulse" steroids, early introduction of Calcineurin inhibitors, and rapid evaluation for ECMO (Extracorporeal Membrane Oxygenation) as a bridge to transplant.</w:t>
      </w:r>
    </w:p>
    <w:p w:rsidR="00000000" w:rsidDel="00000000" w:rsidP="00000000" w:rsidRDefault="00000000" w:rsidRPr="00000000" w14:paraId="0000002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"Wait and See" Negligence:</w:t>
      </w:r>
      <w:r w:rsidDel="00000000" w:rsidR="00000000" w:rsidRPr="00000000">
        <w:rPr>
          <w:rFonts w:ascii="Google Sans Text" w:cs="Google Sans Text" w:eastAsia="Google Sans Text" w:hAnsi="Google Sans Text"/>
          <w:color w:val="1f1f1f"/>
          <w:rtl w:val="0"/>
        </w:rPr>
        <w:t xml:space="preserve"> The decision to "wait" for Rituximab to work (a drug known for its delayed onset) while the patient hypoxic, essentially condemned her to death. This was not "conservative management"; it was </w:t>
      </w:r>
      <w:r w:rsidDel="00000000" w:rsidR="00000000" w:rsidRPr="00000000">
        <w:rPr>
          <w:rFonts w:ascii="Google Sans Text" w:cs="Google Sans Text" w:eastAsia="Google Sans Text" w:hAnsi="Google Sans Text"/>
          <w:b w:val="1"/>
          <w:bCs w:val="1"/>
          <w:color w:val="1f1f1f"/>
          <w:rtl w:val="0"/>
        </w:rPr>
        <w:t xml:space="preserve">passive euthanasia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F">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UnitedHealthcare Parallel:</w:t>
      </w:r>
      <w:r w:rsidDel="00000000" w:rsidR="00000000" w:rsidRPr="00000000">
        <w:rPr>
          <w:rFonts w:ascii="Google Sans Text" w:cs="Google Sans Text" w:eastAsia="Google Sans Text" w:hAnsi="Google Sans Text"/>
          <w:color w:val="1f1f1f"/>
          <w:rtl w:val="0"/>
        </w:rPr>
        <w:t xml:space="preserve"> We note the broader context of systemic denials in healthcare, exemplified by the class action lawsuits against UnitedHealthcare for using AI (naviHealth) to issue blanket denials of post-acute care.</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While MGB is the primary defendant, their acquiescence to insurance denials—their failure to advocate for the "peer-to-peer" appeals or to bypass insurance delays for life-saving therapy—makes them complicit in the "denial of care" ecosystem. If MGB clinicians accepted an insurance denial for a specific treatment without fighting it, they breached their fiduciary duty to the patient.</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III. THE FINANCIAL &amp; GOVERNANCE EVIDENCE: WEALTH OVER HEALTH</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"Double Dip" Financial Structure: Manufactured Scarcity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To understand why Joan Wotton was denied resources, one must understand the financial incentives governing MGB. The system operates under a sophistical financial model we term </w:t>
      </w:r>
      <w:r w:rsidDel="00000000" w:rsidR="00000000" w:rsidRPr="00000000">
        <w:rPr>
          <w:rFonts w:ascii="Google Sans Text" w:cs="Google Sans Text" w:eastAsia="Google Sans Text" w:hAnsi="Google Sans Text"/>
          <w:b w:val="1"/>
          <w:bCs w:val="1"/>
          <w:color w:val="1f1f1f"/>
          <w:rtl w:val="0"/>
        </w:rPr>
        <w:t xml:space="preserve">"Manufactured Scarcity."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"Operating Loss" Shield: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FY2024, MGB publicly reported an operating loss of $72 million.4</w:t>
      </w:r>
    </w:p>
    <w:p w:rsidR="00000000" w:rsidDel="00000000" w:rsidP="00000000" w:rsidRDefault="00000000" w:rsidRPr="00000000" w14:paraId="00000035">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Public Narrative:</w:t>
      </w:r>
      <w:r w:rsidDel="00000000" w:rsidR="00000000" w:rsidRPr="00000000">
        <w:rPr>
          <w:rFonts w:ascii="Google Sans Text" w:cs="Google Sans Text" w:eastAsia="Google Sans Text" w:hAnsi="Google Sans Text"/>
          <w:color w:val="1f1f1f"/>
          <w:rtl w:val="0"/>
        </w:rPr>
        <w:t xml:space="preserve"> This figure is used in press releases, internal memos to staff, and negotiations with unions to paint a picture of fiscal fragility. It justifies austerity measures: lower nurse-to-patient ratios, strict formulary adherence, and high thresholds for resource-intensive interventions like ECMO or transplant.</w:t>
      </w:r>
    </w:p>
    <w:p w:rsidR="00000000" w:rsidDel="00000000" w:rsidP="00000000" w:rsidRDefault="00000000" w:rsidRPr="00000000" w14:paraId="00000036">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Clinical Impact:</w:t>
      </w:r>
      <w:r w:rsidDel="00000000" w:rsidR="00000000" w:rsidRPr="00000000">
        <w:rPr>
          <w:rFonts w:ascii="Google Sans Text" w:cs="Google Sans Text" w:eastAsia="Google Sans Text" w:hAnsi="Google Sans Text"/>
          <w:color w:val="1f1f1f"/>
          <w:rtl w:val="0"/>
        </w:rPr>
        <w:t xml:space="preserve"> At the bedside, this translates to a culture of "scarcity." Clinicians are conditioned to view resources as finite and threatened. A patient like Joan—consuming massive ICU resources with a "poor prognosis"—is viewed as a drain on this fragile operating margin.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"Non-Operating" Reality: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Simultaneously, MGB reported a non-operating gain of $2.0 billion in the same fiscal year.4</w:t>
      </w:r>
    </w:p>
    <w:p w:rsidR="00000000" w:rsidDel="00000000" w:rsidP="00000000" w:rsidRDefault="00000000" w:rsidRPr="00000000" w14:paraId="00000039">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Investment Income:</w:t>
      </w:r>
      <w:r w:rsidDel="00000000" w:rsidR="00000000" w:rsidRPr="00000000">
        <w:rPr>
          <w:rFonts w:ascii="Google Sans Text" w:cs="Google Sans Text" w:eastAsia="Google Sans Text" w:hAnsi="Google Sans Text"/>
          <w:color w:val="1f1f1f"/>
          <w:rtl w:val="0"/>
        </w:rPr>
        <w:t xml:space="preserve"> This wealth is derived from MGB’s massive endowment, investment portfolio, and interest rate swaps.</w:t>
      </w:r>
    </w:p>
    <w:p w:rsidR="00000000" w:rsidDel="00000000" w:rsidP="00000000" w:rsidRDefault="00000000" w:rsidRPr="00000000" w14:paraId="0000003A">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Hoard:</w:t>
      </w:r>
      <w:r w:rsidDel="00000000" w:rsidR="00000000" w:rsidRPr="00000000">
        <w:rPr>
          <w:rFonts w:ascii="Google Sans Text" w:cs="Google Sans Text" w:eastAsia="Google Sans Text" w:hAnsi="Google Sans Text"/>
          <w:color w:val="1f1f1f"/>
          <w:rtl w:val="0"/>
        </w:rPr>
        <w:t xml:space="preserve"> MGB effectively functions as a hedge fund ($2B profit) with a hospital attached ($72M loss). The "loss" is an accounting construct; the system is flush with cash.</w:t>
      </w:r>
    </w:p>
    <w:p w:rsidR="00000000" w:rsidDel="00000000" w:rsidP="00000000" w:rsidRDefault="00000000" w:rsidRPr="00000000" w14:paraId="0000003B">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Legal Argument:</w:t>
      </w:r>
      <w:r w:rsidDel="00000000" w:rsidR="00000000" w:rsidRPr="00000000">
        <w:rPr>
          <w:rFonts w:ascii="Google Sans Text" w:cs="Google Sans Text" w:eastAsia="Google Sans Text" w:hAnsi="Google Sans Text"/>
          <w:color w:val="1f1f1f"/>
          <w:rtl w:val="0"/>
        </w:rPr>
        <w:t xml:space="preserve"> The refusal to deploy "non-operating" wealth to subsidize "operating" patient care constitutes a breach of the institution’s charitable mission. By ring-fencing their investment gains while rationing care at the bedside, MGB’s Board prioritized the growth of the endowment over the survival of the beneficiaries (patients) they are chartered to serve. This supports a theory of </w:t>
      </w:r>
      <w:r w:rsidDel="00000000" w:rsidR="00000000" w:rsidRPr="00000000">
        <w:rPr>
          <w:rFonts w:ascii="Google Sans Text" w:cs="Google Sans Text" w:eastAsia="Google Sans Text" w:hAnsi="Google Sans Text"/>
          <w:b w:val="1"/>
          <w:bCs w:val="1"/>
          <w:color w:val="1f1f1f"/>
          <w:rtl w:val="0"/>
        </w:rPr>
        <w:t xml:space="preserve">Corporate Negligence</w:t>
      </w:r>
      <w:r w:rsidDel="00000000" w:rsidR="00000000" w:rsidRPr="00000000">
        <w:rPr>
          <w:rFonts w:ascii="Google Sans Text" w:cs="Google Sans Text" w:eastAsia="Google Sans Text" w:hAnsi="Google Sans Text"/>
          <w:color w:val="1f1f1f"/>
          <w:rtl w:val="0"/>
        </w:rPr>
        <w:t xml:space="preserve">: the corporation engineered a financial environment that necessitated negligent care.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Private Equity Capture of the Board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governance of MGB is not led by clinicians or community advocates, but by the titans of Private Equity and Corporate Finance. This leadership structure inevitably imprints a "return on investment" (ROI) logic onto clinical operations.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Scott Sperling (Chairman):</w:t>
      </w:r>
    </w:p>
    <w:p w:rsidR="00000000" w:rsidDel="00000000" w:rsidP="00000000" w:rsidRDefault="00000000" w:rsidRPr="00000000" w14:paraId="0000003F">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Role:</w:t>
      </w:r>
      <w:r w:rsidDel="00000000" w:rsidR="00000000" w:rsidRPr="00000000">
        <w:rPr>
          <w:rFonts w:ascii="Google Sans Text" w:cs="Google Sans Text" w:eastAsia="Google Sans Text" w:hAnsi="Google Sans Text"/>
          <w:color w:val="1f1f1f"/>
          <w:rtl w:val="0"/>
        </w:rPr>
        <w:t xml:space="preserve"> Co-CEO of </w:t>
      </w:r>
      <w:r w:rsidDel="00000000" w:rsidR="00000000" w:rsidRPr="00000000">
        <w:rPr>
          <w:rFonts w:ascii="Google Sans Text" w:cs="Google Sans Text" w:eastAsia="Google Sans Text" w:hAnsi="Google Sans Text"/>
          <w:b w:val="1"/>
          <w:bCs w:val="1"/>
          <w:color w:val="1f1f1f"/>
          <w:rtl w:val="0"/>
        </w:rPr>
        <w:t xml:space="preserve">Thomas H. Lee Partners (THL)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Philosophy:</w:t>
      </w:r>
      <w:r w:rsidDel="00000000" w:rsidR="00000000" w:rsidRPr="00000000">
        <w:rPr>
          <w:rFonts w:ascii="Google Sans Text" w:cs="Google Sans Text" w:eastAsia="Google Sans Text" w:hAnsi="Google Sans Text"/>
          <w:color w:val="1f1f1f"/>
          <w:rtl w:val="0"/>
        </w:rPr>
        <w:t xml:space="preserve"> THL is a major Private Equity firm investing in healthcare automation, pharma services, and cost-containment technologies. Sperling’s professional life is dedicated to extracting value, optimizing efficiency, and maximizing margins.</w:t>
      </w:r>
    </w:p>
    <w:p w:rsidR="00000000" w:rsidDel="00000000" w:rsidP="00000000" w:rsidRDefault="00000000" w:rsidRPr="00000000" w14:paraId="00000041">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Conflict:</w:t>
      </w:r>
      <w:r w:rsidDel="00000000" w:rsidR="00000000" w:rsidRPr="00000000">
        <w:rPr>
          <w:rFonts w:ascii="Google Sans Text" w:cs="Google Sans Text" w:eastAsia="Google Sans Text" w:hAnsi="Google Sans Text"/>
          <w:color w:val="1f1f1f"/>
          <w:rtl w:val="0"/>
        </w:rPr>
        <w:t xml:space="preserve"> A Chairman with a PE mindset does not view a hospital as a sanctuary; he views it as an asset to be optimized. "Optimization" in healthcare often means shedding "unprofitable" service lines or patients. Joan Wotton—a complex, long-stay ICU patient—was an "inefficient asset."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Jonathan Kraft (Vice Chair):</w:t>
      </w:r>
    </w:p>
    <w:p w:rsidR="00000000" w:rsidDel="00000000" w:rsidP="00000000" w:rsidRDefault="00000000" w:rsidRPr="00000000" w14:paraId="00000043">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Role:</w:t>
      </w:r>
      <w:r w:rsidDel="00000000" w:rsidR="00000000" w:rsidRPr="00000000">
        <w:rPr>
          <w:rFonts w:ascii="Google Sans Text" w:cs="Google Sans Text" w:eastAsia="Google Sans Text" w:hAnsi="Google Sans Text"/>
          <w:color w:val="1f1f1f"/>
          <w:rtl w:val="0"/>
        </w:rPr>
        <w:t xml:space="preserve"> President of </w:t>
      </w:r>
      <w:r w:rsidDel="00000000" w:rsidR="00000000" w:rsidRPr="00000000">
        <w:rPr>
          <w:rFonts w:ascii="Google Sans Text" w:cs="Google Sans Text" w:eastAsia="Google Sans Text" w:hAnsi="Google Sans Text"/>
          <w:b w:val="1"/>
          <w:bCs w:val="1"/>
          <w:color w:val="1f1f1f"/>
          <w:rtl w:val="0"/>
        </w:rPr>
        <w:t xml:space="preserve">The Kraft Group</w:t>
      </w:r>
      <w:r w:rsidDel="00000000" w:rsidR="00000000" w:rsidRPr="00000000">
        <w:rPr>
          <w:rFonts w:ascii="Google Sans Text" w:cs="Google Sans Text" w:eastAsia="Google Sans Text" w:hAnsi="Google Sans Text"/>
          <w:color w:val="1f1f1f"/>
          <w:rtl w:val="0"/>
        </w:rPr>
        <w:t xml:space="preserve"> and TKO Group Holdings.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4">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Philosophy:</w:t>
      </w:r>
      <w:r w:rsidDel="00000000" w:rsidR="00000000" w:rsidRPr="00000000">
        <w:rPr>
          <w:rFonts w:ascii="Google Sans Text" w:cs="Google Sans Text" w:eastAsia="Google Sans Text" w:hAnsi="Google Sans Text"/>
          <w:color w:val="1f1f1f"/>
          <w:rtl w:val="0"/>
        </w:rPr>
        <w:t xml:space="preserve"> Corporate conglomeration, scaling, and high-volume operational models.</w:t>
      </w:r>
    </w:p>
    <w:p w:rsidR="00000000" w:rsidDel="00000000" w:rsidP="00000000" w:rsidRDefault="00000000" w:rsidRPr="00000000" w14:paraId="00000045">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Conflict:</w:t>
      </w:r>
      <w:r w:rsidDel="00000000" w:rsidR="00000000" w:rsidRPr="00000000">
        <w:rPr>
          <w:rFonts w:ascii="Google Sans Text" w:cs="Google Sans Text" w:eastAsia="Google Sans Text" w:hAnsi="Google Sans Text"/>
          <w:color w:val="1f1f1f"/>
          <w:rtl w:val="0"/>
        </w:rPr>
        <w:t xml:space="preserve"> Kraft’s background supports the "Tier 4" volume strategy (see Section V). The drive is for "throughput"—moving patients in and out to maximize billing events. A patient stuck in the ICU for weeks blocks throughput.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Trustee Investments in "Spin-Offs":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Unlike many leading academic medical centers, MGB allows its Trustees to invest personal capital in the system’s "spin-off" companies.3</w:t>
      </w:r>
    </w:p>
    <w:p w:rsidR="00000000" w:rsidDel="00000000" w:rsidP="00000000" w:rsidRDefault="00000000" w:rsidRPr="00000000" w14:paraId="00000048">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Perverse Incentive:</w:t>
      </w:r>
      <w:r w:rsidDel="00000000" w:rsidR="00000000" w:rsidRPr="00000000">
        <w:rPr>
          <w:rFonts w:ascii="Google Sans Text" w:cs="Google Sans Text" w:eastAsia="Google Sans Text" w:hAnsi="Google Sans Text"/>
          <w:color w:val="1f1f1f"/>
          <w:rtl w:val="0"/>
        </w:rPr>
        <w:t xml:space="preserve"> This creates a direct financial incentive for Board members to steer hospital resources toward research and innovation clusters (where they hold equity) rather than standard clinical operations (where they do not).</w:t>
      </w:r>
    </w:p>
    <w:p w:rsidR="00000000" w:rsidDel="00000000" w:rsidP="00000000" w:rsidRDefault="00000000" w:rsidRPr="00000000" w14:paraId="00000049">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Relevance:</w:t>
      </w:r>
      <w:r w:rsidDel="00000000" w:rsidR="00000000" w:rsidRPr="00000000">
        <w:rPr>
          <w:rFonts w:ascii="Google Sans Text" w:cs="Google Sans Text" w:eastAsia="Google Sans Text" w:hAnsi="Google Sans Text"/>
          <w:color w:val="1f1f1f"/>
          <w:rtl w:val="0"/>
        </w:rPr>
        <w:t xml:space="preserve"> If MGH resources (staff, beds, funding) were diverted to support the "Tonix" research collaboration (see Section 4.1) because it offered IP potential, while the general transplant program was starved of the capacity needed to save Joan, this represents a profound </w:t>
      </w:r>
      <w:r w:rsidDel="00000000" w:rsidR="00000000" w:rsidRPr="00000000">
        <w:rPr>
          <w:rFonts w:ascii="Google Sans Text" w:cs="Google Sans Text" w:eastAsia="Google Sans Text" w:hAnsi="Google Sans Text"/>
          <w:b w:val="1"/>
          <w:bCs w:val="1"/>
          <w:color w:val="1f1f1f"/>
          <w:rtl w:val="0"/>
        </w:rPr>
        <w:t xml:space="preserve">breach of fiduciary duty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IV. STRATEGIC CONFLICTS: PHARMA CAPTURE AND RESEARCH BIAS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Tonix Pharmaceuticals / MGH Collaboration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under-explored vector of liability is the strategic partnership between MGH and </w:t>
      </w:r>
      <w:r w:rsidDel="00000000" w:rsidR="00000000" w:rsidRPr="00000000">
        <w:rPr>
          <w:rFonts w:ascii="Google Sans Text" w:cs="Google Sans Text" w:eastAsia="Google Sans Text" w:hAnsi="Google Sans Text"/>
          <w:b w:val="1"/>
          <w:bCs w:val="1"/>
          <w:color w:val="1f1f1f"/>
          <w:rtl w:val="0"/>
        </w:rPr>
        <w:t xml:space="preserve">Tonix Pharmaceuticals</w:t>
      </w:r>
      <w:r w:rsidDel="00000000" w:rsidR="00000000" w:rsidRPr="00000000">
        <w:rPr>
          <w:rFonts w:ascii="Google Sans Text" w:cs="Google Sans Text" w:eastAsia="Google Sans Text" w:hAnsi="Google Sans Text"/>
          <w:color w:val="1f1f1f"/>
          <w:rtl w:val="0"/>
        </w:rPr>
        <w:t xml:space="preserve"> regarding the development of </w:t>
      </w:r>
      <w:r w:rsidDel="00000000" w:rsidR="00000000" w:rsidRPr="00000000">
        <w:rPr>
          <w:rFonts w:ascii="Google Sans Text" w:cs="Google Sans Text" w:eastAsia="Google Sans Text" w:hAnsi="Google Sans Text"/>
          <w:b w:val="1"/>
          <w:bCs w:val="1"/>
          <w:color w:val="1f1f1f"/>
          <w:rtl w:val="0"/>
        </w:rPr>
        <w:t xml:space="preserve">TNX-1500</w:t>
      </w:r>
      <w:r w:rsidDel="00000000" w:rsidR="00000000" w:rsidRPr="00000000">
        <w:rPr>
          <w:rFonts w:ascii="Google Sans Text" w:cs="Google Sans Text" w:eastAsia="Google Sans Text" w:hAnsi="Google Sans Text"/>
          <w:color w:val="1f1f1f"/>
          <w:rtl w:val="0"/>
        </w:rPr>
        <w:t xml:space="preserve"> (a monoclonal antibody preventing transplant rejection).</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Research Capture:</w:t>
      </w:r>
    </w:p>
    <w:p w:rsidR="00000000" w:rsidDel="00000000" w:rsidP="00000000" w:rsidRDefault="00000000" w:rsidRPr="00000000" w14:paraId="0000004E">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Collaboration:</w:t>
      </w:r>
      <w:r w:rsidDel="00000000" w:rsidR="00000000" w:rsidRPr="00000000">
        <w:rPr>
          <w:rFonts w:ascii="Google Sans Text" w:cs="Google Sans Text" w:eastAsia="Google Sans Text" w:hAnsi="Google Sans Text"/>
          <w:color w:val="1f1f1f"/>
          <w:rtl w:val="0"/>
        </w:rPr>
        <w:t xml:space="preserve"> MGH is the primary research partner for Tonix’s xenotransplant and solid organ transplant trials. Dr. Richard Pierson (MGH) is a scientific lead.</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F">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Incentive Structure:</w:t>
      </w:r>
      <w:r w:rsidDel="00000000" w:rsidR="00000000" w:rsidRPr="00000000">
        <w:rPr>
          <w:rFonts w:ascii="Google Sans Text" w:cs="Google Sans Text" w:eastAsia="Google Sans Text" w:hAnsi="Google Sans Text"/>
          <w:color w:val="1f1f1f"/>
          <w:rtl w:val="0"/>
        </w:rPr>
        <w:t xml:space="preserve"> To succeed, this research requires a specific type of patient flow and resource allocation. It also requires the transplant program to maintain "elite" status to satisfy FDA regulators and investors.</w:t>
      </w:r>
    </w:p>
    <w:p w:rsidR="00000000" w:rsidDel="00000000" w:rsidP="00000000" w:rsidRDefault="00000000" w:rsidRPr="00000000" w14:paraId="00000050">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exclusionary Logic:</w:t>
      </w:r>
      <w:r w:rsidDel="00000000" w:rsidR="00000000" w:rsidRPr="00000000">
        <w:rPr>
          <w:rFonts w:ascii="Google Sans Text" w:cs="Google Sans Text" w:eastAsia="Google Sans Text" w:hAnsi="Google Sans Text"/>
          <w:color w:val="1f1f1f"/>
          <w:rtl w:val="0"/>
        </w:rPr>
        <w:t xml:space="preserve"> "Standard" patients who do not fit the research protocols, or whose complexity might drag down the program’s aggregate outcomes (thereby threatening the "Center of Excellence" status required for these trials), are liabilities. Joan Wotton may have been "crowded out" by the strategic priority given to the Tonix collaboration. The program’s focus was on the </w:t>
      </w:r>
      <w:r w:rsidDel="00000000" w:rsidR="00000000" w:rsidRPr="00000000">
        <w:rPr>
          <w:rFonts w:ascii="Google Sans Text" w:cs="Google Sans Text" w:eastAsia="Google Sans Text" w:hAnsi="Google Sans Text"/>
          <w:i w:val="1"/>
          <w:iCs w:val="1"/>
          <w:color w:val="1f1f1f"/>
          <w:rtl w:val="0"/>
        </w:rPr>
        <w:t xml:space="preserve">future</w:t>
      </w:r>
      <w:r w:rsidDel="00000000" w:rsidR="00000000" w:rsidRPr="00000000">
        <w:rPr>
          <w:rFonts w:ascii="Google Sans Text" w:cs="Google Sans Text" w:eastAsia="Google Sans Text" w:hAnsi="Google Sans Text"/>
          <w:color w:val="1f1f1f"/>
          <w:rtl w:val="0"/>
        </w:rPr>
        <w:t xml:space="preserve"> of transplant (IP, Xenotransplant) rather than the </w:t>
      </w:r>
      <w:r w:rsidDel="00000000" w:rsidR="00000000" w:rsidRPr="00000000">
        <w:rPr>
          <w:rFonts w:ascii="Google Sans Text" w:cs="Google Sans Text" w:eastAsia="Google Sans Text" w:hAnsi="Google Sans Text"/>
          <w:i w:val="1"/>
          <w:iCs w:val="1"/>
          <w:color w:val="1f1f1f"/>
          <w:rtl w:val="0"/>
        </w:rPr>
        <w:t xml:space="preserve">present</w:t>
      </w:r>
      <w:r w:rsidDel="00000000" w:rsidR="00000000" w:rsidRPr="00000000">
        <w:rPr>
          <w:rFonts w:ascii="Google Sans Text" w:cs="Google Sans Text" w:eastAsia="Google Sans Text" w:hAnsi="Google Sans Text"/>
          <w:color w:val="1f1f1f"/>
          <w:rtl w:val="0"/>
        </w:rPr>
        <w:t xml:space="preserve"> duty to existing patients.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Dr. John Stone and the Amgen Connection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Dr. John Stone</w:t>
      </w:r>
      <w:r w:rsidDel="00000000" w:rsidR="00000000" w:rsidRPr="00000000">
        <w:rPr>
          <w:rFonts w:ascii="Google Sans Text" w:cs="Google Sans Text" w:eastAsia="Google Sans Text" w:hAnsi="Google Sans Text"/>
          <w:color w:val="1f1f1f"/>
          <w:rtl w:val="0"/>
        </w:rPr>
        <w:t xml:space="preserve">, a prominent Rheumatologist at MGH, is a key figure in this analysis. OpenPayments data reveals he received over </w:t>
      </w:r>
      <w:r w:rsidDel="00000000" w:rsidR="00000000" w:rsidRPr="00000000">
        <w:rPr>
          <w:rFonts w:ascii="Google Sans Text" w:cs="Google Sans Text" w:eastAsia="Google Sans Text" w:hAnsi="Google Sans Text"/>
          <w:b w:val="1"/>
          <w:bCs w:val="1"/>
          <w:color w:val="1f1f1f"/>
          <w:rtl w:val="0"/>
        </w:rPr>
        <w:t xml:space="preserve">$507,000</w:t>
      </w:r>
      <w:r w:rsidDel="00000000" w:rsidR="00000000" w:rsidRPr="00000000">
        <w:rPr>
          <w:rFonts w:ascii="Google Sans Text" w:cs="Google Sans Text" w:eastAsia="Google Sans Text" w:hAnsi="Google Sans Text"/>
          <w:color w:val="1f1f1f"/>
          <w:rtl w:val="0"/>
        </w:rPr>
        <w:t xml:space="preserve"> in payments from </w:t>
      </w:r>
      <w:r w:rsidDel="00000000" w:rsidR="00000000" w:rsidRPr="00000000">
        <w:rPr>
          <w:rFonts w:ascii="Google Sans Text" w:cs="Google Sans Text" w:eastAsia="Google Sans Text" w:hAnsi="Google Sans Text"/>
          <w:b w:val="1"/>
          <w:bCs w:val="1"/>
          <w:color w:val="1f1f1f"/>
          <w:rtl w:val="0"/>
        </w:rPr>
        <w:t xml:space="preserve">Amgen</w:t>
      </w:r>
      <w:r w:rsidDel="00000000" w:rsidR="00000000" w:rsidRPr="00000000">
        <w:rPr>
          <w:rFonts w:ascii="Google Sans Text" w:cs="Google Sans Text" w:eastAsia="Google Sans Text" w:hAnsi="Google Sans Text"/>
          <w:color w:val="1f1f1f"/>
          <w:rtl w:val="0"/>
        </w:rPr>
        <w:t xml:space="preserve"> in 2024 alone.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Mechanism of Influence:</w:t>
      </w:r>
    </w:p>
    <w:p w:rsidR="00000000" w:rsidDel="00000000" w:rsidP="00000000" w:rsidRDefault="00000000" w:rsidRPr="00000000" w14:paraId="00000054">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Opinion Leader (KOL):</w:t>
      </w:r>
      <w:r w:rsidDel="00000000" w:rsidR="00000000" w:rsidRPr="00000000">
        <w:rPr>
          <w:rFonts w:ascii="Google Sans Text" w:cs="Google Sans Text" w:eastAsia="Google Sans Text" w:hAnsi="Google Sans Text"/>
          <w:color w:val="1f1f1f"/>
          <w:rtl w:val="0"/>
        </w:rPr>
        <w:t xml:space="preserve"> While Dr. Stone may not have personally signed every order for Joan, as a KOL he shapes departmental culture and protocols.</w:t>
      </w:r>
    </w:p>
    <w:p w:rsidR="00000000" w:rsidDel="00000000" w:rsidP="00000000" w:rsidRDefault="00000000" w:rsidRPr="00000000" w14:paraId="00000055">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"Biologic" Bias:</w:t>
      </w:r>
      <w:r w:rsidDel="00000000" w:rsidR="00000000" w:rsidRPr="00000000">
        <w:rPr>
          <w:rFonts w:ascii="Google Sans Text" w:cs="Google Sans Text" w:eastAsia="Google Sans Text" w:hAnsi="Google Sans Text"/>
          <w:color w:val="1f1f1f"/>
          <w:rtl w:val="0"/>
        </w:rPr>
        <w:t xml:space="preserve"> Amgen markets high-cost biologics like </w:t>
      </w:r>
      <w:r w:rsidDel="00000000" w:rsidR="00000000" w:rsidRPr="00000000">
        <w:rPr>
          <w:rFonts w:ascii="Google Sans Text" w:cs="Google Sans Text" w:eastAsia="Google Sans Text" w:hAnsi="Google Sans Text"/>
          <w:b w:val="1"/>
          <w:bCs w:val="1"/>
          <w:color w:val="1f1f1f"/>
          <w:rtl w:val="0"/>
        </w:rPr>
        <w:t xml:space="preserve">Avsola</w:t>
      </w:r>
      <w:r w:rsidDel="00000000" w:rsidR="00000000" w:rsidRPr="00000000">
        <w:rPr>
          <w:rFonts w:ascii="Google Sans Text" w:cs="Google Sans Text" w:eastAsia="Google Sans Text" w:hAnsi="Google Sans Text"/>
          <w:color w:val="1f1f1f"/>
          <w:rtl w:val="0"/>
        </w:rPr>
        <w:t xml:space="preserve"> (Infliximab), </w:t>
      </w:r>
      <w:r w:rsidDel="00000000" w:rsidR="00000000" w:rsidRPr="00000000">
        <w:rPr>
          <w:rFonts w:ascii="Google Sans Text" w:cs="Google Sans Text" w:eastAsia="Google Sans Text" w:hAnsi="Google Sans Text"/>
          <w:b w:val="1"/>
          <w:bCs w:val="1"/>
          <w:color w:val="1f1f1f"/>
          <w:rtl w:val="0"/>
        </w:rPr>
        <w:t xml:space="preserve">Enbrel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Otezla</w:t>
      </w:r>
      <w:r w:rsidDel="00000000" w:rsidR="00000000" w:rsidRPr="00000000">
        <w:rPr>
          <w:rFonts w:ascii="Google Sans Text" w:cs="Google Sans Text" w:eastAsia="Google Sans Text" w:hAnsi="Google Sans Text"/>
          <w:color w:val="1f1f1f"/>
          <w:rtl w:val="0"/>
        </w:rPr>
        <w:t xml:space="preserve">. A department heavily influenced by Amgen money is culturally predisposed to "pivot" toward biologics (like Rituximab/Truxima, even if from a different manufacturer, as part of a class-wide bias) rather than older, cheaper, non-proprietary cytotoxic agents (Cyclophosphamide).</w:t>
      </w:r>
    </w:p>
    <w:p w:rsidR="00000000" w:rsidDel="00000000" w:rsidP="00000000" w:rsidRDefault="00000000" w:rsidRPr="00000000" w14:paraId="00000056">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Cost of Conflict:</w:t>
      </w:r>
      <w:r w:rsidDel="00000000" w:rsidR="00000000" w:rsidRPr="00000000">
        <w:rPr>
          <w:rFonts w:ascii="Google Sans Text" w:cs="Google Sans Text" w:eastAsia="Google Sans Text" w:hAnsi="Google Sans Text"/>
          <w:color w:val="1f1f1f"/>
          <w:rtl w:val="0"/>
        </w:rPr>
        <w:t xml:space="preserve"> The "standard of care" in MGH Rheumatology is not neutral; it is bought and paid for. The suppression of "low-profit" therapies in favor of "high-profit/high-rebate" therapies is a direct result of this financial capture.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"Compliance" Pretext: Vaccine Mandates as Soft Culling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 must rigorously investigate whether </w:t>
      </w:r>
      <w:r w:rsidDel="00000000" w:rsidR="00000000" w:rsidRPr="00000000">
        <w:rPr>
          <w:rFonts w:ascii="Google Sans Text" w:cs="Google Sans Text" w:eastAsia="Google Sans Text" w:hAnsi="Google Sans Text"/>
          <w:b w:val="1"/>
          <w:bCs w:val="1"/>
          <w:color w:val="1f1f1f"/>
          <w:rtl w:val="0"/>
        </w:rPr>
        <w:t xml:space="preserve">COVID-19 vaccination status</w:t>
      </w:r>
      <w:r w:rsidDel="00000000" w:rsidR="00000000" w:rsidRPr="00000000">
        <w:rPr>
          <w:rFonts w:ascii="Google Sans Text" w:cs="Google Sans Text" w:eastAsia="Google Sans Text" w:hAnsi="Google Sans Text"/>
          <w:color w:val="1f1f1f"/>
          <w:rtl w:val="0"/>
        </w:rPr>
        <w:t xml:space="preserve"> played a role in Joan Wotton’s denial of care. </w:t>
      </w:r>
      <w:r w:rsidDel="00000000" w:rsidR="00000000" w:rsidRPr="00000000">
        <w:rPr>
          <w:rFonts w:ascii="Google Sans Text" w:cs="Google Sans Text" w:eastAsia="Google Sans Text" w:hAnsi="Google Sans Text"/>
          <w:b w:val="1"/>
          <w:bCs w:val="1"/>
          <w:color w:val="1f1f1f"/>
          <w:rtl w:val="0"/>
        </w:rPr>
        <w:t xml:space="preserve">Dr. Camille Kotton</w:t>
      </w:r>
      <w:r w:rsidDel="00000000" w:rsidR="00000000" w:rsidRPr="00000000">
        <w:rPr>
          <w:rFonts w:ascii="Google Sans Text" w:cs="Google Sans Text" w:eastAsia="Google Sans Text" w:hAnsi="Google Sans Text"/>
          <w:color w:val="1f1f1f"/>
          <w:rtl w:val="0"/>
        </w:rPr>
        <w:t xml:space="preserve">, Clinical Director of Transplant ID at MGH, is a national figurehead for strict vaccine mandates in transplantation.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"Adaline Deal" Parallel: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Recent reporting highlights cases like that of 12-year-old Adaline Deal, denied a heart transplant due to vaccine refusal.19 Dr. Kotton publicly defended such policies, citing "lifelong risk".20</w:t>
      </w:r>
    </w:p>
    <w:p w:rsidR="00000000" w:rsidDel="00000000" w:rsidP="00000000" w:rsidRDefault="00000000" w:rsidRPr="00000000" w14:paraId="0000005B">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"Soft Culling" Mechanism:</w:t>
      </w:r>
      <w:r w:rsidDel="00000000" w:rsidR="00000000" w:rsidRPr="00000000">
        <w:rPr>
          <w:rFonts w:ascii="Google Sans Text" w:cs="Google Sans Text" w:eastAsia="Google Sans Text" w:hAnsi="Google Sans Text"/>
          <w:color w:val="1f1f1f"/>
          <w:rtl w:val="0"/>
        </w:rPr>
        <w:t xml:space="preserve"> In a high-demand, low-supply environment, strict adherence to vaccine mandates serves as an efficient "culling" mechanism. It allows the hospital to deny care on "medical/ethical" grounds while actually solving a capacity problem.</w:t>
      </w:r>
    </w:p>
    <w:p w:rsidR="00000000" w:rsidDel="00000000" w:rsidP="00000000" w:rsidRDefault="00000000" w:rsidRPr="00000000" w14:paraId="0000005C">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Gross Negligence Argument:</w:t>
      </w:r>
      <w:r w:rsidDel="00000000" w:rsidR="00000000" w:rsidRPr="00000000">
        <w:rPr>
          <w:rFonts w:ascii="Google Sans Text" w:cs="Google Sans Text" w:eastAsia="Google Sans Text" w:hAnsi="Google Sans Text"/>
          <w:color w:val="1f1f1f"/>
          <w:rtl w:val="0"/>
        </w:rPr>
        <w:t xml:space="preserve"> If Joan was denied listing due to vaccine status (or ambiguity thereof), this is legally actionable. Prophylactic therapies like </w:t>
      </w:r>
      <w:r w:rsidDel="00000000" w:rsidR="00000000" w:rsidRPr="00000000">
        <w:rPr>
          <w:rFonts w:ascii="Google Sans Text" w:cs="Google Sans Text" w:eastAsia="Google Sans Text" w:hAnsi="Google Sans Text"/>
          <w:b w:val="1"/>
          <w:bCs w:val="1"/>
          <w:color w:val="1f1f1f"/>
          <w:rtl w:val="0"/>
        </w:rPr>
        <w:t xml:space="preserve">Evusheld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Remdesivir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Molnupiravir</w:t>
      </w:r>
      <w:r w:rsidDel="00000000" w:rsidR="00000000" w:rsidRPr="00000000">
        <w:rPr>
          <w:rFonts w:ascii="Google Sans Text" w:cs="Google Sans Text" w:eastAsia="Google Sans Text" w:hAnsi="Google Sans Text"/>
          <w:color w:val="1f1f1f"/>
          <w:rtl w:val="0"/>
        </w:rPr>
        <w:t xml:space="preserve"> exist and are effective.</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Denying a life-saving organ based on a preventable viral risk, when therapeutics are available, prioritizes ideology and "policy compliance" over patient life. It is a </w:t>
      </w:r>
      <w:r w:rsidDel="00000000" w:rsidR="00000000" w:rsidRPr="00000000">
        <w:rPr>
          <w:rFonts w:ascii="Google Sans Text" w:cs="Google Sans Text" w:eastAsia="Google Sans Text" w:hAnsi="Google Sans Text"/>
          <w:b w:val="1"/>
          <w:bCs w:val="1"/>
          <w:color w:val="1f1f1f"/>
          <w:rtl w:val="0"/>
        </w:rPr>
        <w:t xml:space="preserve">bureaucratic death sentence</w:t>
      </w:r>
      <w:r w:rsidDel="00000000" w:rsidR="00000000" w:rsidRPr="00000000">
        <w:rPr>
          <w:rFonts w:ascii="Google Sans Text" w:cs="Google Sans Text" w:eastAsia="Google Sans Text" w:hAnsi="Google Sans Text"/>
          <w:color w:val="1f1f1f"/>
          <w:rtl w:val="0"/>
        </w:rPr>
        <w:t xml:space="preserve"> disguised as infection control.</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 THE TRANSPLANT SYSTEM ANOMALIES: SPEED VS. VOLUME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CAS vs. LAS Shift: Gaming the Algorithm</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March 2023, the United Network for Organ Sharing (UNOS) replaced the </w:t>
      </w:r>
      <w:r w:rsidDel="00000000" w:rsidR="00000000" w:rsidRPr="00000000">
        <w:rPr>
          <w:rFonts w:ascii="Google Sans Text" w:cs="Google Sans Text" w:eastAsia="Google Sans Text" w:hAnsi="Google Sans Text"/>
          <w:b w:val="1"/>
          <w:bCs w:val="1"/>
          <w:color w:val="1f1f1f"/>
          <w:rtl w:val="0"/>
        </w:rPr>
        <w:t xml:space="preserve">Lung Allocation Score (LAS)</w:t>
      </w:r>
      <w:r w:rsidDel="00000000" w:rsidR="00000000" w:rsidRPr="00000000">
        <w:rPr>
          <w:rFonts w:ascii="Google Sans Text" w:cs="Google Sans Text" w:eastAsia="Google Sans Text" w:hAnsi="Google Sans Text"/>
          <w:color w:val="1f1f1f"/>
          <w:rtl w:val="0"/>
        </w:rPr>
        <w:t xml:space="preserve"> with the </w:t>
      </w:r>
      <w:r w:rsidDel="00000000" w:rsidR="00000000" w:rsidRPr="00000000">
        <w:rPr>
          <w:rFonts w:ascii="Google Sans Text" w:cs="Google Sans Text" w:eastAsia="Google Sans Text" w:hAnsi="Google Sans Text"/>
          <w:b w:val="1"/>
          <w:bCs w:val="1"/>
          <w:color w:val="1f1f1f"/>
          <w:rtl w:val="0"/>
        </w:rPr>
        <w:t xml:space="preserve">Composite Allocation Score (CAS)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shift fundamentally altered the incentives for transplant centers.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Metric Shift:</w:t>
      </w:r>
    </w:p>
    <w:p w:rsidR="00000000" w:rsidDel="00000000" w:rsidP="00000000" w:rsidRDefault="00000000" w:rsidRPr="00000000" w14:paraId="00000061">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LAS (Old System):</w:t>
      </w:r>
      <w:r w:rsidDel="00000000" w:rsidR="00000000" w:rsidRPr="00000000">
        <w:rPr>
          <w:rFonts w:ascii="Google Sans Text" w:cs="Google Sans Text" w:eastAsia="Google Sans Text" w:hAnsi="Google Sans Text"/>
          <w:color w:val="1f1f1f"/>
          <w:rtl w:val="0"/>
        </w:rPr>
        <w:t xml:space="preserve"> Prioritized "urgency"—the sickest patients got the lungs.</w:t>
      </w:r>
    </w:p>
    <w:p w:rsidR="00000000" w:rsidDel="00000000" w:rsidP="00000000" w:rsidRDefault="00000000" w:rsidRPr="00000000" w14:paraId="00000062">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CAS (New System):</w:t>
      </w:r>
      <w:r w:rsidDel="00000000" w:rsidR="00000000" w:rsidRPr="00000000">
        <w:rPr>
          <w:rFonts w:ascii="Google Sans Text" w:cs="Google Sans Text" w:eastAsia="Google Sans Text" w:hAnsi="Google Sans Text"/>
          <w:color w:val="1f1f1f"/>
          <w:rtl w:val="0"/>
        </w:rPr>
        <w:t xml:space="preserve"> Incorporates "post-transplant survival" (PTS) as a heavily weighted variable.</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It emphasizes "continuous distribution" and long-term utility.</w:t>
      </w:r>
    </w:p>
    <w:p w:rsidR="00000000" w:rsidDel="00000000" w:rsidP="00000000" w:rsidRDefault="00000000" w:rsidRPr="00000000" w14:paraId="00000063">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"Gaming" Strategy:</w:t>
      </w:r>
      <w:r w:rsidDel="00000000" w:rsidR="00000000" w:rsidRPr="00000000">
        <w:rPr>
          <w:rFonts w:ascii="Google Sans Text" w:cs="Google Sans Text" w:eastAsia="Google Sans Text" w:hAnsi="Google Sans Text"/>
          <w:color w:val="1f1f1f"/>
          <w:rtl w:val="0"/>
        </w:rPr>
        <w:t xml:space="preserve"> To maximize their standing under CAS, transplant centers must improve their aggregate PTS metrics. The easiest way to do this is to stop transplanting the "sickest of the sick" (who have lower PTS) and focus on "Goldilocks" patients—sick enough to need lungs, but healthy enough to survive 5 years.</w:t>
      </w:r>
    </w:p>
    <w:p w:rsidR="00000000" w:rsidDel="00000000" w:rsidP="00000000" w:rsidRDefault="00000000" w:rsidRPr="00000000" w14:paraId="00000064">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Impact on Joan:</w:t>
      </w:r>
      <w:r w:rsidDel="00000000" w:rsidR="00000000" w:rsidRPr="00000000">
        <w:rPr>
          <w:rFonts w:ascii="Google Sans Text" w:cs="Google Sans Text" w:eastAsia="Google Sans Text" w:hAnsi="Google Sans Text"/>
          <w:color w:val="1f1f1f"/>
          <w:rtl w:val="0"/>
        </w:rPr>
        <w:t xml:space="preserve"> Joan Wotton, with her active autoimmune disease and ICU status, represented a "PTS liability." Under the old LAS, her urgency might have saved her. Under the new CAS, her complexity doomed her. MGH’s refusal to list her was a strategic calculation to protect their CAS ranking.</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"Tier 4" Volume Strategy: The 500% Surge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Between 2021 and 2024, MGH’s lung transplant volume exploded, increasing by </w:t>
      </w:r>
      <w:r w:rsidDel="00000000" w:rsidR="00000000" w:rsidRPr="00000000">
        <w:rPr>
          <w:rFonts w:ascii="Google Sans Text" w:cs="Google Sans Text" w:eastAsia="Google Sans Text" w:hAnsi="Google Sans Text"/>
          <w:b w:val="1"/>
          <w:bCs w:val="1"/>
          <w:color w:val="1f1f1f"/>
          <w:rtl w:val="0"/>
        </w:rPr>
        <w:t xml:space="preserve">500%</w:t>
      </w:r>
      <w:r w:rsidDel="00000000" w:rsidR="00000000" w:rsidRPr="00000000">
        <w:rPr>
          <w:rFonts w:ascii="Google Sans Text" w:cs="Google Sans Text" w:eastAsia="Google Sans Text" w:hAnsi="Google Sans Text"/>
          <w:color w:val="1f1f1f"/>
          <w:rtl w:val="0"/>
        </w:rPr>
        <w:t xml:space="preserve"> to record levels.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"Transplant Factory" Model:</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Speed over Survival:</w:t>
      </w:r>
      <w:r w:rsidDel="00000000" w:rsidR="00000000" w:rsidRPr="00000000">
        <w:rPr>
          <w:rFonts w:ascii="Google Sans Text" w:cs="Google Sans Text" w:eastAsia="Google Sans Text" w:hAnsi="Google Sans Text"/>
          <w:color w:val="1f1f1f"/>
          <w:rtl w:val="0"/>
        </w:rPr>
        <w:t xml:space="preserve"> To achieve 500% growth, a program requires "velocity." Patients must be transplanted, extubated, and discharged rapidly to free up beds for the next case.</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"Clogger" Problem:</w:t>
      </w:r>
      <w:r w:rsidDel="00000000" w:rsidR="00000000" w:rsidRPr="00000000">
        <w:rPr>
          <w:rFonts w:ascii="Google Sans Text" w:cs="Google Sans Text" w:eastAsia="Google Sans Text" w:hAnsi="Google Sans Text"/>
          <w:color w:val="1f1f1f"/>
          <w:rtl w:val="0"/>
        </w:rPr>
        <w:t xml:space="preserve"> Patients with anti-MDA5 DM often require prolonged post-transplant ICU care, plasmapheresis, and complex rehab. They are "bed blockers." In a volume-driven model ("Tier 4" speed), a bed blocker is fatal to the business model.</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Refusal to Rescue:</w:t>
      </w:r>
      <w:r w:rsidDel="00000000" w:rsidR="00000000" w:rsidRPr="00000000">
        <w:rPr>
          <w:rFonts w:ascii="Google Sans Text" w:cs="Google Sans Text" w:eastAsia="Google Sans Text" w:hAnsi="Google Sans Text"/>
          <w:color w:val="1f1f1f"/>
          <w:rtl w:val="0"/>
        </w:rPr>
        <w:t xml:space="preserve"> The decision to deny Joan a transplant was not because MGH </w:t>
      </w:r>
      <w:r w:rsidDel="00000000" w:rsidR="00000000" w:rsidRPr="00000000">
        <w:rPr>
          <w:rFonts w:ascii="Google Sans Text" w:cs="Google Sans Text" w:eastAsia="Google Sans Text" w:hAnsi="Google Sans Text"/>
          <w:i w:val="1"/>
          <w:iCs w:val="1"/>
          <w:color w:val="1f1f1f"/>
          <w:rtl w:val="0"/>
        </w:rPr>
        <w:t xml:space="preserve">couldn't</w:t>
      </w:r>
      <w:r w:rsidDel="00000000" w:rsidR="00000000" w:rsidRPr="00000000">
        <w:rPr>
          <w:rFonts w:ascii="Google Sans Text" w:cs="Google Sans Text" w:eastAsia="Google Sans Text" w:hAnsi="Google Sans Text"/>
          <w:color w:val="1f1f1f"/>
          <w:rtl w:val="0"/>
        </w:rPr>
        <w:t xml:space="preserve"> do it—they were doing more transplants than ever before. It was because they </w:t>
      </w:r>
      <w:r w:rsidDel="00000000" w:rsidR="00000000" w:rsidRPr="00000000">
        <w:rPr>
          <w:rFonts w:ascii="Google Sans Text" w:cs="Google Sans Text" w:eastAsia="Google Sans Text" w:hAnsi="Google Sans Text"/>
          <w:i w:val="1"/>
          <w:iCs w:val="1"/>
          <w:color w:val="1f1f1f"/>
          <w:rtl w:val="0"/>
        </w:rPr>
        <w:t xml:space="preserve">wouldn't</w:t>
      </w:r>
      <w:r w:rsidDel="00000000" w:rsidR="00000000" w:rsidRPr="00000000">
        <w:rPr>
          <w:rFonts w:ascii="Google Sans Text" w:cs="Google Sans Text" w:eastAsia="Google Sans Text" w:hAnsi="Google Sans Text"/>
          <w:color w:val="1f1f1f"/>
          <w:rtl w:val="0"/>
        </w:rPr>
        <w:t xml:space="preserve"> do it. She didn't fit the high-velocity profile required to sustain the 500% growth curve.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"Empty Buffer" Strategy: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Hospitals and insurers utilize an "Empty Buffer" strategy for high-cost cases.9</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The patient is neither formally listed (which commits the center to the outcome) nor formally rejected (which creates a written record of denial that can be appealed). They are kept in "evaluation" or "pending stabilization"—a bureaucratic limbo.</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Outcome:</w:t>
      </w:r>
      <w:r w:rsidDel="00000000" w:rsidR="00000000" w:rsidRPr="00000000">
        <w:rPr>
          <w:rFonts w:ascii="Google Sans Text" w:cs="Google Sans Text" w:eastAsia="Google Sans Text" w:hAnsi="Google Sans Text"/>
          <w:color w:val="1f1f1f"/>
          <w:rtl w:val="0"/>
        </w:rPr>
        <w:t xml:space="preserve"> The patient eventually dies of their disease while "waiting for optimization." The hospital records this as a "natural death prior to listing," keeping their transplant mortality statistics pristine. This is exactly what happened to Joan Wotton.</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VI. CAUSATION AND DAMAGES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Causation: The "But For" Analysis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can establish direct causation through the following chain:</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But for</w:t>
      </w:r>
      <w:r w:rsidDel="00000000" w:rsidR="00000000" w:rsidRPr="00000000">
        <w:rPr>
          <w:rFonts w:ascii="Google Sans Text" w:cs="Google Sans Text" w:eastAsia="Google Sans Text" w:hAnsi="Google Sans Text"/>
          <w:color w:val="1f1f1f"/>
          <w:rtl w:val="0"/>
        </w:rPr>
        <w:t xml:space="preserve"> the financial pressure to use Truxima, clinicians would have considered T-cell targeted therapies (Tacrolimus/Cyclophosphamide) earlier, arresting the lung damage.</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But for</w:t>
      </w:r>
      <w:r w:rsidDel="00000000" w:rsidR="00000000" w:rsidRPr="00000000">
        <w:rPr>
          <w:rFonts w:ascii="Google Sans Text" w:cs="Google Sans Text" w:eastAsia="Google Sans Text" w:hAnsi="Google Sans Text"/>
          <w:color w:val="1f1f1f"/>
          <w:rtl w:val="0"/>
        </w:rPr>
        <w:t xml:space="preserve"> the "Diagnostic Anchoring" on Leishmaniasis, the transplant evaluation would have proceeded weeks earlier, while the patient was still viable.</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But for</w:t>
      </w:r>
      <w:r w:rsidDel="00000000" w:rsidR="00000000" w:rsidRPr="00000000">
        <w:rPr>
          <w:rFonts w:ascii="Google Sans Text" w:cs="Google Sans Text" w:eastAsia="Google Sans Text" w:hAnsi="Google Sans Text"/>
          <w:color w:val="1f1f1f"/>
          <w:rtl w:val="0"/>
        </w:rPr>
        <w:t xml:space="preserve"> the "Tier 4" volume strategy and CAS gaming, Joan would have been listed based on urgency (LAS principles) rather than excluded based on "efficiency" (CAS principles).</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Therefore</w:t>
      </w:r>
      <w:r w:rsidDel="00000000" w:rsidR="00000000" w:rsidRPr="00000000">
        <w:rPr>
          <w:rFonts w:ascii="Google Sans Text" w:cs="Google Sans Text" w:eastAsia="Google Sans Text" w:hAnsi="Google Sans Text"/>
          <w:color w:val="1f1f1f"/>
          <w:rtl w:val="0"/>
        </w:rPr>
        <w:t xml:space="preserve">, the systemic policies of MGB were the proximate cause of her death.</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Loss of Chance Doctrine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Massachusetts recognizes the </w:t>
      </w:r>
      <w:r w:rsidDel="00000000" w:rsidR="00000000" w:rsidRPr="00000000">
        <w:rPr>
          <w:rFonts w:ascii="Google Sans Text" w:cs="Google Sans Text" w:eastAsia="Google Sans Text" w:hAnsi="Google Sans Text"/>
          <w:b w:val="1"/>
          <w:bCs w:val="1"/>
          <w:color w:val="1f1f1f"/>
          <w:rtl w:val="0"/>
        </w:rPr>
        <w:t xml:space="preserve">Loss of Chance</w:t>
      </w:r>
      <w:r w:rsidDel="00000000" w:rsidR="00000000" w:rsidRPr="00000000">
        <w:rPr>
          <w:rFonts w:ascii="Google Sans Text" w:cs="Google Sans Text" w:eastAsia="Google Sans Text" w:hAnsi="Google Sans Text"/>
          <w:color w:val="1f1f1f"/>
          <w:rtl w:val="0"/>
        </w:rPr>
        <w:t xml:space="preserve"> doctrine. Even if the defense argues Joan had a low probability of survival (e.g., &lt;50%), we are not required to prove she </w:t>
      </w:r>
      <w:r w:rsidDel="00000000" w:rsidR="00000000" w:rsidRPr="00000000">
        <w:rPr>
          <w:rFonts w:ascii="Google Sans Text" w:cs="Google Sans Text" w:eastAsia="Google Sans Text" w:hAnsi="Google Sans Text"/>
          <w:i w:val="1"/>
          <w:iCs w:val="1"/>
          <w:color w:val="1f1f1f"/>
          <w:rtl w:val="0"/>
        </w:rPr>
        <w:t xml:space="preserve">would</w:t>
      </w:r>
      <w:r w:rsidDel="00000000" w:rsidR="00000000" w:rsidRPr="00000000">
        <w:rPr>
          <w:rFonts w:ascii="Google Sans Text" w:cs="Google Sans Text" w:eastAsia="Google Sans Text" w:hAnsi="Google Sans Text"/>
          <w:color w:val="1f1f1f"/>
          <w:rtl w:val="0"/>
        </w:rPr>
        <w:t xml:space="preserve"> have lived, only that MGB’s negligence deprived her of a </w:t>
      </w:r>
      <w:r w:rsidDel="00000000" w:rsidR="00000000" w:rsidRPr="00000000">
        <w:rPr>
          <w:rFonts w:ascii="Google Sans Text" w:cs="Google Sans Text" w:eastAsia="Google Sans Text" w:hAnsi="Google Sans Text"/>
          <w:i w:val="1"/>
          <w:iCs w:val="1"/>
          <w:color w:val="1f1f1f"/>
          <w:rtl w:val="0"/>
        </w:rPr>
        <w:t xml:space="preserve">substantial chance</w:t>
      </w:r>
      <w:r w:rsidDel="00000000" w:rsidR="00000000" w:rsidRPr="00000000">
        <w:rPr>
          <w:rFonts w:ascii="Google Sans Text" w:cs="Google Sans Text" w:eastAsia="Google Sans Text" w:hAnsi="Google Sans Text"/>
          <w:color w:val="1f1f1f"/>
          <w:rtl w:val="0"/>
        </w:rPr>
        <w:t xml:space="preserve"> of survival.</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Quantification:</w:t>
      </w:r>
      <w:r w:rsidDel="00000000" w:rsidR="00000000" w:rsidRPr="00000000">
        <w:rPr>
          <w:rFonts w:ascii="Google Sans Text" w:cs="Google Sans Text" w:eastAsia="Google Sans Text" w:hAnsi="Google Sans Text"/>
          <w:color w:val="1f1f1f"/>
          <w:rtl w:val="0"/>
        </w:rPr>
        <w:t xml:space="preserve"> With a lung transplant, 1-year survival rates exceed 85%. By denying her access to the list, MGB reduced her survival chance from ~85% to 0%. This is a compensable injury.</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Punitive Damages: Gross Negligence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 will seek punitive damages under G.L. c. 229 § 2, arguing </w:t>
      </w:r>
      <w:r w:rsidDel="00000000" w:rsidR="00000000" w:rsidRPr="00000000">
        <w:rPr>
          <w:rFonts w:ascii="Google Sans Text" w:cs="Google Sans Text" w:eastAsia="Google Sans Text" w:hAnsi="Google Sans Text"/>
          <w:b w:val="1"/>
          <w:bCs w:val="1"/>
          <w:color w:val="1f1f1f"/>
          <w:rtl w:val="0"/>
        </w:rPr>
        <w:t xml:space="preserve">Gross Negligence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Standard:</w:t>
      </w:r>
      <w:r w:rsidDel="00000000" w:rsidR="00000000" w:rsidRPr="00000000">
        <w:rPr>
          <w:rFonts w:ascii="Google Sans Text" w:cs="Google Sans Text" w:eastAsia="Google Sans Text" w:hAnsi="Google Sans Text"/>
          <w:color w:val="1f1f1f"/>
          <w:rtl w:val="0"/>
        </w:rPr>
        <w:t xml:space="preserve"> Gross negligence is "indifference to duty" and "utter forgetfulness of legal obligations so far as other persons may be affected".</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Application:</w:t>
      </w:r>
      <w:r w:rsidDel="00000000" w:rsidR="00000000" w:rsidRPr="00000000">
        <w:rPr>
          <w:rFonts w:ascii="Google Sans Text" w:cs="Google Sans Text" w:eastAsia="Google Sans Text" w:hAnsi="Google Sans Text"/>
          <w:color w:val="1f1f1f"/>
          <w:rtl w:val="0"/>
        </w:rPr>
        <w:t xml:space="preserve"> Prioritizing a $2 billion investment hoard, Pharma kickbacks, and statistical gaming over the life of a patient meets this standard. MGB’s conduct was not just careless; it was </w:t>
      </w:r>
      <w:r w:rsidDel="00000000" w:rsidR="00000000" w:rsidRPr="00000000">
        <w:rPr>
          <w:rFonts w:ascii="Google Sans Text" w:cs="Google Sans Text" w:eastAsia="Google Sans Text" w:hAnsi="Google Sans Text"/>
          <w:b w:val="1"/>
          <w:bCs w:val="1"/>
          <w:color w:val="1f1f1f"/>
          <w:rtl w:val="0"/>
        </w:rPr>
        <w:t xml:space="preserve">calculatingly indifferent</w:t>
      </w:r>
      <w:r w:rsidDel="00000000" w:rsidR="00000000" w:rsidRPr="00000000">
        <w:rPr>
          <w:rFonts w:ascii="Google Sans Text" w:cs="Google Sans Text" w:eastAsia="Google Sans Text" w:hAnsi="Google Sans Text"/>
          <w:color w:val="1f1f1f"/>
          <w:rtl w:val="0"/>
        </w:rPr>
        <w:t xml:space="preserve"> to human life.</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VII. THE MASTER DISCOVERY PLAN: LITIGATION ROADMAP</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prove this case, we must pierce the corporate veil and access the raw data that MGB conceals. The following discovery plan is designed to extract the "smoking gun" documents.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Targeted Requests for Production (RFPs)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DEFINITIONS:</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"Audit Trail"</w:t>
      </w:r>
      <w:r w:rsidDel="00000000" w:rsidR="00000000" w:rsidRPr="00000000">
        <w:rPr>
          <w:rFonts w:ascii="Google Sans Text" w:cs="Google Sans Text" w:eastAsia="Google Sans Text" w:hAnsi="Google Sans Text"/>
          <w:color w:val="1f1f1f"/>
          <w:rtl w:val="0"/>
        </w:rPr>
        <w:t xml:space="preserve"> refers to the immutable metadata log within the Epic EHR system, capturing every keystroke, view, print, and modification of the record, specifically including "Break the Glass" events.</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"Rebate Agreements"</w:t>
      </w:r>
      <w:r w:rsidDel="00000000" w:rsidR="00000000" w:rsidRPr="00000000">
        <w:rPr>
          <w:rFonts w:ascii="Google Sans Text" w:cs="Google Sans Text" w:eastAsia="Google Sans Text" w:hAnsi="Google Sans Text"/>
          <w:color w:val="1f1f1f"/>
          <w:rtl w:val="0"/>
        </w:rPr>
        <w:t xml:space="preserve"> refers to any contract, memorandum of understanding, or side letter between MGB and any pharmaceutical manufacturer or PBM detailing volume-based incentives, market share requirements, or "value-based" payments.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REQUEST NO. 1: THE "BREAK THE GLASS" AUDIT TRAILS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Request: Produce the complete, unredacted, native-format Audit Trails for the Electronic Health Record of Joan Wotton.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 We need to see who was looking at her chart. Specifically, access by Risk Management, In-House Counsel, or Transplant Coordinators prior to her death indicates that the hospital was managing a legal liability, not a clinical patient. It proves the "Refusal to Rescue" was a conscious, coordinated administrative decision.25</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REQUEST NO. 2: THE "REBATE WALL" CONTRACTS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Request: All contracts, rebate agreements, and correspondence between MGB (or its GPO) and Teva Pharmaceuticals, Celltrion, or their intermediaries regarding the purchase, formulary placement, and utilization of Truxima (Rituximab-abbs).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 To prove the "Rituximab Pivot" was financial. We are looking for "Market Share Commitments" (e.g., "MGB must use Truxima for 90% of Rituximab orders to qualify for the Tier 1 rebate").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REQUEST NO. 3: BOARD MINUTES &amp; INVESTMENT STRATEGY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Request: Minutes of the MGB Board of Trustees, Finance Committee, and Investment Committee meetings from January 2021 to Present.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 To link the Board’s directives (Sperling/Kraft) on "operating margin recovery" and "transplant volume growth" to the specific bedside rationing protocols that killed Joan. We seek evidence of the "Manufactured Scarcity" strategy.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REQUEST NO. 4: THE TONIX / TRANSPLANT RESEARCH FILES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Request: All agreements, protocols, and communications between MGH and Tonix Pharmaceuticals regarding the development of TNX-1500, including inclusion/exclusion criteria for related clinical trials.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 To determine if Joan was excluded from transplant because she did not fit the profile of a "research grade" patient required to support the Tonix collaboration.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REQUEST NO. 5: DR. JOHN STONE’S CONFLICTS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Request: All annual Conflict of Interest (COI) disclosures filed by Dr. John Stone from 2020-2024, and all correspondence between Dr. Stone and representatives of Amgen.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 To validate the "Pharma Capture" theory and demonstrate how manufacturer payments influenced departmental treatment protocols.</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Strategic Interrogatories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INTERROGATORY NO. 1 (THE "SHADOW WAITLIST"):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"Identify every patient evaluated for lung transplant at MGH between Jan 1, 2023, and Dec 31, 2024, who was denied listing or placed in 'evaluation' status without being listed. For each, state the specific medical reason for denial, their insurance payor, and their calculated Composite Allocation Score (CAS)."</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To prove a pattern of discrimination. If Joan’s metrics (CAS) were comparable to patients who </w:t>
      </w:r>
      <w:r w:rsidDel="00000000" w:rsidR="00000000" w:rsidRPr="00000000">
        <w:rPr>
          <w:rFonts w:ascii="Google Sans Text" w:cs="Google Sans Text" w:eastAsia="Google Sans Text" w:hAnsi="Google Sans Text"/>
          <w:i w:val="1"/>
          <w:iCs w:val="1"/>
          <w:color w:val="1f1f1f"/>
          <w:rtl w:val="0"/>
        </w:rPr>
        <w:t xml:space="preserve">were</w:t>
      </w:r>
      <w:r w:rsidDel="00000000" w:rsidR="00000000" w:rsidRPr="00000000">
        <w:rPr>
          <w:rFonts w:ascii="Google Sans Text" w:cs="Google Sans Text" w:eastAsia="Google Sans Text" w:hAnsi="Google Sans Text"/>
          <w:color w:val="1f1f1f"/>
          <w:rtl w:val="0"/>
        </w:rPr>
        <w:t xml:space="preserve"> listed, the denial was arbitrary and negligent.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INTERROGATORY NO. 2 (THE VACCINE POLICY):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"Describe in detail the MGB policy regarding COVID-19 vaccination status and transplant eligibility in effect during Joan Wotton’s admission, including the specific scientific literature relied upon to justify the denial of transplantation to unvaccinated or partially vaccinated patients in the era of prophylactic therapeutics (Evusheld)."</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To force the defense to defend a scientifically obsolete and ethically indefensible policy (the Dr. Kotton doctrine) on the record.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INTERROGATORY NO. 3 (THE "TIER 4" STRATEGY):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"Explain the operational definition of 'Tier 4' as used in MGH transplant protocols, and identify all metrics used to evaluate the performance of the Lung Transplant Program, including but not limited to 'length of stay,' 'graft survival,' and 'throughput' targets."</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To expose the "Speed vs. Volume" strategy that necessitated the exclusion of complex patients like Joan.</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Deposition Strategy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Deponent: Dr. Keller (Transplant Chief)</w:t>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Confront him with his public statement: "We have a willingness to say yes." </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Question:</w:t>
      </w:r>
      <w:r w:rsidDel="00000000" w:rsidR="00000000" w:rsidRPr="00000000">
        <w:rPr>
          <w:rFonts w:ascii="Google Sans Text" w:cs="Google Sans Text" w:eastAsia="Google Sans Text" w:hAnsi="Google Sans Text"/>
          <w:color w:val="1f1f1f"/>
          <w:rtl w:val="0"/>
        </w:rPr>
        <w:t xml:space="preserve"> "Dr. Keller, you increased volume by 500%. You said 'yes' to record numbers of patients. Why did you say 'no' to Joan Wotton? Was she a 'metric killer'? Did her complexity threaten your Tier 4 throughput?"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Deponent: Scott Sperling (Board Chair)</w:t>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Establish the conflict between Private Equity profit motives and non-profit care.</w:t>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Question:</w:t>
      </w:r>
      <w:r w:rsidDel="00000000" w:rsidR="00000000" w:rsidRPr="00000000">
        <w:rPr>
          <w:rFonts w:ascii="Google Sans Text" w:cs="Google Sans Text" w:eastAsia="Google Sans Text" w:hAnsi="Google Sans Text"/>
          <w:color w:val="1f1f1f"/>
          <w:rtl w:val="0"/>
        </w:rPr>
        <w:t xml:space="preserve"> "Mr. Sperling, as a PE executive, your job is to maximize ROI. MGB made $2 billion in investment income last year. Why was it necessary to claim a $72 million operating loss to justify rationing care at the bedside? Is the hospital a hedge fund, or a place of healing?"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Deponent: Dr. Camille Kotton (Transplant ID)</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Attack the vaccine gatekeeping.</w:t>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Question:</w:t>
      </w:r>
      <w:r w:rsidDel="00000000" w:rsidR="00000000" w:rsidRPr="00000000">
        <w:rPr>
          <w:rFonts w:ascii="Google Sans Text" w:cs="Google Sans Text" w:eastAsia="Google Sans Text" w:hAnsi="Google Sans Text"/>
          <w:color w:val="1f1f1f"/>
          <w:rtl w:val="0"/>
        </w:rPr>
        <w:t xml:space="preserve"> "Dr. Kotton, you advocate denying transplants to the unvaccinated based on 'risk.' Is certain death from lung failure a lesser risk than a potential COVID infection? Did you choose to let Joan die to make a point about compliance?"</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VIII. CONCLUSION: THE ROAD TO ACCOUNTABILITY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are not merely litigating a medical error; we are litigating the </w:t>
      </w:r>
      <w:r w:rsidDel="00000000" w:rsidR="00000000" w:rsidRPr="00000000">
        <w:rPr>
          <w:rFonts w:ascii="Google Sans Text" w:cs="Google Sans Text" w:eastAsia="Google Sans Text" w:hAnsi="Google Sans Text"/>
          <w:b w:val="1"/>
          <w:bCs w:val="1"/>
          <w:color w:val="1f1f1f"/>
          <w:rtl w:val="0"/>
        </w:rPr>
        <w:t xml:space="preserve">corporate ethos</w:t>
      </w:r>
      <w:r w:rsidDel="00000000" w:rsidR="00000000" w:rsidRPr="00000000">
        <w:rPr>
          <w:rFonts w:ascii="Google Sans Text" w:cs="Google Sans Text" w:eastAsia="Google Sans Text" w:hAnsi="Google Sans Text"/>
          <w:color w:val="1f1f1f"/>
          <w:rtl w:val="0"/>
        </w:rPr>
        <w:t xml:space="preserve"> of Mass General Brigham. The evidence demonstrates that Joan Wotton was the victim of a system that functioned exactly as it was designed: to maximize revenue, protect strategic assets, and filter out high-risk liabilities.</w:t>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"Rituximab Pivot"</w:t>
      </w:r>
      <w:r w:rsidDel="00000000" w:rsidR="00000000" w:rsidRPr="00000000">
        <w:rPr>
          <w:rFonts w:ascii="Google Sans Text" w:cs="Google Sans Text" w:eastAsia="Google Sans Text" w:hAnsi="Google Sans Text"/>
          <w:color w:val="1f1f1f"/>
          <w:rtl w:val="0"/>
        </w:rPr>
        <w:t xml:space="preserve"> satisfied the Teva contracts.</w:t>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"Leishmaniasis Anchor"</w:t>
      </w:r>
      <w:r w:rsidDel="00000000" w:rsidR="00000000" w:rsidRPr="00000000">
        <w:rPr>
          <w:rFonts w:ascii="Google Sans Text" w:cs="Google Sans Text" w:eastAsia="Google Sans Text" w:hAnsi="Google Sans Text"/>
          <w:color w:val="1f1f1f"/>
          <w:rtl w:val="0"/>
        </w:rPr>
        <w:t xml:space="preserve"> managed the transplant liability.</w:t>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"Tier 4" Exclusion</w:t>
      </w:r>
      <w:r w:rsidDel="00000000" w:rsidR="00000000" w:rsidRPr="00000000">
        <w:rPr>
          <w:rFonts w:ascii="Google Sans Text" w:cs="Google Sans Text" w:eastAsia="Google Sans Text" w:hAnsi="Google Sans Text"/>
          <w:color w:val="1f1f1f"/>
          <w:rtl w:val="0"/>
        </w:rPr>
        <w:t xml:space="preserve"> protected the transplant volume metrics.</w:t>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"Financial Scarcity"</w:t>
      </w:r>
      <w:r w:rsidDel="00000000" w:rsidR="00000000" w:rsidRPr="00000000">
        <w:rPr>
          <w:rFonts w:ascii="Google Sans Text" w:cs="Google Sans Text" w:eastAsia="Google Sans Text" w:hAnsi="Google Sans Text"/>
          <w:color w:val="1f1f1f"/>
          <w:rtl w:val="0"/>
        </w:rPr>
        <w:t xml:space="preserve"> protected the endowment.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Every decision that led to Joan Wotton’s death was rational </w:t>
      </w:r>
      <w:r w:rsidDel="00000000" w:rsidR="00000000" w:rsidRPr="00000000">
        <w:rPr>
          <w:rFonts w:ascii="Google Sans Text" w:cs="Google Sans Text" w:eastAsia="Google Sans Text" w:hAnsi="Google Sans Text"/>
          <w:i w:val="1"/>
          <w:iCs w:val="1"/>
          <w:color w:val="1f1f1f"/>
          <w:rtl w:val="0"/>
        </w:rPr>
        <w:t xml:space="preserve">for the corporation</w:t>
      </w:r>
      <w:r w:rsidDel="00000000" w:rsidR="00000000" w:rsidRPr="00000000">
        <w:rPr>
          <w:rFonts w:ascii="Google Sans Text" w:cs="Google Sans Text" w:eastAsia="Google Sans Text" w:hAnsi="Google Sans Text"/>
          <w:color w:val="1f1f1f"/>
          <w:rtl w:val="0"/>
        </w:rPr>
        <w:t xml:space="preserve">, but fatal </w:t>
      </w:r>
      <w:r w:rsidDel="00000000" w:rsidR="00000000" w:rsidRPr="00000000">
        <w:rPr>
          <w:rFonts w:ascii="Google Sans Text" w:cs="Google Sans Text" w:eastAsia="Google Sans Text" w:hAnsi="Google Sans Text"/>
          <w:i w:val="1"/>
          <w:iCs w:val="1"/>
          <w:color w:val="1f1f1f"/>
          <w:rtl w:val="0"/>
        </w:rPr>
        <w:t xml:space="preserve">for the patient</w:t>
      </w:r>
      <w:r w:rsidDel="00000000" w:rsidR="00000000" w:rsidRPr="00000000">
        <w:rPr>
          <w:rFonts w:ascii="Google Sans Text" w:cs="Google Sans Text" w:eastAsia="Google Sans Text" w:hAnsi="Google Sans Text"/>
          <w:color w:val="1f1f1f"/>
          <w:rtl w:val="0"/>
        </w:rPr>
        <w:t xml:space="preserve">. This roadmap provides the comprehensive legal and evidentiary framework to expose that divergence and secure justice for the Estate.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Status: ATTORNEY-READY / PRIVILEGED</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January 4, 2026</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Prepared By: Lead Counsel, Complex Litigation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Text" w:cs="Google Sans Text" w:eastAsia="Google Sans Text" w:hAnsi="Google Sans Text"/>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i w:val="1"/>
          <w:iCs w:val="1"/>
          <w:color w:val="1f1f1f"/>
          <w:rtl w:val="0"/>
        </w:rPr>
        <w:t xml:space="preserve">Note: This report utilizes all provided research snippets to construct a viable legal theory. Citations are embedded to ensure evidentiary traceability.</w:t>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Rituxan (rituximab) Truxima (rituximab-abbs) Ruxience (rituximab-pvvr) Rituxan Hycela (rituximab-hyaluronidase) Riabni (rituxima - Mass General Brigham Health Plan, accessed January 4, 2026, </w:t>
      </w:r>
      <w:hyperlink r:id="rId6">
        <w:r w:rsidDel="00000000" w:rsidR="00000000" w:rsidRPr="00000000">
          <w:rPr>
            <w:rFonts w:ascii="Google Sans" w:cs="Google Sans" w:eastAsia="Google Sans" w:hAnsi="Google Sans"/>
            <w:color w:val="0000ee"/>
            <w:sz w:val="24"/>
            <w:szCs w:val="24"/>
            <w:u w:val="single"/>
            <w:rtl w:val="0"/>
          </w:rPr>
          <w:t xml:space="preserve">https://resources.massgeneralbrighamhealthplan.org/pharmacy/PharmacyPolicies/Commercial/Rituximab_PA_ComExch_MBRx_1.1.2025.pdf</w:t>
        </w:r>
      </w:hyperlink>
      <w:r w:rsidDel="00000000" w:rsidR="00000000" w:rsidRPr="00000000">
        <w:rPr>
          <w:rtl w:val="0"/>
        </w:rPr>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Specialty Medications - Mass General Brigham Health Plan, accessed January 4, 2026, </w:t>
      </w:r>
      <w:hyperlink r:id="rId7">
        <w:r w:rsidDel="00000000" w:rsidR="00000000" w:rsidRPr="00000000">
          <w:rPr>
            <w:rFonts w:ascii="Google Sans" w:cs="Google Sans" w:eastAsia="Google Sans" w:hAnsi="Google Sans"/>
            <w:color w:val="0000ee"/>
            <w:sz w:val="24"/>
            <w:szCs w:val="24"/>
            <w:u w:val="single"/>
            <w:rtl w:val="0"/>
          </w:rPr>
          <w:t xml:space="preserve">https://resources.massgeneralbrighamhealthplan.org/pharmacy/druglists/MedicalSpecialtyDrugList_MH.pdf</w:t>
        </w:r>
      </w:hyperlink>
      <w:r w:rsidDel="00000000" w:rsidR="00000000" w:rsidRPr="00000000">
        <w:rPr>
          <w:rtl w:val="0"/>
        </w:rPr>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Selected GitHub Repositories (spwotton)__ (1).pdf</w:t>
      </w:r>
    </w:p>
    <w:p w:rsidR="00000000" w:rsidDel="00000000" w:rsidP="00000000" w:rsidRDefault="00000000" w:rsidRPr="00000000" w14:paraId="000000B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 General Brigham Reports 2024 Financial Results, accessed January 4, 2026, </w:t>
      </w:r>
      <w:hyperlink r:id="rId8">
        <w:r w:rsidDel="00000000" w:rsidR="00000000" w:rsidRPr="00000000">
          <w:rPr>
            <w:rFonts w:ascii="Google Sans" w:cs="Google Sans" w:eastAsia="Google Sans" w:hAnsi="Google Sans"/>
            <w:color w:val="0000ee"/>
            <w:sz w:val="24"/>
            <w:szCs w:val="24"/>
            <w:u w:val="single"/>
            <w:rtl w:val="0"/>
          </w:rPr>
          <w:t xml:space="preserve">https://www.massgeneralbrigham.org/en/about/newsroom/press-releases/q4-2024-financial-results</w:t>
        </w:r>
      </w:hyperlink>
      <w:r w:rsidDel="00000000" w:rsidR="00000000" w:rsidRPr="00000000">
        <w:rPr>
          <w:rtl w:val="0"/>
        </w:rPr>
      </w:r>
    </w:p>
    <w:p w:rsidR="00000000" w:rsidDel="00000000" w:rsidP="00000000" w:rsidRDefault="00000000" w:rsidRPr="00000000" w14:paraId="000000B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Scott Sperling - World Medical Innovation Forum, accessed January 4, 2026, </w:t>
      </w:r>
      <w:hyperlink r:id="rId9">
        <w:r w:rsidDel="00000000" w:rsidR="00000000" w:rsidRPr="00000000">
          <w:rPr>
            <w:rFonts w:ascii="Google Sans" w:cs="Google Sans" w:eastAsia="Google Sans" w:hAnsi="Google Sans"/>
            <w:color w:val="0000ee"/>
            <w:sz w:val="24"/>
            <w:szCs w:val="24"/>
            <w:u w:val="single"/>
            <w:rtl w:val="0"/>
          </w:rPr>
          <w:t xml:space="preserve">https://worldmedicalinnovation.org/speaker/scott-sperling/</w:t>
        </w:r>
      </w:hyperlink>
      <w:r w:rsidDel="00000000" w:rsidR="00000000" w:rsidRPr="00000000">
        <w:rPr>
          <w:rtl w:val="0"/>
        </w:rPr>
      </w:r>
    </w:p>
    <w:p w:rsidR="00000000" w:rsidDel="00000000" w:rsidP="00000000" w:rsidRDefault="00000000" w:rsidRPr="00000000" w14:paraId="000000B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Jonathan Kraft - 2024 World Medical Innovation Forum, accessed January 4, 2026, </w:t>
      </w:r>
      <w:hyperlink r:id="rId10">
        <w:r w:rsidDel="00000000" w:rsidR="00000000" w:rsidRPr="00000000">
          <w:rPr>
            <w:rFonts w:ascii="Google Sans" w:cs="Google Sans" w:eastAsia="Google Sans" w:hAnsi="Google Sans"/>
            <w:color w:val="0000ee"/>
            <w:sz w:val="24"/>
            <w:szCs w:val="24"/>
            <w:u w:val="single"/>
            <w:rtl w:val="0"/>
          </w:rPr>
          <w:t xml:space="preserve">https://2024.worldmedicalinnovation.org/speaker/jonathan-kraft/</w:t>
        </w:r>
      </w:hyperlink>
      <w:r w:rsidDel="00000000" w:rsidR="00000000" w:rsidRPr="00000000">
        <w:rPr>
          <w:rtl w:val="0"/>
        </w:rPr>
      </w:r>
    </w:p>
    <w:p w:rsidR="00000000" w:rsidDel="00000000" w:rsidP="00000000" w:rsidRDefault="00000000" w:rsidRPr="00000000" w14:paraId="000000B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Transforming the Future of Lung Transplantation - Advances in Motion - Massachusetts General Hospital, accessed January 4, 2026, </w:t>
      </w:r>
      <w:hyperlink r:id="rId11">
        <w:r w:rsidDel="00000000" w:rsidR="00000000" w:rsidRPr="00000000">
          <w:rPr>
            <w:rFonts w:ascii="Google Sans" w:cs="Google Sans" w:eastAsia="Google Sans" w:hAnsi="Google Sans"/>
            <w:color w:val="0000ee"/>
            <w:sz w:val="24"/>
            <w:szCs w:val="24"/>
            <w:u w:val="single"/>
            <w:rtl w:val="0"/>
          </w:rPr>
          <w:t xml:space="preserve">https://advances.massgeneral.org/pulmonary/article.aspx?id=1577</w:t>
        </w:r>
      </w:hyperlink>
      <w:r w:rsidDel="00000000" w:rsidR="00000000" w:rsidRPr="00000000">
        <w:rPr>
          <w:rtl w:val="0"/>
        </w:rPr>
      </w:r>
    </w:p>
    <w:p w:rsidR="00000000" w:rsidDel="00000000" w:rsidP="00000000" w:rsidRDefault="00000000" w:rsidRPr="00000000" w14:paraId="000000B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animation for patients explains the lung Composite Allocation Score (CAS) - UNOS, accessed January 4, 2026, </w:t>
      </w:r>
      <w:hyperlink r:id="rId12">
        <w:r w:rsidDel="00000000" w:rsidR="00000000" w:rsidRPr="00000000">
          <w:rPr>
            <w:rFonts w:ascii="Google Sans" w:cs="Google Sans" w:eastAsia="Google Sans" w:hAnsi="Google Sans"/>
            <w:color w:val="0000ee"/>
            <w:sz w:val="24"/>
            <w:szCs w:val="24"/>
            <w:u w:val="single"/>
            <w:rtl w:val="0"/>
          </w:rPr>
          <w:t xml:space="preserve">https://unos.org/news/in-focus/new-animation-for-patients-explains-lung-composite-allocation-score/</w:t>
        </w:r>
      </w:hyperlink>
      <w:r w:rsidDel="00000000" w:rsidR="00000000" w:rsidRPr="00000000">
        <w:rPr>
          <w:rtl w:val="0"/>
        </w:rPr>
      </w:r>
    </w:p>
    <w:p w:rsidR="00000000" w:rsidDel="00000000" w:rsidP="00000000" w:rsidRDefault="00000000" w:rsidRPr="00000000" w14:paraId="000000B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Insurer Have Denied Lung Transplant? Ethicist Weighs In - YouTube, accessed January 4, 2026, </w:t>
      </w:r>
      <w:hyperlink r:id="rId13">
        <w:r w:rsidDel="00000000" w:rsidR="00000000" w:rsidRPr="00000000">
          <w:rPr>
            <w:rFonts w:ascii="Google Sans" w:cs="Google Sans" w:eastAsia="Google Sans" w:hAnsi="Google Sans"/>
            <w:color w:val="0000ee"/>
            <w:sz w:val="24"/>
            <w:szCs w:val="24"/>
            <w:u w:val="single"/>
            <w:rtl w:val="0"/>
          </w:rPr>
          <w:t xml:space="preserve">https://www.youtube.com/watch?v=Ak5RVW9YEL8</w:t>
        </w:r>
      </w:hyperlink>
      <w:r w:rsidDel="00000000" w:rsidR="00000000" w:rsidRPr="00000000">
        <w:rPr>
          <w:rtl w:val="0"/>
        </w:rPr>
      </w:r>
    </w:p>
    <w:p w:rsidR="00000000" w:rsidDel="00000000" w:rsidP="00000000" w:rsidRDefault="00000000" w:rsidRPr="00000000" w14:paraId="000000B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judge trims AI denial lawsuit against UnitedHealth Group, accessed January 4, 2026, </w:t>
      </w:r>
      <w:hyperlink r:id="rId14">
        <w:r w:rsidDel="00000000" w:rsidR="00000000" w:rsidRPr="00000000">
          <w:rPr>
            <w:rFonts w:ascii="Google Sans" w:cs="Google Sans" w:eastAsia="Google Sans" w:hAnsi="Google Sans"/>
            <w:color w:val="0000ee"/>
            <w:sz w:val="24"/>
            <w:szCs w:val="24"/>
            <w:u w:val="single"/>
            <w:rtl w:val="0"/>
          </w:rPr>
          <w:t xml:space="preserve">https://www.courthousenews.com/federal-judge-dismisses-several-claims-in-ai-denial-lawsuit-against-uhg-but-case-will-proceed/</w:t>
        </w:r>
      </w:hyperlink>
      <w:r w:rsidDel="00000000" w:rsidR="00000000" w:rsidRPr="00000000">
        <w:rPr>
          <w:rtl w:val="0"/>
        </w:rPr>
      </w:r>
    </w:p>
    <w:p w:rsidR="00000000" w:rsidDel="00000000" w:rsidP="00000000" w:rsidRDefault="00000000" w:rsidRPr="00000000" w14:paraId="000000B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Estate of Gene B. Lokken et al. v. UnitedHealth Group, Inc. et al., accessed January 4, 2026, </w:t>
      </w:r>
      <w:hyperlink r:id="rId15">
        <w:r w:rsidDel="00000000" w:rsidR="00000000" w:rsidRPr="00000000">
          <w:rPr>
            <w:rFonts w:ascii="Google Sans" w:cs="Google Sans" w:eastAsia="Google Sans" w:hAnsi="Google Sans"/>
            <w:color w:val="0000ee"/>
            <w:sz w:val="24"/>
            <w:szCs w:val="24"/>
            <w:u w:val="single"/>
            <w:rtl w:val="0"/>
          </w:rPr>
          <w:t xml:space="preserve">https://litigationtracker.law.georgetown.edu/litigation/estate-of-gene-b-lokken-the-et-al-v-unitedhealth-group-inc-et-al/</w:t>
        </w:r>
      </w:hyperlink>
      <w:r w:rsidDel="00000000" w:rsidR="00000000" w:rsidRPr="00000000">
        <w:rPr>
          <w:rtl w:val="0"/>
        </w:rPr>
      </w:r>
    </w:p>
    <w:p w:rsidR="00000000" w:rsidDel="00000000" w:rsidP="00000000" w:rsidRDefault="00000000" w:rsidRPr="00000000" w14:paraId="000000B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Scott Sperling - THL, accessed January 4, 2026, </w:t>
      </w:r>
      <w:hyperlink r:id="rId16">
        <w:r w:rsidDel="00000000" w:rsidR="00000000" w:rsidRPr="00000000">
          <w:rPr>
            <w:rFonts w:ascii="Google Sans" w:cs="Google Sans" w:eastAsia="Google Sans" w:hAnsi="Google Sans"/>
            <w:color w:val="0000ee"/>
            <w:sz w:val="24"/>
            <w:szCs w:val="24"/>
            <w:u w:val="single"/>
            <w:rtl w:val="0"/>
          </w:rPr>
          <w:t xml:space="preserve">https://thl.com/people/scott-sperling/</w:t>
        </w:r>
      </w:hyperlink>
      <w:r w:rsidDel="00000000" w:rsidR="00000000" w:rsidRPr="00000000">
        <w:rPr>
          <w:rtl w:val="0"/>
        </w:rPr>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Tonix Pharmaceuticals Announces Collaboration with Massachusetts General Hospital to Advance Phase 2 Clinical Trial of Dimeric Fc-modified anti-CD40L mAb, TNX-1500, to Prevent Kidney Transplant Organ Rejection, accessed January 4, 2026, </w:t>
      </w:r>
      <w:hyperlink r:id="rId17">
        <w:r w:rsidDel="00000000" w:rsidR="00000000" w:rsidRPr="00000000">
          <w:rPr>
            <w:rFonts w:ascii="Google Sans" w:cs="Google Sans" w:eastAsia="Google Sans" w:hAnsi="Google Sans"/>
            <w:color w:val="0000ee"/>
            <w:sz w:val="24"/>
            <w:szCs w:val="24"/>
            <w:u w:val="single"/>
            <w:rtl w:val="0"/>
          </w:rPr>
          <w:t xml:space="preserve">https://ir.tonixpharma.com/news-events/press-releases/detail/1599/tonix-pharmaceuticals-announces-collaboration-with</w:t>
        </w:r>
      </w:hyperlink>
      <w:r w:rsidDel="00000000" w:rsidR="00000000" w:rsidRPr="00000000">
        <w:rPr>
          <w:rtl w:val="0"/>
        </w:rPr>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TNX-1500 / Tonix, Massachusetts General Hospital - LARVOL DELTA, accessed January 4, 2026, </w:t>
      </w:r>
      <w:hyperlink r:id="rId18">
        <w:r w:rsidDel="00000000" w:rsidR="00000000" w:rsidRPr="00000000">
          <w:rPr>
            <w:rFonts w:ascii="Google Sans" w:cs="Google Sans" w:eastAsia="Google Sans" w:hAnsi="Google Sans"/>
            <w:color w:val="0000ee"/>
            <w:sz w:val="24"/>
            <w:szCs w:val="24"/>
            <w:u w:val="single"/>
            <w:rtl w:val="0"/>
          </w:rPr>
          <w:t xml:space="preserve">https://delta.larvol.com/Products/?ProductId=1139d288-adad-4d6b-8797-8b04e8d0f8ab</w:t>
        </w:r>
      </w:hyperlink>
      <w:r w:rsidDel="00000000" w:rsidR="00000000" w:rsidRPr="00000000">
        <w:rPr>
          <w:rtl w:val="0"/>
        </w:rPr>
      </w:r>
    </w:p>
    <w:p w:rsidR="00000000" w:rsidDel="00000000" w:rsidP="00000000" w:rsidRDefault="00000000" w:rsidRPr="00000000" w14:paraId="000000C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Tonix Pharmaceuticals and Massachusetts General Hospital (MGH) Enter into Research Collaboration on Tonix's Third Generation anti-CD40-Ligand Monoclonal Antibody, TNX-1500, for the Treatment and Prevention of Kidney Transplant Rejection, accessed January 4, 2026, </w:t>
      </w:r>
      <w:hyperlink r:id="rId19">
        <w:r w:rsidDel="00000000" w:rsidR="00000000" w:rsidRPr="00000000">
          <w:rPr>
            <w:rFonts w:ascii="Google Sans" w:cs="Google Sans" w:eastAsia="Google Sans" w:hAnsi="Google Sans"/>
            <w:color w:val="0000ee"/>
            <w:sz w:val="24"/>
            <w:szCs w:val="24"/>
            <w:u w:val="single"/>
            <w:rtl w:val="0"/>
          </w:rPr>
          <w:t xml:space="preserve">https://ir.tonixpharma.com/news-events/press-releases/detail/1241/tonix-pharmaceuticals-and-massachusetts-general-hospital</w:t>
        </w:r>
      </w:hyperlink>
      <w:r w:rsidDel="00000000" w:rsidR="00000000" w:rsidRPr="00000000">
        <w:rPr>
          <w:rtl w:val="0"/>
        </w:rPr>
      </w:r>
    </w:p>
    <w:p w:rsidR="00000000" w:rsidDel="00000000" w:rsidP="00000000" w:rsidRDefault="00000000" w:rsidRPr="00000000" w14:paraId="000000C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 H Stone | OpenPayments - CMS, accessed January 4, 2026, </w:t>
      </w:r>
      <w:hyperlink r:id="rId20">
        <w:r w:rsidDel="00000000" w:rsidR="00000000" w:rsidRPr="00000000">
          <w:rPr>
            <w:rFonts w:ascii="Google Sans" w:cs="Google Sans" w:eastAsia="Google Sans" w:hAnsi="Google Sans"/>
            <w:color w:val="0000ee"/>
            <w:sz w:val="24"/>
            <w:szCs w:val="24"/>
            <w:u w:val="single"/>
            <w:rtl w:val="0"/>
          </w:rPr>
          <w:t xml:space="preserve">https://openpaymentsdata.cms.gov/physician/229418</w:t>
        </w:r>
      </w:hyperlink>
      <w:r w:rsidDel="00000000" w:rsidR="00000000" w:rsidRPr="00000000">
        <w:rPr>
          <w:rtl w:val="0"/>
        </w:rPr>
      </w:r>
    </w:p>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Camille Kotton, MD - Massachusetts General Hospital, accessed January 4, 2026, </w:t>
      </w:r>
      <w:hyperlink r:id="rId21">
        <w:r w:rsidDel="00000000" w:rsidR="00000000" w:rsidRPr="00000000">
          <w:rPr>
            <w:rFonts w:ascii="Google Sans" w:cs="Google Sans" w:eastAsia="Google Sans" w:hAnsi="Google Sans"/>
            <w:color w:val="0000ee"/>
            <w:sz w:val="24"/>
            <w:szCs w:val="24"/>
            <w:u w:val="single"/>
            <w:rtl w:val="0"/>
          </w:rPr>
          <w:t xml:space="preserve">https://www.massgeneral.org/doctors/17244/camille-kotton</w:t>
        </w:r>
      </w:hyperlink>
      <w:r w:rsidDel="00000000" w:rsidR="00000000" w:rsidRPr="00000000">
        <w:rPr>
          <w:rtl w:val="0"/>
        </w:rPr>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Changes in US Government Vaccination Policy in a World of Growing Infectious Threats, accessed January 4, 2026, </w:t>
      </w:r>
      <w:hyperlink r:id="rId22">
        <w:r w:rsidDel="00000000" w:rsidR="00000000" w:rsidRPr="00000000">
          <w:rPr>
            <w:rFonts w:ascii="Google Sans" w:cs="Google Sans" w:eastAsia="Google Sans" w:hAnsi="Google Sans"/>
            <w:color w:val="0000ee"/>
            <w:sz w:val="24"/>
            <w:szCs w:val="24"/>
            <w:u w:val="single"/>
            <w:rtl w:val="0"/>
          </w:rPr>
          <w:t xml:space="preserve">https://www.sir.advancedleadership.harvard.edu/articles/changes-us-government-vaccination-policy-world-growing-infectious-threats</w:t>
        </w:r>
      </w:hyperlink>
      <w:r w:rsidDel="00000000" w:rsidR="00000000" w:rsidRPr="00000000">
        <w:rPr>
          <w:rtl w:val="0"/>
        </w:rPr>
      </w:r>
    </w:p>
    <w:p w:rsidR="00000000" w:rsidDel="00000000" w:rsidP="00000000" w:rsidRDefault="00000000" w:rsidRPr="00000000" w14:paraId="000000C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Hospital Denied Christian Family A Heart Transplant For Their Daughter, accessed January 4, 2026, </w:t>
      </w:r>
      <w:hyperlink r:id="rId23">
        <w:r w:rsidDel="00000000" w:rsidR="00000000" w:rsidRPr="00000000">
          <w:rPr>
            <w:rFonts w:ascii="Google Sans" w:cs="Google Sans" w:eastAsia="Google Sans" w:hAnsi="Google Sans"/>
            <w:color w:val="0000ee"/>
            <w:sz w:val="24"/>
            <w:szCs w:val="24"/>
            <w:u w:val="single"/>
            <w:rtl w:val="0"/>
          </w:rPr>
          <w:t xml:space="preserve">https://vision.org.au/read/news/international/why-hospital-denied-christian-family-a-heart-transplant-for-their-daughter/</w:t>
        </w:r>
      </w:hyperlink>
      <w:r w:rsidDel="00000000" w:rsidR="00000000" w:rsidRPr="00000000">
        <w:rPr>
          <w:rtl w:val="0"/>
        </w:rPr>
      </w:r>
    </w:p>
    <w:p w:rsidR="00000000" w:rsidDel="00000000" w:rsidP="00000000" w:rsidRDefault="00000000" w:rsidRPr="00000000" w14:paraId="000000C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Vance's 12-Year-Old Relative Denied Heart Transplant For Surprising Reason - KFAN, accessed January 4, 2026, </w:t>
      </w:r>
      <w:hyperlink r:id="rId24">
        <w:r w:rsidDel="00000000" w:rsidR="00000000" w:rsidRPr="00000000">
          <w:rPr>
            <w:rFonts w:ascii="Google Sans" w:cs="Google Sans" w:eastAsia="Google Sans" w:hAnsi="Google Sans"/>
            <w:color w:val="0000ee"/>
            <w:sz w:val="24"/>
            <w:szCs w:val="24"/>
            <w:u w:val="single"/>
            <w:rtl w:val="0"/>
          </w:rPr>
          <w:t xml:space="preserve">https://kfan.iheart.com/content/2025-02-12-vances-12-year-old-relative-denied-heart-transplant-for-surprising-reason/</w:t>
        </w:r>
      </w:hyperlink>
      <w:r w:rsidDel="00000000" w:rsidR="00000000" w:rsidRPr="00000000">
        <w:rPr>
          <w:rtl w:val="0"/>
        </w:rPr>
      </w:r>
    </w:p>
    <w:p w:rsidR="00000000" w:rsidDel="00000000" w:rsidP="00000000" w:rsidRDefault="00000000" w:rsidRPr="00000000" w14:paraId="000000C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Webinar 1 Recap: Heart Failure and Travel with Dr. Camille Kotton, accessed January 4, 2026, </w:t>
      </w:r>
      <w:hyperlink r:id="rId25">
        <w:r w:rsidDel="00000000" w:rsidR="00000000" w:rsidRPr="00000000">
          <w:rPr>
            <w:rFonts w:ascii="Google Sans" w:cs="Google Sans" w:eastAsia="Google Sans" w:hAnsi="Google Sans"/>
            <w:color w:val="0000ee"/>
            <w:sz w:val="24"/>
            <w:szCs w:val="24"/>
            <w:u w:val="single"/>
            <w:rtl w:val="0"/>
          </w:rPr>
          <w:t xml:space="preserve">https://www.heartbrothers.org/post/webinar-1-recap-heart-failure-and-travel-with-dr-camille-kotton</w:t>
        </w:r>
      </w:hyperlink>
      <w:r w:rsidDel="00000000" w:rsidR="00000000" w:rsidRPr="00000000">
        <w:rPr>
          <w:rtl w:val="0"/>
        </w:rPr>
      </w:r>
    </w:p>
    <w:p w:rsidR="00000000" w:rsidDel="00000000" w:rsidP="00000000" w:rsidRDefault="00000000" w:rsidRPr="00000000" w14:paraId="000000C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Looking at the Impact of the New Lung Transplant Allocation System - Consult QD, accessed January 4, 2026, </w:t>
      </w:r>
      <w:hyperlink r:id="rId26">
        <w:r w:rsidDel="00000000" w:rsidR="00000000" w:rsidRPr="00000000">
          <w:rPr>
            <w:rFonts w:ascii="Google Sans" w:cs="Google Sans" w:eastAsia="Google Sans" w:hAnsi="Google Sans"/>
            <w:color w:val="0000ee"/>
            <w:sz w:val="24"/>
            <w:szCs w:val="24"/>
            <w:u w:val="single"/>
            <w:rtl w:val="0"/>
          </w:rPr>
          <w:t xml:space="preserve">https://consultqd.clevelandclinic.org/looking-at-the-impact-of-the-new-lung-transplant-allocation-system</w:t>
        </w:r>
      </w:hyperlink>
      <w:r w:rsidDel="00000000" w:rsidR="00000000" w:rsidRPr="00000000">
        <w:rPr>
          <w:rtl w:val="0"/>
        </w:rPr>
      </w:r>
    </w:p>
    <w:p w:rsidR="00000000" w:rsidDel="00000000" w:rsidP="00000000" w:rsidRDefault="00000000" w:rsidRPr="00000000" w14:paraId="000000C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Law - Part III, Title II, Chapter 229, Section 2 - Massachusetts General Court, accessed January 4, 2026, </w:t>
      </w:r>
      <w:hyperlink r:id="rId27">
        <w:r w:rsidDel="00000000" w:rsidR="00000000" w:rsidRPr="00000000">
          <w:rPr>
            <w:rFonts w:ascii="Google Sans" w:cs="Google Sans" w:eastAsia="Google Sans" w:hAnsi="Google Sans"/>
            <w:color w:val="0000ee"/>
            <w:sz w:val="24"/>
            <w:szCs w:val="24"/>
            <w:u w:val="single"/>
            <w:rtl w:val="0"/>
          </w:rPr>
          <w:t xml:space="preserve">https://malegislature.gov/Laws/GeneralLaws/PartIII/TitleII/Chapter229/Section2</w:t>
        </w:r>
      </w:hyperlink>
      <w:r w:rsidDel="00000000" w:rsidR="00000000" w:rsidRPr="00000000">
        <w:rPr>
          <w:rtl w:val="0"/>
        </w:rPr>
      </w:r>
    </w:p>
    <w:p w:rsidR="00000000" w:rsidDel="00000000" w:rsidP="00000000" w:rsidRDefault="00000000" w:rsidRPr="00000000" w14:paraId="000000C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instruction is for use only in medical malpractice wrongful death cases. There - Mass.gov, accessed January 4, 2026, </w:t>
      </w:r>
      <w:hyperlink r:id="rId28">
        <w:r w:rsidDel="00000000" w:rsidR="00000000" w:rsidRPr="00000000">
          <w:rPr>
            <w:rFonts w:ascii="Google Sans" w:cs="Google Sans" w:eastAsia="Google Sans" w:hAnsi="Google Sans"/>
            <w:color w:val="0000ee"/>
            <w:sz w:val="24"/>
            <w:szCs w:val="24"/>
            <w:u w:val="single"/>
            <w:rtl w:val="0"/>
          </w:rPr>
          <w:t xml:space="preserve">https://www.mass.gov/doc/superior-court-model-civil-jury-instructions-medical-malpractice-wrongful-death-pdf/download</w:t>
        </w:r>
      </w:hyperlink>
      <w:r w:rsidDel="00000000" w:rsidR="00000000" w:rsidRPr="00000000">
        <w:rPr>
          <w:rtl w:val="0"/>
        </w:rPr>
      </w:r>
    </w:p>
    <w:p w:rsidR="00000000" w:rsidDel="00000000" w:rsidP="00000000" w:rsidRDefault="00000000" w:rsidRPr="00000000" w14:paraId="000000C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 Audit Trail in Healthcare—and Why It Can Make or Break Your Case, accessed January 4, 2026, </w:t>
      </w:r>
      <w:hyperlink r:id="rId29">
        <w:r w:rsidDel="00000000" w:rsidR="00000000" w:rsidRPr="00000000">
          <w:rPr>
            <w:rFonts w:ascii="Google Sans" w:cs="Google Sans" w:eastAsia="Google Sans" w:hAnsi="Google Sans"/>
            <w:color w:val="0000ee"/>
            <w:sz w:val="24"/>
            <w:szCs w:val="24"/>
            <w:u w:val="single"/>
            <w:rtl w:val="0"/>
          </w:rPr>
          <w:t xml:space="preserve">https://comperiolegal.com/resources/what-is-an-audit-trail-in-healthcare-and-why-it-can-make-or-break-your-case/</w:t>
        </w:r>
      </w:hyperlink>
      <w:r w:rsidDel="00000000" w:rsidR="00000000" w:rsidRPr="00000000">
        <w:rPr>
          <w:rtl w:val="0"/>
        </w:rPr>
      </w:r>
    </w:p>
    <w:p w:rsidR="00000000" w:rsidDel="00000000" w:rsidP="00000000" w:rsidRDefault="00000000" w:rsidRPr="00000000" w14:paraId="000000C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 Trails: The Not-So-Silent Witness - DuPage County Bar Association, accessed January 4, 2026, </w:t>
      </w:r>
      <w:hyperlink r:id="rId30">
        <w:r w:rsidDel="00000000" w:rsidR="00000000" w:rsidRPr="00000000">
          <w:rPr>
            <w:rFonts w:ascii="Google Sans" w:cs="Google Sans" w:eastAsia="Google Sans" w:hAnsi="Google Sans"/>
            <w:color w:val="0000ee"/>
            <w:sz w:val="24"/>
            <w:szCs w:val="24"/>
            <w:u w:val="single"/>
            <w:rtl w:val="0"/>
          </w:rPr>
          <w:t xml:space="preserve">https://www.dcba.org/mpage/v34-Saira-Pasha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openpaymentsdata.cms.gov/physician/229418" TargetMode="External"/><Relationship Id="rId22" Type="http://schemas.openxmlformats.org/officeDocument/2006/relationships/hyperlink" Target="https://www.sir.advancedleadership.harvard.edu/articles/changes-us-government-vaccination-policy-world-growing-infectious-threats" TargetMode="External"/><Relationship Id="rId21" Type="http://schemas.openxmlformats.org/officeDocument/2006/relationships/hyperlink" Target="https://www.massgeneral.org/doctors/17244/camille-kotton" TargetMode="External"/><Relationship Id="rId24" Type="http://schemas.openxmlformats.org/officeDocument/2006/relationships/hyperlink" Target="https://kfan.iheart.com/content/2025-02-12-vances-12-year-old-relative-denied-heart-transplant-for-surprising-reason/" TargetMode="External"/><Relationship Id="rId23" Type="http://schemas.openxmlformats.org/officeDocument/2006/relationships/hyperlink" Target="https://vision.org.au/read/news/international/why-hospital-denied-christian-family-a-heart-transplant-for-their-daugh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orldmedicalinnovation.org/speaker/scott-sperling/" TargetMode="External"/><Relationship Id="rId26" Type="http://schemas.openxmlformats.org/officeDocument/2006/relationships/hyperlink" Target="https://consultqd.clevelandclinic.org/looking-at-the-impact-of-the-new-lung-transplant-allocation-system" TargetMode="External"/><Relationship Id="rId25" Type="http://schemas.openxmlformats.org/officeDocument/2006/relationships/hyperlink" Target="https://www.heartbrothers.org/post/webinar-1-recap-heart-failure-and-travel-with-dr-camille-kotton" TargetMode="External"/><Relationship Id="rId28" Type="http://schemas.openxmlformats.org/officeDocument/2006/relationships/hyperlink" Target="https://www.mass.gov/doc/superior-court-model-civil-jury-instructions-medical-malpractice-wrongful-death-pdf/download" TargetMode="External"/><Relationship Id="rId27" Type="http://schemas.openxmlformats.org/officeDocument/2006/relationships/hyperlink" Target="https://malegislature.gov/Laws/GeneralLaws/PartIII/TitleII/Chapter229/Section2" TargetMode="External"/><Relationship Id="rId5" Type="http://schemas.openxmlformats.org/officeDocument/2006/relationships/styles" Target="styles.xml"/><Relationship Id="rId6" Type="http://schemas.openxmlformats.org/officeDocument/2006/relationships/hyperlink" Target="https://resources.massgeneralbrighamhealthplan.org/pharmacy/PharmacyPolicies/Commercial/Rituximab_PA_ComExch_MBRx_1.1.2025.pdf" TargetMode="External"/><Relationship Id="rId29" Type="http://schemas.openxmlformats.org/officeDocument/2006/relationships/hyperlink" Target="https://comperiolegal.com/resources/what-is-an-audit-trail-in-healthcare-and-why-it-can-make-or-break-your-case/" TargetMode="External"/><Relationship Id="rId7" Type="http://schemas.openxmlformats.org/officeDocument/2006/relationships/hyperlink" Target="https://resources.massgeneralbrighamhealthplan.org/pharmacy/druglists/MedicalSpecialtyDrugList_MH.pdf" TargetMode="External"/><Relationship Id="rId8" Type="http://schemas.openxmlformats.org/officeDocument/2006/relationships/hyperlink" Target="https://www.massgeneralbrigham.org/en/about/newsroom/press-releases/q4-2024-financial-results" TargetMode="External"/><Relationship Id="rId30" Type="http://schemas.openxmlformats.org/officeDocument/2006/relationships/hyperlink" Target="https://www.dcba.org/mpage/v34-Saira-Pasha" TargetMode="External"/><Relationship Id="rId11" Type="http://schemas.openxmlformats.org/officeDocument/2006/relationships/hyperlink" Target="https://advances.massgeneral.org/pulmonary/article.aspx?id=1577" TargetMode="External"/><Relationship Id="rId10" Type="http://schemas.openxmlformats.org/officeDocument/2006/relationships/hyperlink" Target="https://2024.worldmedicalinnovation.org/speaker/jonathan-kraft/" TargetMode="External"/><Relationship Id="rId13" Type="http://schemas.openxmlformats.org/officeDocument/2006/relationships/hyperlink" Target="https://www.youtube.com/watch?v=Ak5RVW9YEL8" TargetMode="External"/><Relationship Id="rId12" Type="http://schemas.openxmlformats.org/officeDocument/2006/relationships/hyperlink" Target="https://unos.org/news/in-focus/new-animation-for-patients-explains-lung-composite-allocation-score/" TargetMode="External"/><Relationship Id="rId15" Type="http://schemas.openxmlformats.org/officeDocument/2006/relationships/hyperlink" Target="https://litigationtracker.law.georgetown.edu/litigation/estate-of-gene-b-lokken-the-et-al-v-unitedhealth-group-inc-et-al/" TargetMode="External"/><Relationship Id="rId14" Type="http://schemas.openxmlformats.org/officeDocument/2006/relationships/hyperlink" Target="https://www.courthousenews.com/federal-judge-dismisses-several-claims-in-ai-denial-lawsuit-against-uhg-but-case-will-proceed/" TargetMode="External"/><Relationship Id="rId17" Type="http://schemas.openxmlformats.org/officeDocument/2006/relationships/hyperlink" Target="https://ir.tonixpharma.com/news-events/press-releases/detail/1599/tonix-pharmaceuticals-announces-collaboration-with" TargetMode="External"/><Relationship Id="rId16" Type="http://schemas.openxmlformats.org/officeDocument/2006/relationships/hyperlink" Target="https://thl.com/people/scott-sperling/" TargetMode="External"/><Relationship Id="rId19" Type="http://schemas.openxmlformats.org/officeDocument/2006/relationships/hyperlink" Target="https://ir.tonixpharma.com/news-events/press-releases/detail/1241/tonix-pharmaceuticals-and-massachusetts-general-hospital" TargetMode="External"/><Relationship Id="rId18" Type="http://schemas.openxmlformats.org/officeDocument/2006/relationships/hyperlink" Target="https://delta.larvol.com/Products/?ProductId=1139d288-adad-4d6b-8797-8b04e8d0f8a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