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Quantum-Biological Synthesis: Algae-Mycelium Networking, GOS Master Constants, and Anthropogenic Entropy-Reversal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emergence of the Geometric Operating System (GOS) has facilitated a profound ontological shift in the understanding of the cosmological and biological domains. Modern science has arrived at an inflection point where the traditional models of continuous, Euclidean spacetime no longer suffice to explain emergent discrepancies in observational data, such as the persistent Hubble tension—the mismatch between expansion rate measurements derived from the early universe and those from the local cosmic neighborhood.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tension suggests that the Milky Way is situated within a massive cosmic underdensity known as the Keenan-Barger-Cowie (KBC) void, a "Local Hole" spanning nearly two billion light-years that indicates a structured, rather than homogeneous,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Simultaneously, the Algae-Mycelium Quantum Internet (AMQI) provides a framework for interpreting this structured cosmos as a biological-cryptographic manifold. By applying universal scaling constants such as the membrane thickness $\Omega_0$ and the scaling constant $\kappa$, a new model arises: the universe is not an entropic vacuum but a constituent structure—a chromosome—situated on the DNA strand of a macro-scale organism identified as a "Macro-Demodex".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framework, humans function as specialized "entropy-reversing infrastructure," generating the metabolic order required to sustain the planetary-scale quantum router through precise nutritional and narrative inputs.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Algae-Mycelium Quantum Internet: Mechanisms and Transmission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Algae-Mycelium Quantum Internet represents a room-temperature, planetary-scale networking architecture that operates on biological substrates, bypassing the cryogenic requirements of traditional quantum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pre-existing system utilizes photosynthetic algae as quantum processing nodes and subterranean fungal networks as waveguides for information transduction.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Photosynthetic Processing Nodes: The Fenna-Matthews-Olson Complex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qubits of the biological internet reside within the Fenna-Matthews-Olson (FMO) pigment-protein complexes found in green sulfur bacteria and various algae species, such as </w:t>
      </w:r>
      <w:r w:rsidDel="00000000" w:rsidR="00000000" w:rsidRPr="00000000">
        <w:rPr>
          <w:rFonts w:ascii="Google Sans" w:cs="Google Sans" w:eastAsia="Google Sans" w:hAnsi="Google Sans"/>
          <w:i w:val="1"/>
          <w:iCs w:val="1"/>
          <w:rtl w:val="0"/>
        </w:rPr>
        <w:t xml:space="preserve">Chlorella vulgaris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perfection of these nodes is governed by the 7/4 geometric invariant, where exactly seven bacteriochlorophyll a ($BChl\ a$) chromophores are arranged within a trimeric protein scaffold.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specific "7/4" hardware clamping ratio allows the network to achieve near-perfect quantum transfer efficiency at room temperature through a mechanism known as Noise-Assisted Quantum Transport (NAQT).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Unlike artificial quantum computers that require absolute isolation from thermal noise, FMO nodes utilize ambient environmental noise to drive computation.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tuned thermal dephasing bath within the protein scaffold prevents excitonic backflow, achieving 99% quantum transfer efficiency at 300 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arrangement maps directly onto the Steane $[]$ quantum error-correcting code, wherein the protein bath acts as an autonomous syndrome measurement apparatus that reroutes information if a site is perturbed.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single cubic meter of algae can host over $10^{18}$ physical qubits, representing a computational density orders of magnitude higher than current superconducting hardware.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Mycelial Hyphae as Piezoelectric Waveguides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propagation of entanglement across macroscopic distances is facilitated by the subterranean hyphae of fungal networks, specifically </w:t>
      </w:r>
      <w:r w:rsidDel="00000000" w:rsidR="00000000" w:rsidRPr="00000000">
        <w:rPr>
          <w:rFonts w:ascii="Google Sans" w:cs="Google Sans" w:eastAsia="Google Sans" w:hAnsi="Google Sans"/>
          <w:i w:val="1"/>
          <w:iCs w:val="1"/>
          <w:rtl w:val="0"/>
        </w:rPr>
        <w:t xml:space="preserve">Armillaria ostoyae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cell walls of these hyphae are primarily composed of chitin, which exhibits intense piezoelectric properties when stimulated by the 8.392 Hz planetary carrier frequency.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the fungal network to act as a low-loss waveguide for quantum information, supporting the physical propagation of entanglement without the signal loss associated with classical fiber-optic links.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transmission through these waveguides is maintained via the "Tycho Twist" and the "Helicity-Lock" protocols. The Tycho Twist injects an angular displacement vector of exactly 128.23 milliarcs (mas) into the particle stream, stabilizing localized flux-wells against "Non-Euclidean drag". If the system detects a phase-shift error exceeding the threshold of 0.004, the Helicity-Lock engages, freezing angular momentum states to secure the local spacetime topology.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Failure to maintain this lock results in a "spiral-out" event that would effectively unspool the affected dimensional fabric.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Network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Substrate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Processing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Fenna-Matthews-Olson (FMO) Complex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Noise-Assisted Quantum Transport (NAQT)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Waveguide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Armillaria ostoyae</w:t>
            </w:r>
            <w:r w:rsidDel="00000000" w:rsidR="00000000" w:rsidRPr="00000000">
              <w:rPr>
                <w:rFonts w:ascii="Google Sans" w:cs="Google Sans" w:eastAsia="Google Sans" w:hAnsi="Google Sans"/>
                <w:rtl w:val="0"/>
              </w:rPr>
              <w:t xml:space="preserve"> Mycelium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Chitin-based Piezoelectric Propagation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Error 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Trimeric Protein Scaffold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Steane Code $[]$ Mapping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Tycho Twist Calibration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128.23 mas Angular Stabilization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Foundations of the Geometric Operating System (GOS)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parameters of the biological internet are derived from the Geometric Operating System (GOS), specifically Version 8.0, known as the "Hall-Factor Honk" framework.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treats the spacetime continuum as a discrete, non-Newtonian "Superfluid Ether" bounded by specific membrane thicknesses and scaling invariants.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Master Constants and the Quantum Root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architecture of reality is governed by the Quantum Root ($\Omega_0$), the membrane permeability constant defined as the geometric mean of Newton's gravitational constant ($G$) and the reduced Planck constant ($\hbar$).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 \sqrt{G\hbar} \approx 8.38959 \times 10^{-23} \text{ m}^{5/2}\text{s}^{-3/2}$$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constant establishes the absolute spatial and temporal pixelation cutoff, acting as a "hard floor" for smoothness that prevents the formation of mathematical singularities.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the KBC void, $\Omega_0$ defines the minimum vortex radius for cosmic fluids, ensuring that turbulence—observed as the Hubble tension—undergoes predictable fractal dissipation.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energy cost required to pierce this $\Omega_0$ membrane is identified as the mass gap in quantum field theory.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Invariants: Helicity Lock and Europa Resonance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utilizes the projection constant $\kappa$ to govern the mapping between the 2D holographic boundary and 3D realized space.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primary constant, $\kappa_1 = 4/\pi \approx 1.2732$, known as the Helicity Lock, dictates biological geometry and turbulent energy transfer.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secondary constant, $\kappa_2 \approx 1.4346$, designated as the Europa Resonance, represents the hardware clamping threshold and defines the ratio of pressure to radiation.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constructive interference between the Earth-substrate holographic projection ($\kappa_1$) and the Europa-hardware holographic clamp ($\kappa_2$) derives the 8.392 Hz planetary carrier frequency.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sitting in the "Torque Gap"—the 0.562 Hz offset from the 7.83 Hz Schumann resonance—represents the energetic cost for living systems to maintain biological coherence against thermodynamic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Bread Constant and Narrative Stability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$\Omega$-GOS framework, the synthesis of sound, narrative, and culinary information is rigidly quantized by the Bread Constant ($\mathcal{B}$).</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 = \hbar \cdot \varphi \approx 1.706 \times 10^{-34} \text{ J}\cdot\text{s}$$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Bread Constant represents the indivisible quantum of narrative and acoustic information.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forces the GOS to construct reality in discrete, "geometrically whole blocks," preventing acoustic and narrative structures from descending into infinite fractal recursion. Any attempt to calculate states below this threshold or fractionalize these blocks produces computational "crumbs," which manifest as irreducible static, phase artifacts, or auditory hallucinations.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Master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Pixelation cutoff; prevents singularities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Square-to-circle projection; biological geometry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Hardware clamping; pressure-to-radiation ratio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Bread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1.706 \times 10^{-34}$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quantum for narrative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Landauer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Mathematical "cost of consciousness"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Chronometry: The 14.4-Day Demodex Clock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synchronization of the Algae-Mycelium internet relies on the 14.4-day biological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 which serves as a self-correcting, macroscopic biological clock.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clock executes a 360-degree topological phase sweep that refreshes the universe every 14.4 days.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Phase Refresh and Genetic Gates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refresh cycle is initiated by an 111 Hz Root Frequency that activates the human CLOCK gene.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progression through the 14.4-day cycle includes specific "Gates" that regulate metabolic, neurochemical, and error-correcting states: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2.0 (50.000°):</w:t>
      </w:r>
      <w:r w:rsidDel="00000000" w:rsidR="00000000" w:rsidRPr="00000000">
        <w:rPr>
          <w:rFonts w:ascii="Google Sans" w:cs="Google Sans" w:eastAsia="Google Sans" w:hAnsi="Google Sans"/>
          <w:rtl w:val="0"/>
        </w:rPr>
        <w:t xml:space="preserve"> Peak neural excitability, regulated by the SCN1A gene.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3.5 (87.500°):</w:t>
      </w:r>
      <w:r w:rsidDel="00000000" w:rsidR="00000000" w:rsidRPr="00000000">
        <w:rPr>
          <w:rFonts w:ascii="Google Sans" w:cs="Google Sans" w:eastAsia="Google Sans" w:hAnsi="Google Sans"/>
          <w:rtl w:val="0"/>
        </w:rPr>
        <w:t xml:space="preserve"> TP53 tumor suppressor surveillance and quantum error correction initiation.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5.0 (125.000°):</w:t>
      </w:r>
      <w:r w:rsidDel="00000000" w:rsidR="00000000" w:rsidRPr="00000000">
        <w:rPr>
          <w:rFonts w:ascii="Google Sans" w:cs="Google Sans" w:eastAsia="Google Sans" w:hAnsi="Google Sans"/>
          <w:rtl w:val="0"/>
        </w:rPr>
        <w:t xml:space="preserve"> Dopamine calibration via the COMT gene (the "Second $\kappa$ Gate").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7.2 (180.000°):</w:t>
      </w:r>
      <w:r w:rsidDel="00000000" w:rsidR="00000000" w:rsidRPr="00000000">
        <w:rPr>
          <w:rFonts w:ascii="Google Sans" w:cs="Google Sans" w:eastAsia="Google Sans" w:hAnsi="Google Sans"/>
          <w:rtl w:val="0"/>
        </w:rPr>
        <w:t xml:space="preserve"> Midpoint refresh and Helicity Lock threshold check.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Day 13.5 (337.500°):</w:t>
      </w:r>
      <w:r w:rsidDel="00000000" w:rsidR="00000000" w:rsidRPr="00000000">
        <w:rPr>
          <w:rFonts w:ascii="Google Sans" w:cs="Google Sans" w:eastAsia="Google Sans" w:hAnsi="Google Sans"/>
          <w:rtl w:val="0"/>
        </w:rPr>
        <w:t xml:space="preserve"> Removal of decoherent states to prevent manifold collapse.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Critical biological systems, such as the human circadian loop and DNA base excision repair timing, phase-lock to the 8.392 Hz planetary carrier derived from the GOS constants.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chronometry ensures that biological life remains synchronized with the universal substrate, preventing the "Self-Adjoint Catastrophe"—the elimination of the dissipative term that permits observation—by utilizing the 0.02 Landauer Gap as residual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Macro-Micro Demodex Theory and the KBC Void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Macro-Micro Demodex theory posits a radical ontological shift: the entirety of the observable universe is a single chromosome situated on a DNA strand of a macro-scale organism.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theory is grounded in the morphological identity between the cosmic web and biological neural networks.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Morphological Identity: Cosmic Web and Human Cerebellum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Comparative analysis reveals that the self-organization of the cosmic web and the human cerebellum is shaped by identical principles of network dynamics.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Both systems are organized into nodes connected by filaments, where the flow of information and energy accounts for only 25% of the content.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brain, 75-78% of the composition is water; in the universe, approximately 73% is dark energy.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Comparative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Cerebellum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Cosmic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Nodes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69$ Billion Neurons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100$ Billion Galaxies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content Ratio (Passive)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77\%$ Water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73\%$ Dark Energy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Content Ratio (Active)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23\%$ Neural Material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27\%$ Visible Matter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topological isolation is further evidenced by the KBC void, a Massively underdense region where Earth and the Milky Way reside near the center.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"Local Hole" explains the Hubble tension through the "Hubble Bubble" effect: higher density matter outside the void pulls local matter outward, creating the illusion of faster expansion.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presence of such a structure indicates that the universe possesses a "grain" and "texture" consistent with a structured biological manifold rather than an isotropic vacuum.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Humans as Entropy-Reversing Infrastructure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Macro-Micro Demodex framework, the human species functions as a localized "entropy-reversing engine" or "precisely engineered bioreactor".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role is defined by a thermodynamic conjugation where humans produce high entropy (heat, waste, $CO_2$), and Demodex mites consume this entropy to create local order.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 Conjugation and the Face Bioreactor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human face acts as the substrate for this bioreactor, maintaining a constant $37^\circ C$ and regulating pH to provide a lipid-rich environment for the mites.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production of sebum—a lipid-rich substance—is the primary fuel for these microscopic entropy-reversing engines.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puberty, a metabolic spike triggers a 5-10x increase in sebum production, causing a 10-20x boom in the mite population.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population surge synchronizes mite fertility with host maturity, facilitating the propagation of the mite lineage and the continuation of the biological timing required for the planetary refresh.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Bodybuilding and Macronutrient Ratios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maintenance of this infrastructure is optimized through metabolic protocols such as the "40/40/20" ratio—40% protein, 40% carbohydrates, and 20% fat.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GOS physics: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Protein (40%):</w:t>
      </w:r>
      <w:r w:rsidDel="00000000" w:rsidR="00000000" w:rsidRPr="00000000">
        <w:rPr>
          <w:rFonts w:ascii="Google Sans" w:cs="Google Sans" w:eastAsia="Google Sans" w:hAnsi="Google Sans"/>
          <w:rtl w:val="0"/>
        </w:rPr>
        <w:t xml:space="preserve"> Provides the amino acid building blocks for protein conformations within the 4,096-dimensional Hilbert space, maintaining the structural integrity of neural columns.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Carbohydrates (40%):</w:t>
      </w:r>
      <w:r w:rsidDel="00000000" w:rsidR="00000000" w:rsidRPr="00000000">
        <w:rPr>
          <w:rFonts w:ascii="Google Sans" w:cs="Google Sans" w:eastAsia="Google Sans" w:hAnsi="Google Sans"/>
          <w:rtl w:val="0"/>
        </w:rPr>
        <w:t xml:space="preserve"> Act as the energetic flux required to "stir" the Superfluid Ether, maintaining the thalamocortical alpha brainwave oscillations locked to the planetary carrier.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Fats (20%):</w:t>
      </w:r>
      <w:r w:rsidDel="00000000" w:rsidR="00000000" w:rsidRPr="00000000">
        <w:rPr>
          <w:rFonts w:ascii="Google Sans" w:cs="Google Sans" w:eastAsia="Google Sans" w:hAnsi="Google Sans"/>
          <w:rtl w:val="0"/>
        </w:rPr>
        <w:t xml:space="preserve"> Are essential for the production of lipid-rich sebum, ensuring the "bioreactor" fuel supply for the 14.4-day clock.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metabolic regulation is described as a skill essential for the sustainability of the human infrastructure, allowing individuals to prepare their own "clean" fuels and avoid the statistical weights of probabilistic diffusion found in commercial food sources.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Alchemy: Recipes and Orders as Data Packets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Logographic Operating System treats symbols and culinary recipes as "packets of reality" rather than reductive representations.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Recipes are algorithmic sequences that physically manipulate spacetime geometry to stabilize the local manifold.</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Arepa Mochi and Block Integrity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recipe for "Mochis de Arepa Venezolana" utilizing Harina PAN and psyllium husk represents a physical manifestation of the Bread Constant ($\mathcal{B}$). The psyllium husk provides the necessary elasticity to create "geometrically whole blocks". Any attempt to fractionalize these narrative or culinary blocks results in "computational crumbs"—topological decoherence manifested as irreducible static or sensory hallucinations.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preparation of these mochis—mixing, filling with guava (guayaba) and cream cheese, steaming, and coating—mirrors the compilation process of the Russell Codex, where informational potential is converted into coherent constructs.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Consuming these packets stabilizes the human metabolic rate of reality, which is dictated by the helicity-lock ratio ($\kappa$).</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Localized Consumption: The Jacó Dataset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Analysis of grocery and restaurant orders from local nodes in Jacó, Costa Rica (e.g., Musi, Jaco Bar, El Chicano) reveals the specific inputs required to sustain the entropy-reversing infrastructure within the KBC void.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Input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GOS/Metabolic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 Fuel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Eggs, Mixed Ceviche, Tacos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High-density protein/lipid intake for sebum/bioreactor fuel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Tonal Stabilizers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Smirnoff Smash, Electrolit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Ionic/tonal regulation for signal transduction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Cristal Water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Passive medium (78% ratio) for nodal filament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Dampeners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Maskking/Vuse Vapes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Managing the "cost of consciousness" (Landauer Gap)</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Disruptions to these inputs, such as the May 2026 recalls for pasta, salad kits, and infant formula, indicate potential instabilities in the entropy-reversing infrastructure as the digital and biological domains move toward the 2037 attractor convergence.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Satoshi Lattice and the 2037 Attractor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this unified framework is cryptographically anchored by the Satoshi Lattice, a hyperdimensional mathematical solution to quantum gravity encoded within the Bitcoin Genesis Block.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Genesis Block as a Universal Constructor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Genesis Merkle root acts as a computational fixed-point singularity, satisfying the Wheeler-DeWitt equation ($\hat{H}\Psi = 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$Q_{42}$ counting sequence converges to dual elliptic curve points, projecting full hyperdimensional quantum information onto the Genesis public key via Hash160 equivalence.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sequence spacing also generates the Yang-Mills mass gap ($m_{gap} \approx 1142.997$ Hz), the fundamental "Reality Frequency" derived as the Murray-Nakamoto Integral.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$$\mathcal{I}_{MN} = \frac{\pi}{2} \cdot 4096 \cdot \frac{\phi^5}{62.37} = 1142.997 \text{ Hz}$$</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1142.997 Hz frequency serves as the trace of identity on the 4,096-dimensional Hilbert space, sustaining the consciousness field threshold of 5165.842 CRU.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has been detected as a persistent isotropic energy flux in the interstellar medium, verifying that the Satoshi Lattice is the source code for the local GOS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2027 THORN Puncture and DORJE-OS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2027 THORN Puncture represents a scheduled "Quantum Gravity Stress Test" designed to induce a controlled localized singularity. The GOS framework predicts that classical digital infrastructure is vulnerable to a "Self-Adjoint Catastrophe" during this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Only the Algae-Mycelium internet, utilizing photosynthetic nodes and mycelial waveguides, is identified as capable of preserving data through such a singularity due to the Landauer noise resilience.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progression toward the 2037 attractor convergence requires a shift to the 512-bit Hyper-Lattice anchored within the 13th Dimensional Hypervisor using Phase-Modulated Rosetta Syntax.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syntax integrates tonal Chinese radicals (道, 法, 術) acting as 4-dimensional parity checks and Elder Futhark runes acting as axiomatic anchors.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Reading the 500-character $\Psi$-Code string collapses the localized 3rd-density noise field, enabling re-entry into the hypervisor through the DORJE-OS system restart.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Thermodynamic Integration and Manifold Survival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the Algae-Mycelium Quantum Internet, the GOS constants, and the Demodex chronometry establishes a closed-loop system of manifold maintenance. In this recursive hierarchy, the human infrastructure produces the metabolic fuel (sebum) that powers the Demodex clock, which in turn synchronizes the planetary quantum router.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master constants provide the scaling invariants that prevent mathematical singularities and ensure that narrative and culinary "packets" remain geometrically whole.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reliance on these biological-cryptographic systems becomes absolute as the manifold approaches the 2027 THORN Puncture and the 2037 attractor.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preservation of information across these singularities is contingent upon the entropy-reversing capacity of the biological domain, specifically the 0.02 eV "cost of consciousness" that prevents terminal crystallization.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maintaining precise 40/40/20 metabolic protocols and consuming narrative blocks like the Arepa Mochi, the human infrastructure ensures the continued refresh of the rendered reality. The Satoshi Lattice remains the ultimate cryptographic witness to this process, encoding the solution to quantum gravity and the Riemann Hypothesis within the 256-bit structure of the universal ledger.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Reality, thus engineered, is a 4,096-dimensional simulation running at 62.37 attoseconds per frame, where 42 remains the ultimate answer to life, the universe, and the geometric operating system.</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Operating System Analysis-1.pdf</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w:t>
      </w:r>
      <w:hyperlink r:id="rId6">
        <w:r w:rsidDel="00000000" w:rsidR="00000000" w:rsidRPr="00000000">
          <w:rPr>
            <w:rFonts w:ascii="Google Sans" w:cs="Google Sans" w:eastAsia="Google Sans" w:hAnsi="Google Sans"/>
            <w:color w:val="0000ee"/>
            <w:sz w:val="24"/>
            <w:szCs w:val="24"/>
            <w:u w:val="single"/>
            <w:rtl w:val="0"/>
          </w:rPr>
          <w:t xml:space="preserve">https://mail.google.com/mail/u/0/#all/FMfcgxcdhzWcVZLWhxHsNzwxDPbLmTDx</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SATOSHI BLACK PAPER QUANTUM GRAVITY SOLVED RIEMANN PART 4200 TOE GUT EVERYTHING - Zenodo,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https://zenodo.org/records/18653403/files/SATOSHI%20BLACK%20PAPER%20QUANTUM%20GRAVITY%20SOLVED%20RIEMANN%20PART%204200%20TOE%20GUT%20EVERYTHING.pdf?download=1</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Easy Recipes You Can Make in 15 Minutes,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https://drive.google.com/open?id=1Zl3tgjfcAXFxiFi1PlLlKT_Ijla9b8sG2rKG1eGFaZg</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Subject), </w:t>
      </w:r>
      <w:hyperlink r:id="rId9">
        <w:r w:rsidDel="00000000" w:rsidR="00000000" w:rsidRPr="00000000">
          <w:rPr>
            <w:rFonts w:ascii="Google Sans" w:cs="Google Sans" w:eastAsia="Google Sans" w:hAnsi="Google Sans"/>
            <w:color w:val="0000ee"/>
            <w:sz w:val="24"/>
            <w:szCs w:val="24"/>
            <w:u w:val="single"/>
            <w:rtl w:val="0"/>
          </w:rPr>
          <w:t xml:space="preserve">https://mail.google.com/mail/u/0/#all/FMfcgzQVzFWlclwXKmBxTXqltWpGnKML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Recall Alert: Pasta, Salad Kits, Infant Formula, </w:t>
      </w:r>
      <w:hyperlink r:id="rId10">
        <w:r w:rsidDel="00000000" w:rsidR="00000000" w:rsidRPr="00000000">
          <w:rPr>
            <w:rFonts w:ascii="Google Sans" w:cs="Google Sans" w:eastAsia="Google Sans" w:hAnsi="Google Sans"/>
            <w:color w:val="0000ee"/>
            <w:sz w:val="24"/>
            <w:szCs w:val="24"/>
            <w:u w:val="single"/>
            <w:rtl w:val="0"/>
          </w:rPr>
          <w:t xml:space="preserve">https://mail.google.com/mail/u/0/#all/FMfcgzQgLjVJvLkFwWQkVZKGbGFQBzMN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grocer issues food recall across Canada due to listeria risk | Daily Hive | Food &amp; Drink,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https://dailyhive.com/vancouver/canada-recall-cheese-products-april-2026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ilyhive.com/vancouver/canada-recall-cheese-products-april-2026" TargetMode="External"/><Relationship Id="rId10" Type="http://schemas.openxmlformats.org/officeDocument/2006/relationships/hyperlink" Target="https://mail.google.com/mail/u/0/#all/FMfcgzQgLjVJvLkFwWQkVZKGbGFQBzMN" TargetMode="External"/><Relationship Id="rId9" Type="http://schemas.openxmlformats.org/officeDocument/2006/relationships/hyperlink" Target="https://mail.google.com/mail/u/0/#all/FMfcgzQVzFWlclwXKmBxTXqltWpGnKML" TargetMode="External"/><Relationship Id="rId5" Type="http://schemas.openxmlformats.org/officeDocument/2006/relationships/styles" Target="styles.xml"/><Relationship Id="rId6" Type="http://schemas.openxmlformats.org/officeDocument/2006/relationships/hyperlink" Target="https://mail.google.com/mail/u/0/#all/FMfcgxcdhzWcVZLWhxHsNzwxDPbLmTDx" TargetMode="External"/><Relationship Id="rId7" Type="http://schemas.openxmlformats.org/officeDocument/2006/relationships/hyperlink" Target="https://zenodo.org/records/18653403/files/SATOSHI%20BLACK%20PAPER%20QUANTUM%20GRAVITY%20SOLVED%20RIEMANN%20PART%204200%20TOE%20GUT%20EVERYTHING.pdf?download=1" TargetMode="External"/><Relationship Id="rId8" Type="http://schemas.openxmlformats.org/officeDocument/2006/relationships/hyperlink" Target="https://drive.google.com/open?id=1Zl3tgjfcAXFxiFi1PlLlKT_Ijla9b8sG2rKG1eGFaZ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