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Socio-Economic Transformation and Spatial Equity in Jacó, Costa Rica: An Analysis of Gentrification, Displacement, and Mathematical Frameworks for Community Reclamation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evolution of Jacó, Costa Rica, from a tranquil coastal village into a high-liquidity international real estate hub serves as a primary case study for the phenomenon of coastal gentrification in the Global South. This transformation is characterized by a profound disconnect between the economic realities of the local workforce and the speculative nature of an international investment market driven by short-term rentals (STRs) and residential tourism. As of 2026, the structural imbalances in Jacó reflect a "nature-infrastructure paradox," where the very environmental beauty that attracts capital is systematically undermined by the exclusionary urban forms that follow it. This analysis explores the socio-economic impacts of this gentrification, the mechanics of resident displacement to peripheral areas like Parrita, and the potential for community-led strategies—rooted in both Community Wealth Building (CWB) and mathematical principles of proportional design—to reclaim housing security and economic agency for the local population.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Dual Economy: International Capital vs. Local Wage Realities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 estate market in Jacó has transitioned into a "premium segment" dominated by foreign cash buyers, creating a dual economy where property values are untethered from local purchasing power. This decoupling is most visible in the price-to-income ratio, which provides a quantitative measure of housing unaffordability. In Costa Rica, and specifically in gentrifying coastal zones like Jacó, median home prices often exceed the average annual income by a factor of 15 to 20. This ratio is significantly higher than regional averages in Latin America, effectively barring the local population from property ownership without substantial external support or multi-generational wealth.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the first half of 2026, the typical monthly salary ranges for workers in Jacó highlight the severity of this gap when compared to the average monthly rent in the area. The influx of international investment has driven the cost of basic housing beyond the reach of those who provide the essential services that sustain the tourism economy.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Employment Sector (Jacó 2026)</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Monthly Salary (USD)</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Rent (Jacó Area)</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Restaurant / Hotel Staff</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 $900</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$900 – $1,200</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 Small Units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Retail / Sales / Admin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 – $1,100</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$1,200 – $1,800</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1-2 Bedroom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Tourism Jobs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$700 – $1,300</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$1,800 – $3,000+</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Newer Condos / Beachfront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Estate / Property Mgmt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 – $1,500</w:t>
            </w:r>
          </w:p>
        </w:tc>
        <w:tc>
          <w:tcPr>
            <w:shd w:fill="auto" w:val="clear"/>
            <w:tcMar>
              <w:top w:w="0.0" w:type="dxa"/>
              <w:left w:w="0.0" w:type="dxa"/>
              <w:bottom w:w="0.0" w:type="dxa"/>
              <w:right w:w="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 Tech / Corp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$1,200 – $2,500+</w:t>
            </w:r>
          </w:p>
        </w:tc>
        <w:tc>
          <w:tcPr>
            <w:shd w:fill="auto" w:val="clear"/>
            <w:tcMar>
              <w:top w:w="0.0" w:type="dxa"/>
              <w:left w:w="0.0" w:type="dxa"/>
              <w:bottom w:w="0.0" w:type="dxa"/>
              <w:right w:w="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Minimum Wage (2026 Approx)</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$730 – $800</w:t>
            </w:r>
          </w:p>
        </w:tc>
        <w:tc>
          <w:tcPr>
            <w:shd w:fill="auto" w:val="clear"/>
            <w:tcMar>
              <w:top w:w="0.0" w:type="dxa"/>
              <w:left w:w="0.0" w:type="dxa"/>
              <w:bottom w:w="0.0" w:type="dxa"/>
              <w:right w:w="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pressure on local families is compounded by the rising cost of basic services and goods. While "sodas" (local eateries) remain relatively affordable ($6–$10 per meal), the influx of specialty coffee shops and upscale restaurants catering to digital nomads and tourists has shifted the broader commercial landscape toward higher price points. This trend reflects a broader shift where the "cost-effective living" touted to foreign retirees—estimated at $2,000 to $3,000 per month for a couple—represents a budget far beyond the reach of the average Costa Rican service worker.</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Market Sentiment and Valuation Trends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early 2026, the Jacó market exhibits signs of "overpricing," with many properties listed at peak 2021-2022 levels despite a shift toward a more buyer-friendly environment. While foreign investors view the country's political stability and lack of a standing army as factors justifying higher values, local residents point to a growing inventory of unsold properties and extended "days-on-market" (averaging 360 to 420 days) as evidence of a speculative bubble. Despite this perceived overvaluation, the market remains highly liquid for move-in-ready properties with established rental histories, which continue to attract multiple bidders and sales at or above asking price.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sentiment among locals is one of increasing exclusion. Market insiders note that approximately 80% to 85% of properties close at or below the asking price, with buyers negotiating discounts of 5% to 12%. However, these "discounts" occur at price points that remain inaccessible to the domestic population. The high price-to-income ratio forces local buyers to focus on smaller, peripheral units or rely on family support, while foreign cash buyers continue to dominate the premium segments.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Airbnb Effect: Commodification of the Urban Fabric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proliferation of short-term rentals (STRs) has fundamentally altered the housing supply in Jacó. Platforms like Airbnb have created a "boutique market" where property owners can generate significantly higher returns from transient tourists than from long-term tenants. This "Airbnb effect" results in the conversion of traditional housing stock into commercialized lodging, leading to a dwindled supply of long-term options and the disruption of community cohesion.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Metrics and Revenue Potential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Jacó, the STR market is heavily skewed toward "Entire Home/Apt" listings, which account for 93% of the active supply. This preference for private, self-contained units indicates a shift away from traditional hotel-based tourism toward a model of "residential tourism" that competes directly with local housing needs. The 2026 data highlights a sharp seasonal divide in revenue, which incentivizes developers to prioritize luxury amenities over affordable density.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Airbnb Metric (Jacó 2026 Data)</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 / Average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10% (Best-in-Class)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 Revenue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$16,741</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Revenue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$1,409</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Occupancy Rate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34.1%</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Daily Rate (ADR)</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$158</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RevPAR (Revenue per Available Room)</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presence of high-revenue amenities—such as hot tubs (+53.3% revenue) and pools (+48.6% revenue)—further drives the development of luxury units. Furthermore, the lack of nationwide night caps or restrictions on the number of days a property can be rented annually allows for year-round operation of STRs, often without the regulatory burdens of traditional hospitality businesses. While some homeowners’ associations (HOAs) in Jacó have begun to implement their own bans on short-term rentals to mitigate noise and security concerns, these private restrictions often serve to protect the exclusivity of gated communities rather than to preserve housing for local workers.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"Ikea Aesthetic" and Skyline Erosion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common critique of contemporary development in Jacó involves the proliferation of high-rise condos furnished with bland, imported aesthetics—often referred to as "Ikea furniture" by locals. This style represents a "staged authenticity" that ignores the local architectural heritage in favor of a homogenized, globalized look designed to appeal to transient tourists. These "eyesore skyscraping condos" are seen as "sardine-like" structures that block the skyline, creating a visual and physical barrier between the town and the beach.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architectural shift is more than just an aesthetic grievance; it reflects a "nature-infrastructure paradox." The very natural beauty (beachfront, ocean views) that attracts international capital is being obstructed and degraded by the infrastructure built to monetize it. The result is a town that feels increasingly foreign to its original inhabitants, leading to a sense of "displacement in place" even for those who have managed to remain.</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Socio-Spatial Displacement: The Jacó-Parrita Corridor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housing costs in Jacó become untenable, the local workforce is increasingly forced to relocate to neighboring municipalities, most notably Parrita. This displacement creates a new geography of inequality, where workers provide the essential labor for Jacó’s tourism economy but are denied the right to live within the community they 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Logistics of a Displaced Workforce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Parrita, located approximately 43 kilometers from Jacó, has become a primary residential hub for displaced workers. While Parrita offers more affordable housing, it imposes a significant "commute tax" on the workforce in terms of both time and money.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Mode (Jacó &lt;-&gt; Parrita)</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Duration</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Frequency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Cost (One-Way)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 (Tracopa / TQP)</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 – 63 minutes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Hourly / Every 3 hrs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 Vehicle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 minutes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 $9 (Fuel/Maintenance)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Taxi</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 minutes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Demand</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 – $110</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worker earning a typical service-sector salary ($500–$900 per month), a daily round-trip bus fare represents a significant economic drain. Furthermore, the average bus duration of 43 minutes often extends during peak hours, meaning a worker might spend nearly two hours daily in transit. This pattern of displacement mirrors trends in other "residential tourism" epicenters like Guanacaste and the Osa Peninsula, where rapid beach resort development has pushed fishing and farming communities out of the coastal zone.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Social Impact on Host Communities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influx of displaced populations into areas like Parrita and Santa Teresa has occurred "rapidly and uncontrollably," often outpacing the development of necessary infrastructure. This disorganized growth leads to environmental degradation—such as threats to local fauna from unmanaged development—and social instability, including rising crime rates and informal labor markets. Community-led organizations have emerged to fill the governance void, such as </w:t>
      </w:r>
      <w:r w:rsidDel="00000000" w:rsidR="00000000" w:rsidRPr="00000000">
        <w:rPr>
          <w:i w:val="1"/>
          <w:iCs w:val="1"/>
          <w:rtl w:val="0"/>
        </w:rPr>
        <w:t xml:space="preserve">SomosCongosCR</w:t>
      </w:r>
      <w:r w:rsidDel="00000000" w:rsidR="00000000" w:rsidRPr="00000000">
        <w:rPr>
          <w:rtl w:val="0"/>
        </w:rPr>
        <w:t xml:space="preserve">, which works to protect local howler monkey populations and promote environmental conservation in the face of exponential, unregulated development.</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Mathematical Foundations for Equitable Urban Design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counter the homogenizing effects of profit-driven development, urban planners can turn to mathematical principles that prioritize human scale and aesthetic harmony. The most prominent of these is the Golden Ratio, or Phi (\phi).</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Golden Ratio (\phi) and Human-Scale Proportionality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Golden Ratio is an irrational mathematical constant approximately equal to 1.6180339887. Geometrically, it is defined as the ratio between two quantities a and b (where a &gt; b) such that: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architecture and urban planning, Phi is recognized as a fundamental principle for creating structures that are aesthetically pleasing and functional. Unlike the "jarring" proportions of some modernist high-rises, designs based on the Golden Ratio resonate with the human body's own proportions. Architect Le Corbusier developed the </w:t>
      </w:r>
      <w:r w:rsidDel="00000000" w:rsidR="00000000" w:rsidRPr="00000000">
        <w:rPr>
          <w:i w:val="1"/>
          <w:iCs w:val="1"/>
          <w:rtl w:val="0"/>
        </w:rPr>
        <w:t xml:space="preserve">Modulor</w:t>
      </w:r>
      <w:r w:rsidDel="00000000" w:rsidR="00000000" w:rsidRPr="00000000">
        <w:rPr>
          <w:rtl w:val="0"/>
        </w:rPr>
        <w:t xml:space="preserve">—a system of measurements based on human proportions combined with the Golden Ratio—to maintain "human scale" in architecture.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his </w:t>
      </w:r>
      <w:r w:rsidDel="00000000" w:rsidR="00000000" w:rsidRPr="00000000">
        <w:rPr>
          <w:i w:val="1"/>
          <w:iCs w:val="1"/>
          <w:rtl w:val="0"/>
        </w:rPr>
        <w:t xml:space="preserve">Unité d'Habitation</w:t>
      </w:r>
      <w:r w:rsidDel="00000000" w:rsidR="00000000" w:rsidRPr="00000000">
        <w:rPr>
          <w:rtl w:val="0"/>
        </w:rPr>
        <w:t xml:space="preserve"> in Marseille, Le Corbusier applied this system to create a "vertical city" that housed 1,600 residents while maintaining spatial innovation and a relationship with nature. Every dimension, from the overall building height to the placement of windows, was derived from these harmonious ratios. Applying these principles in Jacó could offer a blueprint for high-density housing that feels open and spacious rather than "sardine-like".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Proportionality as a Tool for Social Justice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application of Phi in urban design is not merely an aesthetic choice but a strategy for "Socio-Alive" building. Proportional design can foster community by creating "natural centers" for development that encourage social connections. Furthermore, research indicates that effective and safe ratios for wheelchair ramps and accessibility aids often align with Golden Ratio increments. For example, the ADA standard incline (approx. 4.8^{\circ}) is exactly three times the Golden Ratio in its trigonometric relationship, suggesting that mathematical harmony can improve accessibility for physically challenged residents.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Algorithmic Fairness and Resource Allocation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 system where international investors compete with local residents for scarce land, mathematical models of "fairness" can be applied to resource distribution.</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Dominant Resource Fairness (DRF)</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environments with multiple resource types (e.g., land, capital, infrastructure), Dominant Resource Fairness (DRF) provides a mathematical framework for equitable allocation. DRF is a generalization of "max-min fairness," which seeks to maximize the minimum share received by any user.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properties of DRF include:</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Sharing Incentive:</w:t>
      </w:r>
      <w:r w:rsidDel="00000000" w:rsidR="00000000" w:rsidRPr="00000000">
        <w:rPr>
          <w:rtl w:val="0"/>
        </w:rPr>
        <w:t xml:space="preserve"> No user is better off if resources are equally partitioned among all participants.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Envy-Freeness:</w:t>
      </w:r>
      <w:r w:rsidDel="00000000" w:rsidR="00000000" w:rsidRPr="00000000">
        <w:rPr>
          <w:rtl w:val="0"/>
        </w:rPr>
        <w:t xml:space="preserve"> No user prefers the allocation of another user.</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Pareto Efficiency:</w:t>
      </w:r>
      <w:r w:rsidDel="00000000" w:rsidR="00000000" w:rsidRPr="00000000">
        <w:rPr>
          <w:rtl w:val="0"/>
        </w:rPr>
        <w:t xml:space="preserve"> It is impossible to make one user better off without making another worse off while maintaining fairness.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Applied to Jacó, a DRF model would prevent a single "dominant user"—such as a large-scale international developer—from monopolizing coastal land if it results in the "starvation" of housing resources for the local community.</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Robin Hood Index and Gini Coefficient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Robin Hood Index (also known as the Hoover Index) represents the portion of total community income that would need to be redistributed from the rich to the poor to achieve perfect equality. It is closely related to the Gini coefficient (G), which measures income inequality on a scale of 0 to 1. An approximate relationship is: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a "Robin Hood" model of urban planning, wealth generated from high-value tourism zones is actively redistributed to support local housing reclamation. This can be achieved through "Land Value Capture" (LVC) mechanisms, where a portion of the unearned increase in land value—driven by public infrastructure—is recovered by the municipality and reinvested into community land trusts.</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Community-Led Reclamation Strategies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concept of "Community Wealth Building" (CWB) offers a practical alternative to extractive economic models. CWB is a place-based approach that seeks to rewire the local economy so that wealth is created and held locally, rather than flowing out to international investors.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Community Land Trusts (CLTs) and Occupant Equity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effective tools for reclaiming housing security is the Community Land Trust. In a CLT model, a non-profit organization acquires land and removes it from the speculative market. Residents own the buildings, but the trust retains ownership of the land, ensuring that housing remains permanently affordable through resale restrictions.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Benefit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Occupant Equity</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Groups pool resources to buy real estate collectively.</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Removes property from the speculative market; provides stability.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Neighborhood Crowdfunding</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Residents hold fractional stakes in local income-producing assets.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Residents become "local investors" and have a seat at the 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Community Land Trust</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Dual ownership (Resident owns home; Trust owns land).</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displacement by decoupling home value from land speculation.</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Progressive Tourism and Departure Taxes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Redesigning tourism taxation represents a shift from "extractive" to "regenerative" justice. Costa Rica currently collects a mandatory departure tax of approximately $60, which largely funds central infrastructure and the Tourism Institute (ICT). A progressive model would redirect a portion of this revenue—and the 13% IVA on tourism services—directly into local housing funds in the municipalities where the revenue was generated.</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"Right to the City" Framework</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struggle for housing security in Jacó is fundamentally an assertion of the "Right to the City"—a concept which argues that the city is a collective product, and its inhabitants have a right to shape its development and inhabit its spaces regardless of economic status.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practice, this means:</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Participatory Planning:</w:t>
      </w:r>
      <w:r w:rsidDel="00000000" w:rsidR="00000000" w:rsidRPr="00000000">
        <w:rPr>
          <w:rtl w:val="0"/>
        </w:rPr>
        <w:t xml:space="preserve"> Involving residents in the design of "Planes Reguladores" to ensure land use prioritizes community needs over speculative investment.</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Inclusive Space:</w:t>
      </w:r>
      <w:r w:rsidDel="00000000" w:rsidR="00000000" w:rsidRPr="00000000">
        <w:rPr>
          <w:rtl w:val="0"/>
        </w:rPr>
        <w:t xml:space="preserve"> Ensuring that public spaces remain accessible and are designed to "human scale" to promote wellness and social cohesion.</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Democratic Ownership:</w:t>
      </w:r>
      <w:r w:rsidDel="00000000" w:rsidR="00000000" w:rsidRPr="00000000">
        <w:rPr>
          <w:rtl w:val="0"/>
        </w:rPr>
        <w:t xml:space="preserve"> Supporting worker-owned cooperatives and local enterprises to ensure that the "lifeblood" of the town—tourism—benefits the people who provide the service.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Conclusions and Actionable Recommendations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socio-economic trajectory of Jacó is not inevitable. By integrating rigorous mathematical design standards with progressive economic redistribution, the community can navigate the "wicked problems" of gentrification and displacement.</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Immediate Regulatory Intervention:</w:t>
      </w:r>
      <w:r w:rsidDel="00000000" w:rsidR="00000000" w:rsidRPr="00000000">
        <w:rPr>
          <w:rtl w:val="0"/>
        </w:rPr>
        <w:t xml:space="preserve"> The municipality should enforce the legal minimum three-year rental term for long-term residents and close the "short-term stay" loopholes that landlords exploit to bypass tenant protections.</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Land Value Capture (LVC):</w:t>
      </w:r>
      <w:r w:rsidDel="00000000" w:rsidR="00000000" w:rsidRPr="00000000">
        <w:rPr>
          <w:rtl w:val="0"/>
        </w:rPr>
        <w:t xml:space="preserve"> Implement a "Social Infrastructure Surcharge" on all new luxury developments, with revenue ring-fenced for a Jacó Community Land Trust.</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Adoption of a Golden Ratio Urban Code:</w:t>
      </w:r>
      <w:r w:rsidDel="00000000" w:rsidR="00000000" w:rsidRPr="00000000">
        <w:rPr>
          <w:rtl w:val="0"/>
        </w:rPr>
        <w:t xml:space="preserve"> Mandate that new constructions adhere to Phi-based proportions and human-scale height limits to preserve the town's character and environmental integrity.</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Strengthening Local Governance:</w:t>
      </w:r>
      <w:r w:rsidDel="00000000" w:rsidR="00000000" w:rsidRPr="00000000">
        <w:rPr>
          <w:rtl w:val="0"/>
        </w:rPr>
        <w:t xml:space="preserve"> Support organizations like </w:t>
      </w:r>
      <w:r w:rsidDel="00000000" w:rsidR="00000000" w:rsidRPr="00000000">
        <w:rPr>
          <w:i w:val="1"/>
          <w:iCs w:val="1"/>
          <w:rtl w:val="0"/>
        </w:rPr>
        <w:t xml:space="preserve">SomosCongosCR</w:t>
      </w:r>
      <w:r w:rsidDel="00000000" w:rsidR="00000000" w:rsidRPr="00000000">
        <w:rPr>
          <w:rtl w:val="0"/>
        </w:rPr>
        <w:t xml:space="preserve"> and local security committees to ensure that the environment and community are protected from the negative externalities of unregulated growth.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reclaiming of Jacó requires a radical reimagining of the town—not as a machine for profit, but as a "machine for living" where the beauty of the natural environment is matched by the equity of the built environment. Through Community Wealth Building and a commitment to the mathematical harmony of human-centric design, Jacó can transform from a cautionary tale of gentrification into a global model for sustainable, inclusive coastal development.</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tesis doctoral, https://www.tdx.cat/bitstream/10803/671454/1/tecm1de1.pdf 2. Costa Rica Real Estate Market Analysis (2026) – TheLatinvestor, https://thelatinvestor.com/blogs/news/costa-rica-real-estate-market 3. Cost of Living in Jaco Costa Rica 2024 – Full Guide for Foreign Buyers, https://www.jacocoldwellbanker.com/article/cost-of-living-in-jaco-costa-rica-2024-breakdown-for-foreign-buyers 4. Cost of Living in Costa Rica: Example Table of Monthly Expenses 2025 - International Living, https://internationalliving.com/countries/costa-rica/cost-of-living-in-costa-rica/ 5. Jaco, Provincia de Puntarenas Airbnb Data 2026: Occupancy ..., https://www.airroi.com/airbnb-data/costa-rica/provincia-de-puntarenas/jaco 6. The "AirBnB Effect" in Costa Rica | centralamerica.com, https://www.centralamerica.com/experiencing/travel/airbnb-effect-in-costa-rica/ 7. Airbnb Profitability Analysis in Costa Rica (2026) - TheLatinvestor, https://thelatinvestor.com/blogs/news/costa-rica-airbnb 8. Best Airbnb Markets to Invest in Costa Rica - Hostaway, https://www.hostaway.com/blog/best-airbnb-markets-to-invest-in-costa-rica/ 9. *1 min walk to DT Mt. Dora! King bed! LUXE rental - Cottages for Rent in Mount Dora, Florida, United States - Airbnb, https://www.airbnb.com/rooms/49847289 10. Digital Nomads: Are We Done With Airbnb? My Experience Since 2018 - Reddit, https://www.reddit.com/r/digitalnomad/comments/1hn0p6h/digital_nomads_are_we_done_with_airbnb_my/ 11. Turismo placebo : nueva colonización turística : del Mediterráneo a Mesoamérica y El Caribe : lógicas espaciales del capital turístico 9789992460306, 999246030X - DOKUMEN.PUB, https://dokumen.pub/turismo-placebo-nueva-colonizacion-turistica-del-mediterraneo-a-mesoamerica-y-el-caribe-logicas-espaciales-del-capital-turistico-9789992460306-999246030x.html 12. Bus Jaco Beach to Parrita from $6 | Tickets &amp; Timetables | Rome2Rio, https://www.rome2rio.com/Bus/Jaco-Beach/Parrita 13. Jacó → Cantón de Parrita: precios y horarios - Rome2Rio, https://www.rome2rio.com/es/s/Jac%C3%B3/Cant%C3%B3n-de-Parrita 14. Impact of Tourism Related Development on the Pacific Coast of Costa Rica Summary Report - ICSID, https://icsid.worldbank.org/sites/default/files/parties_publications/C3164/Claimants%27%20Expert%20Reports%20and%20Opinions/140425%20FTI%20ER1%20and%20Exhibits/FTI%2027___Summary_Report_-_Impact_Tourism_Related_Development_Pacific_Coast_Costa_Rica.pdf 15. UNIVERSIDAD TÉCNICA NACIONAL - Repositorio UTN, https://repositorio.utn.ac.cr/bitstreams/123d62b0-24df-4469-9308-7a69b4111a3e/download 16. The Golden Ratio in Modern Architecture | Phil Kean Design Group, https://philkeandesigns.com/blog/golden-ratio-modern-architecture/ 17. Geometrical Substantiation of &lt;i&gt;Phi&lt;/i&gt;, the Golden Ratio and the Baroque of Nature, Architecture, Design and Engineering - Scientific &amp; Academic Publishing, http://article.sapub.org/10.5923.j.arts.20110101.01.html 18. How Architects Use the Golden Ratio in Design for Beauty and Balance, https://learnarchitecture.net/articles/8667-how-architects-use-the-golden-ratio-in-design.html 19. Phi and the Golden Section in Architecture, https://www.goldennumber.net/architecture/ 20. HUMAN SCALE | PPTX - Slideshare, https://www.slideshare.net/slideshow/human-scale/46410477 21. Accessibility in Architecture: A New Modular Man - Unsustainable Magazine, https://www.unsustainablemagazine.com/accessibility-in-architecture-a-new-modular-man/ 22. unité d'habitation architecture: le corbusier's vertical city - Chisel &amp; Mouse, https://chiselandmouse.com/pages/unite-dhabitation-architecture 23. (PDF) CHARACTERISTICS OF SOCIO-ALIVE BUILDING: THE CASE OF BAHRAIN CITY CENTER - ResearchGate, https://www.researchgate.net/publication/329435454_CHARACTERISTICS_OF_SOCIO-ALIVE_BUILDING_THE_CASE_OF_BAHRAIN_CITY_CENTER 24. Architecture project // Crescent-Shaped Cabins with Multiplexed Wood in a Natural Landscape - Buildner, https://architecturecompetitions.com/architecture-projects/crescent-shaped-cabins-with-multiplexed-wood-in-a-natural-landscape 25. Timothy Tasker Architects, Tim Crocker · FarmED - Divisare, https://divisare.com/projects/448254-timothy-tasker-architects-tim-crocker-farmed 26. Dominant Resource Fairness: Fair Allocation of Multiple Resource Types - EECS at Berkeley - University of California, Berkeley, http://eecs.berkeley.edu/Pubs/TechRpts/2011/EECS-2011-18.pdf 27. An Axiomatic Theory of Fairness in Resource Allocation - Princeton University, https://www.princeton.edu/~chiangm/fairness.pdf 28. An Axiomatic Theory of Fairness in Network Resource Allocation, https://www2.seas.gwu.edu/~tlan/papers/fairness_infocom.pdf 29. (PDF) Relation Between Two Income Inequality Measures: The Gini coefficient and the Robin Hood Index - ResearchGate, https://www.researchgate.net/publication/359093910_Relation_Between_Two_Income_Inequality_Measures_The_Gini_coefficient_and_the_Robin_Hood_Index 30. Metropolitan-Case-Studies.txt - Documents &amp; Reports, https://documents1.worldbank.org/curated/en/310581623176284580/txt/Metropolitan-Case-Studies.txt 31. (PDF) Large Scale Urban Projects: The State and Gentrification in the Belo Horizonte Metropolitan Region - ResearchGate, https://www.researchgate.net/publication/341030951_Large_Scale_Urban_Projects_The_State_and_Gentrification_in_the_Belo_Horizonte_Metropolitan_Region 32. Community Wealth Building — The Democracy Collaborative, https://www.democracycollaborative.org/community-wealth-building 33. Community Wealth Building for a well‑being economy | OECD, https://www.oecd.org/en/publications/providing-local-actors-with-case-studies-evidence-and-solutions-places_eb108047-en/community-wealth-building-for-a-well-being-economy_afdeefcd-en.html 34. Community Wealth-Building Models - Urban Institute, https://www.urban.org/sites/default/files/2022-04/community-wealth-building-models_1.pdf 35. Revisiting tourism taxes: a justice-oriented approach to redistributing ..., https://antemandic.com/2025/08/15/revisiting-tourism-taxes-a-justice-oriented-approach-to-redistributing-revenue/ 36. Understanding Costa Rica's Tourism Tax - Osa Property Management, https://osapropertymanagement.com/understanding-costa-ricas-tourism-tax/ 37. Cartografía de la ciudad capitalista - Traficantes de Sueños, https://traficantes.net/sites/default/files/pdfs/cartografia_web_2_0.pdf 38. SECRETARIA DE DESARROLLO AGRARIO, TERRITORIAL Y URBANO - Diario Oficial de la Federación, https://www.dof.gob.mx/2021/SEDATU/SEDATU_090421.pdf 39. Livable Cities: A Conference on Issues Affecting - AMPS | Research, https://amps-research.com/wp-content/uploads/2024/04/Amps_Proceedings-Series_34.1.pdf 40. A Critical Pragmatism Approach for Algorithmic Fairness: Lessons from Urban Planning Theory - arXiv, https://arxiv.org/pdf/2605.02773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